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宋体"/>
          <w:color w:val="auto"/>
          <w:lang w:eastAsia="zh-CN"/>
        </w:rPr>
      </w:pPr>
      <w:r>
        <w:drawing>
          <wp:inline distT="0" distB="0" distL="114300" distR="114300">
            <wp:extent cx="4883150" cy="1173480"/>
            <wp:effectExtent l="0" t="0" r="889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0"/>
                    <a:stretch>
                      <a:fillRect/>
                    </a:stretch>
                  </pic:blipFill>
                  <pic:spPr>
                    <a:xfrm>
                      <a:off x="0" y="0"/>
                      <a:ext cx="4883150" cy="1173480"/>
                    </a:xfrm>
                    <a:prstGeom prst="rect">
                      <a:avLst/>
                    </a:prstGeom>
                    <a:noFill/>
                    <a:ln>
                      <a:noFill/>
                    </a:ln>
                  </pic:spPr>
                </pic:pic>
              </a:graphicData>
            </a:graphic>
          </wp:inline>
        </w:drawing>
      </w:r>
    </w:p>
    <w:p>
      <w:pPr>
        <w:jc w:val="center"/>
        <w:rPr>
          <w:rFonts w:hint="eastAsia" w:eastAsia="宋体"/>
          <w:color w:val="auto"/>
          <w:lang w:eastAsia="zh-CN"/>
        </w:rPr>
      </w:pPr>
    </w:p>
    <w:p>
      <w:pPr>
        <w:jc w:val="center"/>
        <w:rPr>
          <w:rFonts w:hint="eastAsia" w:eastAsia="宋体"/>
          <w:color w:val="auto"/>
          <w:lang w:eastAsia="zh-CN"/>
        </w:rPr>
      </w:pPr>
    </w:p>
    <w:p>
      <w:pPr>
        <w:ind w:firstLine="960"/>
        <w:jc w:val="center"/>
        <w:rPr>
          <w:rFonts w:hint="eastAsia" w:eastAsia="黑体"/>
          <w:sz w:val="56"/>
          <w:szCs w:val="56"/>
        </w:rPr>
      </w:pPr>
    </w:p>
    <w:p>
      <w:pPr>
        <w:ind w:firstLine="960"/>
        <w:jc w:val="center"/>
        <w:rPr>
          <w:rFonts w:hint="eastAsia" w:eastAsia="黑体"/>
          <w:sz w:val="56"/>
          <w:szCs w:val="56"/>
        </w:rPr>
      </w:pPr>
      <w:r>
        <w:rPr>
          <w:rFonts w:hint="eastAsia" w:eastAsia="黑体"/>
          <w:sz w:val="56"/>
          <w:szCs w:val="56"/>
        </w:rPr>
        <w:t>本 科 毕 业 论 文（设</w:t>
      </w:r>
      <w:r>
        <w:rPr>
          <w:rFonts w:hint="eastAsia" w:eastAsia="黑体"/>
          <w:sz w:val="56"/>
          <w:szCs w:val="56"/>
          <w:lang w:val="en-US" w:eastAsia="zh-CN"/>
        </w:rPr>
        <w:t xml:space="preserve"> </w:t>
      </w:r>
      <w:r>
        <w:rPr>
          <w:rFonts w:hint="eastAsia" w:eastAsia="黑体"/>
          <w:sz w:val="56"/>
          <w:szCs w:val="56"/>
        </w:rPr>
        <w:t>计）</w:t>
      </w:r>
    </w:p>
    <w:p>
      <w:pPr>
        <w:ind w:firstLine="960"/>
        <w:jc w:val="center"/>
        <w:rPr>
          <w:rFonts w:hint="eastAsia" w:eastAsia="黑体"/>
          <w:sz w:val="48"/>
        </w:rPr>
      </w:pPr>
    </w:p>
    <w:p>
      <w:pPr>
        <w:keepNext w:val="0"/>
        <w:keepLines w:val="0"/>
        <w:pageBreakBefore w:val="0"/>
        <w:widowControl w:val="0"/>
        <w:kinsoku/>
        <w:wordWrap/>
        <w:overflowPunct/>
        <w:topLinePunct w:val="0"/>
        <w:autoSpaceDE/>
        <w:autoSpaceDN/>
        <w:bidi w:val="0"/>
        <w:adjustRightInd/>
        <w:snapToGrid/>
        <w:spacing w:line="360" w:lineRule="auto"/>
        <w:ind w:firstLine="960"/>
        <w:jc w:val="center"/>
        <w:textAlignment w:val="auto"/>
        <w:rPr>
          <w:rFonts w:hint="eastAsia" w:eastAsia="黑体"/>
          <w:sz w:val="48"/>
        </w:rPr>
      </w:pPr>
    </w:p>
    <w:p>
      <w:pPr>
        <w:keepNext w:val="0"/>
        <w:keepLines w:val="0"/>
        <w:pageBreakBefore w:val="0"/>
        <w:widowControl w:val="0"/>
        <w:kinsoku/>
        <w:wordWrap/>
        <w:overflowPunct/>
        <w:topLinePunct w:val="0"/>
        <w:autoSpaceDE/>
        <w:autoSpaceDN/>
        <w:bidi w:val="0"/>
        <w:adjustRightInd/>
        <w:snapToGrid/>
        <w:spacing w:line="360" w:lineRule="auto"/>
        <w:ind w:firstLine="640"/>
        <w:jc w:val="center"/>
        <w:textAlignment w:val="auto"/>
        <w:rPr>
          <w:rFonts w:hint="eastAsia" w:ascii="楷体" w:hAnsi="楷体" w:eastAsia="楷体" w:cs="楷体"/>
          <w:b/>
          <w:bCs/>
          <w:spacing w:val="30"/>
          <w:kern w:val="10"/>
          <w:sz w:val="44"/>
          <w:szCs w:val="44"/>
          <w:lang w:val="en-US" w:eastAsia="zh-CN"/>
        </w:rPr>
      </w:pPr>
      <w:r>
        <w:rPr>
          <w:rFonts w:hint="eastAsia" w:ascii="楷体" w:hAnsi="楷体" w:eastAsia="楷体" w:cs="楷体"/>
          <w:b/>
          <w:bCs/>
          <w:spacing w:val="30"/>
          <w:kern w:val="10"/>
          <w:sz w:val="44"/>
          <w:szCs w:val="44"/>
          <w:lang w:val="en-US" w:eastAsia="zh-CN"/>
        </w:rPr>
        <w:t>基于数据库过滤的谱图聚类算法设计</w:t>
      </w:r>
    </w:p>
    <w:p>
      <w:pPr>
        <w:keepNext w:val="0"/>
        <w:keepLines w:val="0"/>
        <w:pageBreakBefore w:val="0"/>
        <w:widowControl w:val="0"/>
        <w:kinsoku/>
        <w:wordWrap/>
        <w:overflowPunct/>
        <w:topLinePunct w:val="0"/>
        <w:autoSpaceDE/>
        <w:autoSpaceDN/>
        <w:bidi w:val="0"/>
        <w:adjustRightInd/>
        <w:snapToGrid/>
        <w:spacing w:line="360" w:lineRule="auto"/>
        <w:ind w:firstLine="640"/>
        <w:jc w:val="center"/>
        <w:textAlignment w:val="auto"/>
        <w:rPr>
          <w:rFonts w:hint="eastAsia" w:ascii="楷体" w:hAnsi="楷体" w:eastAsia="楷体" w:cs="楷体"/>
          <w:b w:val="0"/>
          <w:color w:val="FF0000"/>
          <w:kern w:val="2"/>
          <w:sz w:val="40"/>
          <w:szCs w:val="40"/>
          <w:lang w:val="en-US" w:eastAsia="zh-CN" w:bidi="ar-SA"/>
        </w:rPr>
      </w:pPr>
      <w:r>
        <w:rPr>
          <w:rFonts w:hint="eastAsia" w:ascii="楷体" w:hAnsi="楷体" w:eastAsia="楷体" w:cs="楷体"/>
          <w:b w:val="0"/>
          <w:color w:val="FF0000"/>
          <w:kern w:val="2"/>
          <w:sz w:val="40"/>
          <w:szCs w:val="40"/>
          <w:lang w:val="en-US" w:eastAsia="zh-CN" w:bidi="ar-SA"/>
        </w:rPr>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color w:val="FF0000"/>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val="0"/>
          <w:color w:val="FF0000"/>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color w:val="FF0000"/>
          <w:kern w:val="2"/>
          <w:sz w:val="24"/>
          <w:szCs w:val="24"/>
          <w:lang w:val="en-US" w:eastAsia="zh-CN" w:bidi="ar-SA"/>
        </w:rPr>
      </w:pPr>
    </w:p>
    <w:tbl>
      <w:tblPr>
        <w:tblStyle w:val="15"/>
        <w:tblW w:w="6697"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4"/>
        <w:gridCol w:w="4793"/>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姓名</w:t>
            </w:r>
            <w:r>
              <w:rPr>
                <w:rFonts w:eastAsia="黑体" w:cs="Times New Roman"/>
                <w:spacing w:val="30"/>
                <w:kern w:val="10"/>
                <w:sz w:val="32"/>
                <w:szCs w:val="32"/>
              </w:rPr>
              <w:t xml:space="preserve"> </w:t>
            </w:r>
          </w:p>
        </w:tc>
        <w:tc>
          <w:tcPr>
            <w:tcW w:w="4793" w:type="dxa"/>
            <w:tcBorders>
              <w:bottom w:val="single" w:color="auto" w:sz="4" w:space="0"/>
            </w:tcBorders>
            <w:noWrap w:val="0"/>
            <w:vAlign w:val="bottom"/>
          </w:tcPr>
          <w:p>
            <w:pPr>
              <w:spacing w:line="600" w:lineRule="exact"/>
              <w:ind w:firstLine="0" w:firstLineChars="0"/>
              <w:jc w:val="center"/>
              <w:rPr>
                <w:rFonts w:hint="default" w:eastAsia="楷体" w:cs="Times New Roman"/>
                <w:b/>
                <w:bCs/>
                <w:spacing w:val="30"/>
                <w:kern w:val="10"/>
                <w:sz w:val="32"/>
                <w:szCs w:val="24"/>
                <w:lang w:val="en-US" w:eastAsia="zh-CN"/>
              </w:rPr>
            </w:pPr>
            <w:r>
              <w:rPr>
                <w:rFonts w:hint="eastAsia" w:eastAsia="楷体" w:cs="Times New Roman"/>
                <w:b/>
                <w:bCs/>
                <w:spacing w:val="30"/>
                <w:kern w:val="10"/>
                <w:sz w:val="32"/>
                <w:szCs w:val="24"/>
                <w:lang w:val="en-US" w:eastAsia="zh-CN"/>
              </w:rPr>
              <w:t>李姿坤</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pPr>
              <w:spacing w:line="600" w:lineRule="exact"/>
              <w:ind w:firstLine="0" w:firstLineChars="0"/>
              <w:jc w:val="distribute"/>
              <w:rPr>
                <w:rFonts w:hint="eastAsia" w:eastAsia="黑体" w:cs="Times New Roman"/>
                <w:spacing w:val="30"/>
                <w:kern w:val="10"/>
                <w:sz w:val="32"/>
                <w:szCs w:val="32"/>
                <w:lang w:eastAsia="zh-CN"/>
              </w:rPr>
            </w:pPr>
            <w:r>
              <w:rPr>
                <w:rFonts w:hint="eastAsia" w:eastAsia="黑体" w:cs="Times New Roman"/>
                <w:spacing w:val="30"/>
                <w:kern w:val="10"/>
                <w:sz w:val="32"/>
                <w:szCs w:val="32"/>
                <w:lang w:val="en-US" w:eastAsia="zh-CN"/>
              </w:rPr>
              <w:t>院系</w:t>
            </w:r>
          </w:p>
        </w:tc>
        <w:tc>
          <w:tcPr>
            <w:tcW w:w="4793" w:type="dxa"/>
            <w:tcBorders>
              <w:top w:val="single" w:color="auto" w:sz="4" w:space="0"/>
              <w:bottom w:val="single" w:color="auto" w:sz="4" w:space="0"/>
            </w:tcBorders>
            <w:noWrap w:val="0"/>
            <w:vAlign w:val="bottom"/>
          </w:tcPr>
          <w:p>
            <w:pPr>
              <w:spacing w:line="600" w:lineRule="exact"/>
              <w:ind w:firstLine="0" w:firstLineChars="0"/>
              <w:jc w:val="center"/>
              <w:rPr>
                <w:rFonts w:hint="default" w:eastAsia="楷体" w:cs="Times New Roman"/>
                <w:b/>
                <w:bCs/>
                <w:spacing w:val="30"/>
                <w:kern w:val="10"/>
                <w:sz w:val="32"/>
                <w:szCs w:val="24"/>
                <w:lang w:val="en-US" w:eastAsia="zh-CN"/>
              </w:rPr>
            </w:pPr>
            <w:r>
              <w:rPr>
                <w:rFonts w:hint="eastAsia" w:eastAsia="楷体" w:cs="Times New Roman"/>
                <w:b/>
                <w:bCs/>
                <w:spacing w:val="30"/>
                <w:kern w:val="10"/>
                <w:sz w:val="32"/>
                <w:szCs w:val="24"/>
                <w:lang w:val="en-US" w:eastAsia="zh-CN"/>
              </w:rPr>
              <w:t>工程系</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专业</w:t>
            </w:r>
          </w:p>
        </w:tc>
        <w:tc>
          <w:tcPr>
            <w:tcW w:w="4793" w:type="dxa"/>
            <w:tcBorders>
              <w:top w:val="single" w:color="auto" w:sz="4" w:space="0"/>
              <w:bottom w:val="single" w:color="auto" w:sz="4" w:space="0"/>
            </w:tcBorders>
            <w:noWrap w:val="0"/>
            <w:vAlign w:val="bottom"/>
          </w:tcPr>
          <w:p>
            <w:pPr>
              <w:spacing w:line="600" w:lineRule="exact"/>
              <w:ind w:firstLine="0" w:firstLineChars="0"/>
              <w:jc w:val="center"/>
              <w:rPr>
                <w:rFonts w:hint="default" w:eastAsia="楷体" w:cs="Times New Roman"/>
                <w:b/>
                <w:bCs/>
                <w:spacing w:val="30"/>
                <w:kern w:val="10"/>
                <w:sz w:val="32"/>
                <w:szCs w:val="24"/>
                <w:lang w:val="en-US" w:eastAsia="zh-CN"/>
              </w:rPr>
            </w:pPr>
            <w:r>
              <w:rPr>
                <w:rFonts w:hint="eastAsia" w:eastAsia="楷体" w:cs="Times New Roman"/>
                <w:b/>
                <w:bCs/>
                <w:spacing w:val="30"/>
                <w:kern w:val="10"/>
                <w:sz w:val="32"/>
                <w:szCs w:val="24"/>
                <w:lang w:val="en-US" w:eastAsia="zh-CN"/>
              </w:rPr>
              <w:t>电子与计算机工程</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学号</w:t>
            </w:r>
          </w:p>
        </w:tc>
        <w:tc>
          <w:tcPr>
            <w:tcW w:w="4793" w:type="dxa"/>
            <w:tcBorders>
              <w:top w:val="single" w:color="auto" w:sz="4" w:space="0"/>
              <w:bottom w:val="single" w:color="auto" w:sz="4" w:space="0"/>
            </w:tcBorders>
            <w:noWrap w:val="0"/>
            <w:vAlign w:val="bottom"/>
          </w:tcPr>
          <w:p>
            <w:pPr>
              <w:spacing w:line="600" w:lineRule="exact"/>
              <w:ind w:firstLine="0" w:firstLineChars="0"/>
              <w:jc w:val="center"/>
              <w:rPr>
                <w:rFonts w:eastAsia="楷体" w:cs="Times New Roman"/>
                <w:b/>
                <w:bCs/>
                <w:spacing w:val="30"/>
                <w:kern w:val="10"/>
                <w:sz w:val="32"/>
                <w:szCs w:val="24"/>
              </w:rPr>
            </w:pPr>
            <w:r>
              <w:rPr>
                <w:rFonts w:hint="eastAsia" w:eastAsia="楷体" w:cs="Times New Roman"/>
                <w:b/>
                <w:bCs/>
                <w:spacing w:val="30"/>
                <w:kern w:val="10"/>
                <w:sz w:val="32"/>
                <w:szCs w:val="24"/>
                <w:lang w:val="en-US" w:eastAsia="zh-CN"/>
              </w:rPr>
              <w:t>1120220447</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680" w:hRule="exact"/>
          <w:jc w:val="center"/>
        </w:trPr>
        <w:tc>
          <w:tcPr>
            <w:tcW w:w="1904" w:type="dxa"/>
            <w:noWrap w:val="0"/>
            <w:vAlign w:val="bottom"/>
          </w:tcPr>
          <w:p>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指导教师</w:t>
            </w:r>
          </w:p>
        </w:tc>
        <w:tc>
          <w:tcPr>
            <w:tcW w:w="4793" w:type="dxa"/>
            <w:tcBorders>
              <w:top w:val="single" w:color="auto" w:sz="4" w:space="0"/>
              <w:bottom w:val="single" w:color="auto" w:sz="4" w:space="0"/>
            </w:tcBorders>
            <w:noWrap w:val="0"/>
            <w:vAlign w:val="bottom"/>
          </w:tcPr>
          <w:p>
            <w:pPr>
              <w:spacing w:line="600" w:lineRule="exact"/>
              <w:ind w:firstLine="0" w:firstLineChars="0"/>
              <w:jc w:val="center"/>
              <w:rPr>
                <w:rFonts w:eastAsia="楷体" w:cs="Times New Roman"/>
                <w:b/>
                <w:bCs/>
                <w:spacing w:val="30"/>
                <w:kern w:val="10"/>
                <w:sz w:val="32"/>
                <w:szCs w:val="24"/>
              </w:rPr>
            </w:pPr>
            <w:r>
              <w:rPr>
                <w:rFonts w:hint="eastAsia" w:eastAsia="楷体" w:cs="Times New Roman"/>
                <w:b/>
                <w:bCs/>
                <w:spacing w:val="30"/>
                <w:kern w:val="10"/>
                <w:sz w:val="32"/>
                <w:szCs w:val="24"/>
                <w:lang w:val="en-US" w:eastAsia="zh-CN"/>
              </w:rPr>
              <w:t>詹朝惠</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680" w:hRule="exact"/>
          <w:jc w:val="center"/>
        </w:trPr>
        <w:tc>
          <w:tcPr>
            <w:tcW w:w="1904" w:type="dxa"/>
            <w:noWrap w:val="0"/>
            <w:vAlign w:val="bottom"/>
          </w:tcPr>
          <w:p>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职称</w:t>
            </w:r>
          </w:p>
        </w:tc>
        <w:tc>
          <w:tcPr>
            <w:tcW w:w="4793" w:type="dxa"/>
            <w:tcBorders>
              <w:top w:val="single" w:color="auto" w:sz="4" w:space="0"/>
              <w:bottom w:val="single" w:color="auto" w:sz="4" w:space="0"/>
            </w:tcBorders>
            <w:noWrap w:val="0"/>
            <w:vAlign w:val="bottom"/>
          </w:tcPr>
          <w:p>
            <w:pPr>
              <w:spacing w:line="600" w:lineRule="exact"/>
              <w:ind w:firstLine="0" w:firstLineChars="0"/>
              <w:jc w:val="center"/>
              <w:rPr>
                <w:rFonts w:eastAsia="楷体" w:cs="Times New Roman"/>
                <w:b/>
                <w:bCs/>
                <w:spacing w:val="30"/>
                <w:kern w:val="10"/>
                <w:sz w:val="32"/>
                <w:szCs w:val="24"/>
              </w:rPr>
            </w:pPr>
            <w:r>
              <w:rPr>
                <w:rFonts w:hint="eastAsia" w:eastAsia="楷体" w:cs="Times New Roman"/>
                <w:b/>
                <w:bCs/>
                <w:spacing w:val="30"/>
                <w:kern w:val="10"/>
                <w:sz w:val="32"/>
                <w:szCs w:val="24"/>
                <w:lang w:val="en-US" w:eastAsia="zh-CN"/>
              </w:rPr>
              <w:t>副教授</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680" w:hRule="exact"/>
          <w:jc w:val="center"/>
        </w:trPr>
        <w:tc>
          <w:tcPr>
            <w:tcW w:w="1904" w:type="dxa"/>
            <w:tcBorders>
              <w:bottom w:val="nil"/>
            </w:tcBorders>
            <w:noWrap w:val="0"/>
            <w:vAlign w:val="bottom"/>
          </w:tcPr>
          <w:p>
            <w:pPr>
              <w:spacing w:line="600" w:lineRule="exact"/>
              <w:ind w:firstLine="0" w:firstLineChars="0"/>
              <w:jc w:val="distribute"/>
              <w:rPr>
                <w:rFonts w:hint="default" w:eastAsia="黑体" w:cs="Times New Roman"/>
                <w:spacing w:val="30"/>
                <w:kern w:val="10"/>
                <w:sz w:val="32"/>
                <w:szCs w:val="32"/>
                <w:lang w:val="en-US" w:eastAsia="zh-CN"/>
              </w:rPr>
            </w:pPr>
            <w:r>
              <w:rPr>
                <w:rFonts w:hint="eastAsia" w:eastAsia="黑体" w:cs="Times New Roman"/>
                <w:spacing w:val="30"/>
                <w:kern w:val="10"/>
                <w:sz w:val="32"/>
                <w:szCs w:val="32"/>
                <w:lang w:val="en-US" w:eastAsia="zh-CN"/>
              </w:rPr>
              <w:t>提交日期</w:t>
            </w:r>
          </w:p>
        </w:tc>
        <w:tc>
          <w:tcPr>
            <w:tcW w:w="4793" w:type="dxa"/>
            <w:tcBorders>
              <w:top w:val="single" w:color="auto" w:sz="4" w:space="0"/>
              <w:bottom w:val="single" w:color="auto" w:sz="4" w:space="0"/>
            </w:tcBorders>
            <w:noWrap w:val="0"/>
            <w:vAlign w:val="bottom"/>
          </w:tcPr>
          <w:p>
            <w:pPr>
              <w:spacing w:line="600" w:lineRule="exact"/>
              <w:ind w:firstLine="0" w:firstLineChars="0"/>
              <w:jc w:val="center"/>
              <w:rPr>
                <w:rFonts w:hint="default" w:eastAsia="楷体" w:cs="Times New Roman"/>
                <w:b/>
                <w:bCs/>
                <w:spacing w:val="30"/>
                <w:kern w:val="10"/>
                <w:sz w:val="32"/>
                <w:szCs w:val="24"/>
                <w:lang w:val="en-US" w:eastAsia="zh-CN"/>
              </w:rPr>
            </w:pPr>
            <w:r>
              <w:rPr>
                <w:rFonts w:hint="eastAsia" w:eastAsia="楷体" w:cs="Times New Roman"/>
                <w:b/>
                <w:bCs/>
                <w:spacing w:val="30"/>
                <w:kern w:val="10"/>
                <w:sz w:val="32"/>
                <w:szCs w:val="24"/>
                <w:lang w:val="en-US" w:eastAsia="zh-CN"/>
              </w:rPr>
              <w:t>2026 年 5 月</w:t>
            </w:r>
          </w:p>
        </w:tc>
      </w:tr>
    </w:tbl>
    <w:p>
      <w:pPr>
        <w:spacing w:before="156" w:beforeLines="50" w:after="156" w:afterLines="50"/>
        <w:rPr>
          <w:rFonts w:eastAsia="黑体"/>
          <w:sz w:val="30"/>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sz w:val="28"/>
          <w:szCs w:val="36"/>
          <w:lang w:val="ru-RU"/>
        </w:rPr>
      </w:pPr>
      <w:bookmarkStart w:id="0" w:name="_Toc19413"/>
      <w:bookmarkStart w:id="1" w:name="_Toc31054"/>
      <w:bookmarkStart w:id="2" w:name="_Toc32442"/>
      <w:bookmarkStart w:id="3" w:name="_Toc6438"/>
      <w:bookmarkStart w:id="4" w:name="_Toc31573"/>
      <w:bookmarkStart w:id="5" w:name="_Toc14922"/>
      <w:bookmarkStart w:id="6" w:name="_Toc13303"/>
      <w:bookmarkStart w:id="7" w:name="_Toc26079"/>
      <w:bookmarkStart w:id="8" w:name="_Toc6295"/>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r>
        <w:rPr>
          <w:rFonts w:hint="default"/>
          <w:b/>
          <w:bCs/>
          <w:sz w:val="28"/>
          <w:szCs w:val="36"/>
          <w:lang w:val="ru-RU"/>
        </w:rPr>
        <w:t>Московский Государственный университет имени М. В. Ломоносова</w:t>
      </w: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r>
        <w:rPr>
          <w:rFonts w:hint="default"/>
          <w:b/>
          <w:bCs/>
          <w:sz w:val="28"/>
          <w:szCs w:val="36"/>
          <w:lang w:val="ru-RU"/>
        </w:rPr>
        <w:t>Университет МГУ-ППИ в Шэньчжэне</w:t>
      </w: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r>
        <w:rPr>
          <w:rFonts w:hint="default"/>
          <w:b/>
          <w:bCs/>
          <w:sz w:val="28"/>
          <w:szCs w:val="36"/>
          <w:lang w:val="ru-RU"/>
        </w:rPr>
        <w:t>Факультет инженерии</w:t>
      </w: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both"/>
        <w:textAlignment w:val="auto"/>
        <w:rPr>
          <w:rFonts w:hint="default"/>
          <w:b/>
          <w:bCs/>
          <w:sz w:val="28"/>
          <w:szCs w:val="36"/>
          <w:lang w:val="ru-RU"/>
        </w:rPr>
      </w:pPr>
      <w:r>
        <w:rPr>
          <w:rFonts w:hint="default"/>
          <w:b/>
          <w:bCs/>
          <w:sz w:val="28"/>
          <w:szCs w:val="36"/>
          <w:u w:val="single"/>
          <w:lang w:val="ru-RU"/>
        </w:rPr>
        <w:t xml:space="preserve">                                                                   </w:t>
      </w: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both"/>
        <w:textAlignment w:val="auto"/>
        <w:rPr>
          <w:rFonts w:hint="default"/>
          <w:b/>
          <w:bCs/>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r>
        <w:rPr>
          <w:rFonts w:hint="default"/>
          <w:lang w:val="ru-RU"/>
        </w:rPr>
        <w:drawing>
          <wp:anchor distT="0" distB="0" distL="114300" distR="114300" simplePos="0" relativeHeight="251659264" behindDoc="0" locked="0" layoutInCell="1" allowOverlap="1">
            <wp:simplePos x="0" y="0"/>
            <wp:positionH relativeFrom="column">
              <wp:posOffset>963930</wp:posOffset>
            </wp:positionH>
            <wp:positionV relativeFrom="paragraph">
              <wp:posOffset>7620</wp:posOffset>
            </wp:positionV>
            <wp:extent cx="3806190" cy="2099945"/>
            <wp:effectExtent l="0" t="0" r="3810" b="3175"/>
            <wp:wrapSquare wrapText="bothSides"/>
            <wp:docPr id="9" name="图片 9" descr="微信图片编辑_2023041916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编辑_20230419164715"/>
                    <pic:cNvPicPr>
                      <a:picLocks noChangeAspect="1"/>
                    </pic:cNvPicPr>
                  </pic:nvPicPr>
                  <pic:blipFill>
                    <a:blip r:embed="rId11"/>
                    <a:srcRect l="18292" t="18118" r="16690" b="59238"/>
                    <a:stretch>
                      <a:fillRect/>
                    </a:stretch>
                  </pic:blipFill>
                  <pic:spPr>
                    <a:xfrm>
                      <a:off x="0" y="0"/>
                      <a:ext cx="3806190" cy="2099945"/>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cs="Times New Roman"/>
          <w:b w:val="0"/>
          <w:bCs w:val="0"/>
          <w:sz w:val="28"/>
          <w:szCs w:val="36"/>
          <w:lang w:val="ru-RU" w:eastAsia="zh-CN"/>
        </w:rPr>
      </w:pPr>
      <w:r>
        <w:rPr>
          <w:rFonts w:hint="default"/>
          <w:b w:val="0"/>
          <w:bCs w:val="0"/>
          <w:sz w:val="28"/>
          <w:szCs w:val="36"/>
          <w:lang w:val="ru-RU"/>
        </w:rPr>
        <w:t>Направление подготовки электронная и компьютерная инженерия</w:t>
      </w:r>
      <w:r>
        <w:rPr>
          <w:rFonts w:hint="default" w:ascii="Times New Roman" w:hAnsi="Times New Roman" w:cs="Times New Roman"/>
          <w:b w:val="0"/>
          <w:bCs w:val="0"/>
          <w:sz w:val="28"/>
          <w:szCs w:val="36"/>
          <w:lang w:val="ru-RU"/>
        </w:rPr>
      </w:r>
      <w:r>
        <w:rPr>
          <w:rFonts w:hint="default" w:cs="Times New Roman"/>
          <w:b w:val="0"/>
          <w:bCs w:val="0"/>
          <w:sz w:val="28"/>
          <w:szCs w:val="36"/>
          <w:lang w:val="ru-RU"/>
        </w:rPr>
      </w:r>
      <w:r>
        <w:rPr>
          <w:rFonts w:hint="default" w:ascii="Times New Roman" w:hAnsi="Times New Roman" w:cs="Times New Roman"/>
          <w:b w:val="0"/>
          <w:bCs w:val="0"/>
          <w:sz w:val="28"/>
          <w:szCs w:val="36"/>
          <w:lang w:val="ru-RU"/>
        </w:rPr>
      </w:r>
      <w:r>
        <w:rPr>
          <w:rFonts w:hint="default" w:ascii="Times New Roman" w:hAnsi="Times New Roman" w:eastAsia="微软雅黑" w:cs="Times New Roman"/>
          <w:b w:val="0"/>
          <w:bCs w:val="0"/>
          <w:sz w:val="32"/>
          <w:szCs w:val="40"/>
          <w:lang w:val="ru-RU"/>
        </w:rPr>
      </w:r>
      <w:r>
        <w:rPr>
          <w:rFonts w:hint="default" w:eastAsia="微软雅黑" w:cs="Times New Roman"/>
          <w:b w:val="0"/>
          <w:bCs w:val="0"/>
          <w:sz w:val="32"/>
          <w:szCs w:val="40"/>
          <w:lang w:val="ru-RU"/>
        </w:rPr>
      </w:r>
      <w:r>
        <w:rPr>
          <w:rFonts w:hint="default" w:ascii="Times New Roman" w:hAnsi="Times New Roman" w:eastAsia="微软雅黑" w:cs="Times New Roman"/>
          <w:b w:val="0"/>
          <w:bCs w:val="0"/>
          <w:sz w:val="32"/>
          <w:szCs w:val="40"/>
          <w:lang w:val="ru-RU"/>
        </w:rPr>
      </w: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cs="Times New Roman"/>
          <w:b w:val="0"/>
          <w:bCs w:val="0"/>
          <w:sz w:val="28"/>
          <w:szCs w:val="36"/>
          <w:lang w:val="ru-RU" w:eastAsia="zh-CN"/>
        </w:rPr>
      </w:pPr>
      <w:r>
        <w:rPr>
          <w:rFonts w:hint="default" w:cs="Times New Roman"/>
          <w:b w:val="0"/>
          <w:bCs w:val="0"/>
          <w:sz w:val="28"/>
          <w:szCs w:val="36"/>
          <w:lang w:val="ru-RU" w:eastAsia="zh-CN"/>
        </w:rPr>
        <w:t xml:space="preserve">Выпускная квалификационная работа </w:t>
      </w: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cs="Times New Roman"/>
          <w:b w:val="0"/>
          <w:bCs w:val="0"/>
          <w:sz w:val="28"/>
          <w:szCs w:val="36"/>
          <w:lang w:val="ru-RU"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微软雅黑" w:cs="Times New Roman"/>
          <w:b w:val="0"/>
          <w:bCs w:val="0"/>
          <w:sz w:val="32"/>
          <w:szCs w:val="40"/>
          <w:lang w:val="ru-RU"/>
        </w:rPr>
      </w:pPr>
      <w:r>
        <w:rPr>
          <w:rFonts w:hint="default" w:ascii="Times New Roman" w:hAnsi="Times New Roman" w:eastAsia="微软雅黑" w:cs="Times New Roman"/>
          <w:b w:val="0"/>
          <w:bCs w:val="0"/>
          <w:sz w:val="32"/>
          <w:szCs w:val="40"/>
          <w:lang w:val="ru-RU"/>
        </w:rPr>
        <w:t>«Проектирование алгоритма кластеризации масс-спектров на основе фильтрации базы данных»</w:t>
      </w:r>
      <w:r>
        <w:rPr>
          <w:rFonts w:hint="default" w:ascii="Times New Roman" w:hAnsi="Times New Roman" w:cs="Times New Roman"/>
          <w:b w:val="0"/>
          <w:bCs w:val="0"/>
          <w:sz w:val="28"/>
          <w:szCs w:val="36"/>
          <w:lang w:val="ru-RU" w:eastAsia="zh-CN"/>
        </w:rPr>
      </w:r>
      <w:r>
        <w:rPr>
          <w:rFonts w:hint="default" w:ascii="Times New Roman" w:hAnsi="Times New Roman" w:eastAsia="微软雅黑" w:cs="Times New Roman"/>
          <w:b w:val="0"/>
          <w:bCs w:val="0"/>
          <w:sz w:val="32"/>
          <w:szCs w:val="40"/>
          <w:lang w:val="ru-RU"/>
        </w:rPr>
      </w: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微软雅黑" w:cs="Times New Roman"/>
          <w:b w:val="0"/>
          <w:bCs w:val="0"/>
          <w:sz w:val="32"/>
          <w:szCs w:val="40"/>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r>
        <w:rPr>
          <w:rFonts w:hint="default" w:ascii="Times New Roman" w:hAnsi="Times New Roman" w:eastAsia="微软雅黑" w:cs="Times New Roman"/>
          <w:b w:val="0"/>
          <w:bCs w:val="0"/>
          <w:sz w:val="28"/>
          <w:szCs w:val="36"/>
          <w:lang w:val="ru-RU"/>
        </w:rPr>
        <w:t>Работу выполнил:</w:t>
      </w: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pPr>
        <w:keepNext w:val="0"/>
        <w:keepLines w:val="0"/>
        <w:pageBreakBefore w:val="0"/>
        <w:widowControl w:val="0"/>
        <w:kinsoku/>
        <w:wordWrap w:val="0"/>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r>
        <w:rPr>
          <w:rFonts w:hint="default" w:ascii="Times New Roman" w:hAnsi="Times New Roman" w:eastAsia="微软雅黑" w:cs="Times New Roman"/>
          <w:b w:val="0"/>
          <w:bCs w:val="0"/>
          <w:sz w:val="28"/>
          <w:szCs w:val="36"/>
          <w:lang w:val="ru-RU"/>
        </w:rPr>
        <w:t>Научный руководитель:</w:t>
      </w: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both"/>
        <w:textAlignment w:val="auto"/>
        <w:rPr>
          <w:rFonts w:hint="default" w:ascii="Times New Roman" w:hAnsi="Times New Roman" w:eastAsia="微软雅黑" w:cs="Times New Roman"/>
          <w:b w:val="0"/>
          <w:bCs w:val="0"/>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微软雅黑" w:cs="Times New Roman"/>
          <w:b w:val="0"/>
          <w:bCs w:val="0"/>
          <w:sz w:val="28"/>
          <w:szCs w:val="36"/>
          <w:lang w:val="ru-RU"/>
        </w:rPr>
      </w:pPr>
      <w:r>
        <w:rPr>
          <w:rFonts w:hint="default" w:ascii="Times New Roman" w:hAnsi="Times New Roman" w:eastAsia="微软雅黑" w:cs="Times New Roman"/>
          <w:b w:val="0"/>
          <w:bCs w:val="0"/>
          <w:sz w:val="28"/>
          <w:szCs w:val="36"/>
          <w:lang w:val="ru-RU"/>
        </w:rPr>
        <w:t>Шэньчжэнь</w:t>
      </w: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微软雅黑" w:cs="Times New Roman"/>
          <w:b w:val="0"/>
          <w:bCs w:val="0"/>
          <w:sz w:val="28"/>
          <w:szCs w:val="36"/>
          <w:lang w:val="ru-RU"/>
        </w:rPr>
      </w:pPr>
      <w:r>
        <w:rPr>
          <w:rFonts w:hint="default" w:ascii="Times New Roman" w:hAnsi="Times New Roman" w:eastAsia="微软雅黑" w:cs="Times New Roman"/>
          <w:b w:val="0"/>
          <w:bCs w:val="0"/>
          <w:sz w:val="28"/>
          <w:szCs w:val="36"/>
          <w:lang w:val="ru-RU"/>
        </w:rPr>
        <w:t>2026</w:t>
      </w:r>
    </w:p>
    <w:p>
      <w:pPr>
        <w:keepNext w:val="0"/>
        <w:keepLines w:val="0"/>
        <w:pageBreakBefore w:val="0"/>
        <w:widowControl w:val="0"/>
        <w:kinsoku/>
        <w:wordWrap/>
        <w:overflowPunct/>
        <w:topLinePunct w:val="0"/>
        <w:autoSpaceDE/>
        <w:autoSpaceDN/>
        <w:bidi w:val="0"/>
        <w:adjustRightInd/>
        <w:snapToGrid/>
        <w:spacing w:before="100" w:beforeAutospacing="1" w:after="100" w:afterAutospacing="1" w:line="240" w:lineRule="auto"/>
        <w:jc w:val="both"/>
        <w:textAlignment w:val="auto"/>
        <w:rPr>
          <w:rFonts w:hint="eastAsia" w:ascii="黑体" w:eastAsia="黑体"/>
          <w:b w:val="0"/>
          <w:bCs w:val="0"/>
          <w:sz w:val="36"/>
          <w:lang w:val="en-US" w:eastAsia="zh-CN"/>
        </w:rPr>
      </w:pPr>
    </w:p>
    <w:p>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center"/>
        <w:textAlignment w:val="auto"/>
        <w:rPr>
          <w:rFonts w:hint="eastAsia" w:ascii="黑体" w:eastAsia="黑体"/>
          <w:b w:val="0"/>
          <w:bCs w:val="0"/>
          <w:sz w:val="36"/>
          <w:lang w:val="en-US" w:eastAsia="zh-CN"/>
        </w:rPr>
      </w:pPr>
      <w:r>
        <w:rPr>
          <w:rFonts w:hint="eastAsia" w:ascii="黑体" w:eastAsia="黑体"/>
          <w:b w:val="0"/>
          <w:bCs w:val="0"/>
          <w:sz w:val="36"/>
          <w:lang w:val="en-US" w:eastAsia="zh-CN"/>
        </w:rPr>
        <w:t>深圳北理莫斯科大学</w:t>
      </w:r>
    </w:p>
    <w:p>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center"/>
        <w:textAlignment w:val="auto"/>
        <w:rPr>
          <w:b w:val="0"/>
          <w:bCs w:val="0"/>
          <w:sz w:val="28"/>
        </w:rPr>
      </w:pPr>
      <w:r>
        <w:rPr>
          <w:rFonts w:hint="eastAsia" w:ascii="黑体" w:eastAsia="黑体"/>
          <w:b w:val="0"/>
          <w:bCs w:val="0"/>
          <w:sz w:val="36"/>
        </w:rPr>
        <w:t>本科毕业论文（设计）诚信声明</w:t>
      </w:r>
      <w:bookmarkEnd w:id="0"/>
      <w:bookmarkEnd w:id="1"/>
      <w:bookmarkEnd w:id="2"/>
      <w:bookmarkEnd w:id="3"/>
      <w:bookmarkEnd w:id="4"/>
      <w:bookmarkEnd w:id="5"/>
      <w:bookmarkEnd w:id="6"/>
      <w:bookmarkEnd w:id="7"/>
      <w:bookmarkEnd w:id="8"/>
    </w:p>
    <w:p>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ind w:firstLine="560" w:firstLineChars="200"/>
        <w:textAlignment w:val="auto"/>
      </w:pPr>
      <w:r>
        <w:rPr>
          <w:rFonts w:hint="eastAsia"/>
          <w:sz w:val="28"/>
        </w:rPr>
        <w:t>本人郑重声明：所呈交的毕业论文（设计），题目《</w:t>
      </w:r>
      <w:r>
        <w:rPr>
          <w:rFonts w:hint="eastAsia"/>
          <w:sz w:val="28"/>
          <w:lang w:val="en-US" w:eastAsia="zh-CN"/>
        </w:rPr>
        <w:t xml:space="preserve">  </w:t>
      </w:r>
      <w:r>
        <w:rPr>
          <w:rFonts w:hint="eastAsia"/>
          <w:color w:val="FF0000"/>
          <w:sz w:val="28"/>
          <w:lang w:val="en-US" w:eastAsia="zh-CN"/>
        </w:rPr>
        <w:t xml:space="preserve">基于数据库过滤的谱图聚类算法设计   </w:t>
      </w:r>
      <w:r>
        <w:rPr>
          <w:rFonts w:hint="eastAsia"/>
          <w:sz w:val="28"/>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pPr>
        <w:ind w:firstLine="435"/>
      </w:pPr>
    </w:p>
    <w:p>
      <w:pPr>
        <w:ind w:firstLine="435"/>
        <w:rPr>
          <w:sz w:val="28"/>
        </w:rPr>
      </w:pPr>
      <w:r>
        <w:t xml:space="preserve">                           </w:t>
      </w:r>
      <w:r>
        <w:rPr>
          <w:rFonts w:hint="eastAsia"/>
          <w:sz w:val="28"/>
        </w:rPr>
        <w:t>毕业论文（设计）作者签名：</w:t>
      </w:r>
    </w:p>
    <w:p>
      <w:pPr>
        <w:ind w:firstLine="435"/>
        <w:rPr>
          <w:rFonts w:hint="eastAsia"/>
          <w:sz w:val="28"/>
        </w:rPr>
      </w:pPr>
      <w:r>
        <w:rPr>
          <w:sz w:val="28"/>
        </w:rPr>
        <w:t xml:space="preserve">                   </w:t>
      </w:r>
      <w:r>
        <w:rPr>
          <w:rFonts w:hint="eastAsia"/>
          <w:sz w:val="28"/>
          <w:lang w:val="en-US" w:eastAsia="zh-CN"/>
        </w:rPr>
        <w:t xml:space="preserve">          </w:t>
      </w:r>
      <w:r>
        <w:rPr>
          <w:rFonts w:hint="eastAsia"/>
          <w:sz w:val="28"/>
        </w:rPr>
        <w:t>日期：</w:t>
      </w:r>
      <w:r>
        <w:rPr>
          <w:sz w:val="28"/>
        </w:rPr>
        <w:t xml:space="preserve">       </w:t>
      </w:r>
      <w:r>
        <w:rPr>
          <w:rFonts w:hint="eastAsia"/>
          <w:sz w:val="28"/>
          <w:lang w:val="en-US" w:eastAsia="zh-CN"/>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日</w:t>
      </w:r>
    </w:p>
    <w:p>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both"/>
        <w:textAlignment w:val="auto"/>
        <w:rPr>
          <w:rFonts w:hint="eastAsia" w:ascii="黑体" w:eastAsia="黑体"/>
          <w:b w:val="0"/>
          <w:bCs w:val="0"/>
          <w:sz w:val="36"/>
          <w:lang w:val="en-US" w:eastAsia="zh-CN"/>
        </w:rPr>
      </w:pPr>
    </w:p>
    <w:p>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center"/>
        <w:textAlignment w:val="auto"/>
        <w:rPr>
          <w:b w:val="0"/>
          <w:bCs w:val="0"/>
        </w:rPr>
      </w:pPr>
      <w:r>
        <w:rPr>
          <w:rFonts w:hint="eastAsia" w:ascii="黑体" w:eastAsia="黑体"/>
          <w:b w:val="0"/>
          <w:bCs w:val="0"/>
          <w:sz w:val="36"/>
          <w:lang w:val="en-US" w:eastAsia="zh-CN"/>
        </w:rPr>
        <w:t>学位论文使用授权书</w:t>
      </w:r>
    </w:p>
    <w:p>
      <w:pPr>
        <w:keepNext w:val="0"/>
        <w:keepLines w:val="0"/>
        <w:pageBreakBefore w:val="0"/>
        <w:widowControl w:val="0"/>
        <w:kinsoku/>
        <w:wordWrap/>
        <w:overflowPunct/>
        <w:topLinePunct w:val="0"/>
        <w:autoSpaceDE/>
        <w:autoSpaceDN/>
        <w:bidi w:val="0"/>
        <w:adjustRightInd/>
        <w:snapToGrid/>
        <w:spacing w:line="460" w:lineRule="exact"/>
        <w:ind w:firstLine="686" w:firstLineChars="245"/>
        <w:textAlignment w:val="auto"/>
        <w:rPr>
          <w:sz w:val="28"/>
          <w:szCs w:val="36"/>
        </w:rPr>
      </w:pPr>
      <w:r>
        <w:rPr>
          <w:rFonts w:hint="eastAsia"/>
          <w:sz w:val="28"/>
          <w:szCs w:val="36"/>
        </w:rPr>
        <w:t>本人完全了解</w:t>
      </w:r>
      <w:r>
        <w:rPr>
          <w:rFonts w:hint="eastAsia"/>
          <w:sz w:val="28"/>
          <w:szCs w:val="36"/>
          <w:lang w:val="en-US" w:eastAsia="zh-CN"/>
        </w:rPr>
        <w:t>深圳北理莫斯科大学</w:t>
      </w:r>
      <w:r>
        <w:rPr>
          <w:rFonts w:hint="eastAsia"/>
          <w:sz w:val="28"/>
          <w:szCs w:val="36"/>
        </w:rPr>
        <w:t>关于收集、保存、使用学位论文的规定，即：</w:t>
      </w:r>
    </w:p>
    <w:p>
      <w:pPr>
        <w:pStyle w:val="39"/>
        <w:keepNext w:val="0"/>
        <w:keepLines w:val="0"/>
        <w:pageBreakBefore w:val="0"/>
        <w:widowControl w:val="0"/>
        <w:numPr>
          <w:ilvl w:val="0"/>
          <w:numId w:val="2"/>
        </w:numPr>
        <w:tabs>
          <w:tab w:val="left" w:pos="900"/>
        </w:tabs>
        <w:kinsoku/>
        <w:wordWrap/>
        <w:overflowPunct/>
        <w:topLinePunct w:val="0"/>
        <w:autoSpaceDE/>
        <w:autoSpaceDN/>
        <w:bidi w:val="0"/>
        <w:adjustRightInd/>
        <w:snapToGrid/>
        <w:spacing w:line="460" w:lineRule="exact"/>
        <w:ind w:firstLineChars="0"/>
        <w:textAlignment w:val="auto"/>
      </w:pPr>
      <w:r>
        <w:rPr>
          <w:rFonts w:hint="eastAsia"/>
          <w:sz w:val="28"/>
          <w:szCs w:val="36"/>
        </w:rPr>
        <w:t>按照学校要求提交学位论文的印刷本和电子版本；</w:t>
      </w:r>
    </w:p>
    <w:p>
      <w:pPr>
        <w:pStyle w:val="39"/>
        <w:keepNext w:val="0"/>
        <w:keepLines w:val="0"/>
        <w:pageBreakBefore w:val="0"/>
        <w:widowControl w:val="0"/>
        <w:numPr>
          <w:ilvl w:val="0"/>
          <w:numId w:val="2"/>
        </w:numPr>
        <w:tabs>
          <w:tab w:val="left" w:pos="900"/>
        </w:tabs>
        <w:kinsoku/>
        <w:wordWrap/>
        <w:overflowPunct/>
        <w:topLinePunct w:val="0"/>
        <w:autoSpaceDE/>
        <w:autoSpaceDN/>
        <w:bidi w:val="0"/>
        <w:adjustRightInd/>
        <w:snapToGrid/>
        <w:spacing w:line="460" w:lineRule="exact"/>
        <w:ind w:firstLineChars="0"/>
        <w:textAlignment w:val="auto"/>
      </w:pPr>
      <w:r>
        <w:rPr>
          <w:rFonts w:hint="eastAsia"/>
          <w:sz w:val="28"/>
          <w:szCs w:val="36"/>
        </w:rPr>
        <w:t>学校可以可以采用影印、缩印或其他复制手段保存论文</w:t>
      </w:r>
      <w:r>
        <w:rPr>
          <w:rFonts w:hint="eastAsia"/>
          <w:sz w:val="28"/>
          <w:szCs w:val="36"/>
          <w:lang w:eastAsia="zh-CN"/>
        </w:rPr>
        <w:t>；</w:t>
      </w:r>
    </w:p>
    <w:p>
      <w:pPr>
        <w:pStyle w:val="39"/>
        <w:keepNext w:val="0"/>
        <w:keepLines w:val="0"/>
        <w:pageBreakBefore w:val="0"/>
        <w:widowControl w:val="0"/>
        <w:numPr>
          <w:ilvl w:val="0"/>
          <w:numId w:val="2"/>
        </w:numPr>
        <w:tabs>
          <w:tab w:val="left" w:pos="900"/>
        </w:tabs>
        <w:kinsoku/>
        <w:wordWrap/>
        <w:overflowPunct/>
        <w:topLinePunct w:val="0"/>
        <w:autoSpaceDE/>
        <w:autoSpaceDN/>
        <w:bidi w:val="0"/>
        <w:adjustRightInd/>
        <w:snapToGrid/>
        <w:spacing w:line="460" w:lineRule="exact"/>
        <w:ind w:firstLineChars="0"/>
        <w:textAlignment w:val="auto"/>
      </w:pPr>
      <w:r>
        <w:rPr>
          <w:rFonts w:hint="eastAsia"/>
          <w:sz w:val="28"/>
          <w:szCs w:val="36"/>
          <w:lang w:val="en-US" w:eastAsia="zh-CN"/>
        </w:rPr>
        <w:t>学校可以向国家有关部门或机构送交论文电子版，允许论文被查阅、抽检</w:t>
      </w:r>
      <w:r>
        <w:rPr>
          <w:rFonts w:hint="eastAsia"/>
          <w:sz w:val="28"/>
          <w:szCs w:val="36"/>
        </w:rPr>
        <w:t>。</w:t>
      </w:r>
    </w:p>
    <w:p>
      <w:pPr>
        <w:ind w:firstLine="480"/>
      </w:pPr>
    </w:p>
    <w:p>
      <w:pPr>
        <w:wordWrap w:val="0"/>
        <w:spacing w:line="480" w:lineRule="auto"/>
        <w:ind w:firstLine="2100" w:firstLineChars="1000"/>
        <w:jc w:val="center"/>
        <w:rPr>
          <w:rFonts w:hint="eastAsia"/>
          <w:lang w:val="en-US" w:eastAsia="zh-CN"/>
        </w:rPr>
      </w:pPr>
      <w:r>
        <w:rPr>
          <w:rFonts w:hint="eastAsia"/>
          <w:lang w:val="en-US" w:eastAsia="zh-CN"/>
        </w:rPr>
        <w:t xml:space="preserve">      </w:t>
      </w:r>
    </w:p>
    <w:p>
      <w:pPr>
        <w:wordWrap w:val="0"/>
        <w:spacing w:line="480" w:lineRule="auto"/>
        <w:ind w:firstLine="2800" w:firstLineChars="1000"/>
        <w:jc w:val="center"/>
        <w:rPr>
          <w:rFonts w:hint="eastAsia"/>
          <w:sz w:val="28"/>
          <w:szCs w:val="28"/>
        </w:rPr>
      </w:pPr>
      <w:r>
        <w:rPr>
          <w:rFonts w:hint="eastAsia"/>
          <w:sz w:val="28"/>
        </w:rPr>
        <w:t>毕业论文（设计）作者</w:t>
      </w:r>
      <w:r>
        <w:rPr>
          <w:rFonts w:hint="eastAsia"/>
          <w:sz w:val="28"/>
          <w:szCs w:val="28"/>
        </w:rPr>
        <w:t xml:space="preserve">签名：  </w:t>
      </w:r>
    </w:p>
    <w:p>
      <w:pPr>
        <w:wordWrap w:val="0"/>
        <w:spacing w:line="480" w:lineRule="auto"/>
        <w:ind w:firstLine="2800" w:firstLineChars="1000"/>
        <w:jc w:val="center"/>
        <w:rPr>
          <w:sz w:val="28"/>
          <w:szCs w:val="28"/>
        </w:rPr>
      </w:pPr>
      <w:r>
        <w:rPr>
          <w:rFonts w:hint="eastAsia"/>
          <w:sz w:val="28"/>
          <w:szCs w:val="28"/>
          <w:lang w:val="en-US" w:eastAsia="zh-CN"/>
        </w:rPr>
        <w:t xml:space="preserve">                  指导教师签名：</w:t>
      </w:r>
      <w:r>
        <w:rPr>
          <w:sz w:val="28"/>
          <w:szCs w:val="28"/>
        </w:rPr>
        <w:t xml:space="preserve"> </w:t>
      </w:r>
      <w:r>
        <w:rPr>
          <w:rFonts w:hint="eastAsia"/>
          <w:sz w:val="28"/>
          <w:szCs w:val="28"/>
        </w:rPr>
        <w:t xml:space="preserve">  </w:t>
      </w:r>
      <w:r>
        <w:rPr>
          <w:sz w:val="28"/>
          <w:szCs w:val="28"/>
        </w:rPr>
        <w:t xml:space="preserve">   </w:t>
      </w:r>
      <w:r>
        <w:rPr>
          <w:rFonts w:hint="eastAsia"/>
          <w:sz w:val="28"/>
          <w:szCs w:val="28"/>
        </w:rPr>
        <w:t xml:space="preserve">  </w:t>
      </w:r>
    </w:p>
    <w:p>
      <w:pPr>
        <w:spacing w:line="400" w:lineRule="atLeast"/>
        <w:ind w:firstLine="480"/>
        <w:jc w:val="center"/>
        <w:rPr>
          <w:rFonts w:hint="eastAsia"/>
          <w:sz w:val="28"/>
          <w:szCs w:val="28"/>
        </w:rPr>
      </w:pPr>
      <w:r>
        <w:rPr>
          <w:rFonts w:hint="eastAsia"/>
          <w:sz w:val="28"/>
          <w:szCs w:val="28"/>
          <w:lang w:val="en-US" w:eastAsia="zh-CN"/>
        </w:rPr>
        <w:t xml:space="preserve">                    </w:t>
      </w:r>
      <w:r>
        <w:rPr>
          <w:rFonts w:hint="eastAsia"/>
          <w:sz w:val="28"/>
          <w:szCs w:val="28"/>
        </w:rPr>
        <w:t xml:space="preserve">日期：   </w:t>
      </w:r>
      <w:r>
        <w:rPr>
          <w:rFonts w:hint="eastAsia"/>
          <w:sz w:val="28"/>
          <w:szCs w:val="28"/>
          <w:lang w:val="en-US" w:eastAsia="zh-CN"/>
        </w:rPr>
        <w:t xml:space="preserve">    </w:t>
      </w:r>
      <w:r>
        <w:rPr>
          <w:rFonts w:hint="eastAsia"/>
          <w:sz w:val="28"/>
          <w:szCs w:val="28"/>
        </w:rPr>
        <w:t>年   月   日</w:t>
      </w:r>
    </w:p>
    <w:p>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center"/>
        <w:textAlignment w:val="auto"/>
        <w:rPr>
          <w:rFonts w:hint="default" w:ascii="Times New Roman" w:hAnsi="Times New Roman" w:eastAsia="黑体" w:cs="Times New Roman"/>
          <w:b/>
          <w:bCs/>
          <w:color w:val="auto"/>
          <w:sz w:val="32"/>
          <w:szCs w:val="22"/>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黑体" w:cs="Times New Roman"/>
          <w:b/>
          <w:bCs/>
          <w:color w:val="auto"/>
          <w:sz w:val="32"/>
          <w:szCs w:val="22"/>
          <w:lang w:val="en-US" w:eastAsia="zh-CN"/>
        </w:rPr>
      </w:pPr>
      <w:r>
        <w:rPr>
          <w:rFonts w:hint="default" w:ascii="Times New Roman" w:hAnsi="Times New Roman" w:eastAsia="黑体" w:cs="Times New Roman"/>
          <w:b/>
          <w:bCs/>
          <w:color w:val="auto"/>
          <w:sz w:val="32"/>
          <w:szCs w:val="22"/>
          <w:lang w:val="en-US" w:eastAsia="zh-CN"/>
        </w:rPr>
        <w:t>Совместный университет МГУ-ППИ в Шэньчжэне</w:t>
      </w:r>
    </w:p>
    <w:p>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黑体" w:cs="Times New Roman"/>
          <w:b w:val="0"/>
          <w:bCs w:val="0"/>
          <w:color w:val="auto"/>
          <w:sz w:val="32"/>
          <w:szCs w:val="22"/>
          <w:lang w:val="ru-RU" w:eastAsia="zh-CN"/>
        </w:rPr>
      </w:pPr>
      <w:r>
        <w:rPr>
          <w:rFonts w:hint="default" w:ascii="Times New Roman" w:hAnsi="Times New Roman" w:eastAsia="黑体" w:cs="Times New Roman"/>
          <w:b/>
          <w:bCs/>
          <w:color w:val="auto"/>
          <w:sz w:val="32"/>
          <w:szCs w:val="22"/>
          <w:lang w:val="en-US" w:eastAsia="zh-CN"/>
        </w:rPr>
        <w:t>Заявление о добросовестности</w:t>
      </w:r>
      <w:r>
        <w:rPr>
          <w:rFonts w:hint="default" w:ascii="Times New Roman" w:hAnsi="Times New Roman" w:eastAsia="黑体" w:cs="Times New Roman"/>
          <w:b/>
          <w:bCs/>
          <w:color w:val="auto"/>
          <w:sz w:val="32"/>
          <w:szCs w:val="22"/>
          <w:lang w:val="ru-RU" w:eastAsia="zh-CN"/>
        </w:rPr>
        <w:t xml:space="preserve"> выпускной </w:t>
      </w:r>
      <w:r>
        <w:rPr>
          <w:rFonts w:hint="default" w:ascii="Times New Roman" w:hAnsi="Times New Roman" w:eastAsia="黑体" w:cs="Times New Roman"/>
          <w:b/>
          <w:bCs/>
          <w:color w:val="auto"/>
          <w:sz w:val="32"/>
          <w:szCs w:val="22"/>
          <w:lang w:val="en-US" w:eastAsia="zh-CN"/>
        </w:rPr>
        <w:t>работ</w:t>
      </w:r>
      <w:r>
        <w:rPr>
          <w:rFonts w:hint="default" w:ascii="Times New Roman" w:hAnsi="Times New Roman" w:eastAsia="黑体" w:cs="Times New Roman"/>
          <w:b/>
          <w:bCs/>
          <w:color w:val="auto"/>
          <w:sz w:val="32"/>
          <w:szCs w:val="22"/>
          <w:lang w:val="ru-RU" w:eastAsia="zh-CN"/>
        </w:rPr>
        <w:t>ы</w:t>
      </w:r>
      <w:r>
        <w:rPr>
          <w:rFonts w:hint="default" w:ascii="Times New Roman" w:hAnsi="Times New Roman" w:eastAsia="黑体" w:cs="Times New Roman"/>
          <w:b/>
          <w:bCs/>
          <w:color w:val="auto"/>
          <w:sz w:val="32"/>
          <w:szCs w:val="22"/>
          <w:lang w:val="en-US" w:eastAsia="zh-CN"/>
        </w:rPr>
        <w:t xml:space="preserve"> (проект</w:t>
      </w:r>
      <w:r>
        <w:rPr>
          <w:rFonts w:hint="default" w:ascii="Times New Roman" w:hAnsi="Times New Roman" w:eastAsia="黑体" w:cs="Times New Roman"/>
          <w:b/>
          <w:bCs/>
          <w:color w:val="auto"/>
          <w:sz w:val="32"/>
          <w:szCs w:val="22"/>
          <w:lang w:val="ru-RU" w:eastAsia="zh-CN"/>
        </w:rPr>
        <w:t>а</w:t>
      </w:r>
      <w:r>
        <w:rPr>
          <w:rFonts w:hint="default" w:ascii="Times New Roman" w:hAnsi="Times New Roman" w:eastAsia="黑体" w:cs="Times New Roman"/>
          <w:b/>
          <w:bCs/>
          <w:color w:val="auto"/>
          <w:sz w:val="32"/>
          <w:szCs w:val="22"/>
          <w:lang w:val="en-US" w:eastAsia="zh-CN"/>
        </w:rPr>
        <w:t xml:space="preserve">) </w:t>
      </w:r>
      <w:r>
        <w:rPr>
          <w:rFonts w:hint="default" w:ascii="Times New Roman" w:hAnsi="Times New Roman" w:eastAsia="黑体" w:cs="Times New Roman"/>
          <w:b/>
          <w:bCs/>
          <w:color w:val="auto"/>
          <w:sz w:val="32"/>
          <w:szCs w:val="22"/>
          <w:lang w:val="ru-RU" w:eastAsia="zh-CN"/>
        </w:rPr>
        <w:t xml:space="preserve">на ступени </w:t>
      </w:r>
      <w:r>
        <w:rPr>
          <w:rFonts w:hint="default" w:ascii="Times New Roman" w:hAnsi="Times New Roman" w:eastAsia="黑体" w:cs="Times New Roman"/>
          <w:b/>
          <w:bCs/>
          <w:color w:val="auto"/>
          <w:sz w:val="32"/>
          <w:szCs w:val="22"/>
          <w:lang w:val="en-US" w:eastAsia="zh-CN"/>
        </w:rPr>
        <w:t>бакалавр</w:t>
      </w:r>
      <w:r>
        <w:rPr>
          <w:rFonts w:hint="default" w:ascii="Times New Roman" w:hAnsi="Times New Roman" w:eastAsia="黑体" w:cs="Times New Roman"/>
          <w:b/>
          <w:bCs/>
          <w:color w:val="auto"/>
          <w:sz w:val="32"/>
          <w:szCs w:val="22"/>
          <w:lang w:val="ru-RU" w:eastAsia="zh-CN"/>
        </w:rPr>
        <w:t xml:space="preserve">иата </w:t>
      </w:r>
    </w:p>
    <w:p>
      <w:pPr>
        <w:ind w:firstLine="480" w:firstLineChars="200"/>
        <w:rPr>
          <w:rFonts w:ascii="Times New Roman" w:hAnsi="Times New Roman" w:cs="Times New Roman"/>
          <w:color w:val="000000"/>
          <w:sz w:val="24"/>
          <w:szCs w:val="24"/>
          <w:shd w:val="clear" w:color="auto" w:fill="FFFFFF"/>
        </w:rPr>
      </w:pPr>
    </w:p>
    <w:p>
      <w:pPr>
        <w:keepNext w:val="0"/>
        <w:keepLines w:val="0"/>
        <w:pageBreakBefore w:val="0"/>
        <w:widowControl w:val="0"/>
        <w:kinsoku/>
        <w:wordWrap/>
        <w:overflowPunct/>
        <w:topLinePunct w:val="0"/>
        <w:autoSpaceDE/>
        <w:autoSpaceDN/>
        <w:bidi w:val="0"/>
        <w:adjustRightInd/>
        <w:snapToGrid/>
        <w:spacing w:line="360" w:lineRule="exact"/>
        <w:ind w:firstLine="560" w:firstLineChars="200"/>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Я делаю серьезное заявление: представленная выпускная работа (дипломный проект) с темой «Проектирование алгоритма кластеризации масс-спектров на основе фильтрации базы данных» является результатом исследовательской работы, проведенной мной самостоятельно под руководством научного руководителя. В тексте дипломной работы отчетливо указаны все отдельные лица и коллективы, внёсшие важный вклад в исследование. Кроме того, в дипломной работе не содержатся опубликованные либо написанные произведения отдельных лиц или коллективов. Я полностью осознаю юридическую ответственность за данное заявление.</w:t>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lang w:val="ru-RU"/>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lang w:val="ru-RU"/>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ascii="Times New Roman" w:hAnsi="Times New Roman" w:cs="Times New Roman"/>
          <w:color w:val="FF0000"/>
          <w:sz w:val="28"/>
          <w:szCs w:val="28"/>
          <w:shd w:val="clear" w:color="auto" w:fill="FFFFFF"/>
          <w:lang w:val="ru-RU"/>
        </w:rPr>
      </w:r>
      <w:r>
        <w:rPr>
          <w:rFonts w:hint="default" w:ascii="Times New Roman" w:hAnsi="Times New Roman" w:cs="Times New Roman"/>
          <w:color w:val="FF0000"/>
          <w:sz w:val="28"/>
          <w:szCs w:val="28"/>
          <w:shd w:val="clear" w:color="auto" w:fill="FFFFFF"/>
          <w:lang w:val="ru-RU"/>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lang w:val="ru-RU"/>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lang w:val="ru-RU"/>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lang w:val="ru-RU"/>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lang w:val="ru-RU"/>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lang w:val="ru-RU"/>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lang w:val="ru-RU"/>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lang w:val="ru-RU"/>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lang w:val="ru-RU"/>
        </w:rPr>
      </w:r>
      <w:r>
        <w:rPr>
          <w:rFonts w:hint="default" w:ascii="Times New Roman" w:hAnsi="Times New Roman" w:cs="Times New Roman"/>
          <w:color w:val="000000"/>
          <w:sz w:val="28"/>
          <w:szCs w:val="28"/>
          <w:shd w:val="clear" w:color="auto" w:fill="FFFFFF"/>
          <w:lang w:val="ru-RU"/>
        </w:rPr>
      </w:r>
      <w:r>
        <w:rPr>
          <w:rFonts w:ascii="Times New Roman" w:hAnsi="Times New Roman" w:cs="Times New Roman"/>
          <w:color w:val="000000"/>
          <w:sz w:val="28"/>
          <w:szCs w:val="28"/>
          <w:shd w:val="clear" w:color="auto" w:fill="FFFFFF"/>
        </w:rPr>
      </w:r>
    </w:p>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000000"/>
          <w:sz w:val="28"/>
          <w:szCs w:val="28"/>
          <w:shd w:val="clear" w:color="auto" w:fill="FFFFFF"/>
        </w:rPr>
      </w:pPr>
    </w:p>
    <w:p>
      <w:pPr>
        <w:keepNext w:val="0"/>
        <w:keepLines w:val="0"/>
        <w:pageBreakBefore w:val="0"/>
        <w:widowControl w:val="0"/>
        <w:kinsoku/>
        <w:wordWrap/>
        <w:overflowPunct/>
        <w:topLinePunct w:val="0"/>
        <w:autoSpaceDE/>
        <w:autoSpaceDN/>
        <w:bidi w:val="0"/>
        <w:adjustRightInd/>
        <w:snapToGrid/>
        <w:spacing w:line="360" w:lineRule="exact"/>
        <w:ind w:firstLine="700" w:firstLineChars="250"/>
        <w:jc w:val="both"/>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ru-RU"/>
        </w:rPr>
        <w:t>Подпись</w:t>
      </w:r>
      <w:r>
        <w:rPr>
          <w:rFonts w:hint="default" w:ascii="Times New Roman" w:hAnsi="Times New Roman" w:cs="Times New Roman"/>
          <w:color w:val="000000"/>
          <w:sz w:val="28"/>
          <w:szCs w:val="28"/>
          <w:shd w:val="clear" w:color="auto" w:fill="FFFFFF"/>
          <w:lang w:val="ru-RU"/>
        </w:rPr>
        <w:t xml:space="preserve"> автора выпускной работы</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дипломного</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проект</w:t>
      </w:r>
      <w:r>
        <w:rPr>
          <w:rFonts w:ascii="Times New Roman" w:hAnsi="Times New Roman" w:cs="Times New Roman"/>
          <w:color w:val="000000"/>
          <w:sz w:val="28"/>
          <w:szCs w:val="28"/>
          <w:shd w:val="clear" w:color="auto" w:fill="FFFFFF"/>
          <w:lang w:val="ru-RU"/>
        </w:rPr>
        <w:t>а</w:t>
      </w:r>
      <w:r>
        <w:rPr>
          <w:rFonts w:ascii="Times New Roman" w:hAnsi="Times New Roman" w:cs="Times New Roman"/>
          <w:color w:val="000000"/>
          <w:sz w:val="28"/>
          <w:szCs w:val="28"/>
          <w:shd w:val="clear" w:color="auto" w:fill="FFFFFF"/>
        </w:rPr>
        <w:t>):</w:t>
      </w:r>
    </w:p>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000000"/>
          <w:sz w:val="28"/>
          <w:szCs w:val="28"/>
          <w:shd w:val="clear" w:color="auto" w:fill="FFFFFF"/>
        </w:rPr>
      </w:pP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 xml:space="preserve">Дата: </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год      месяц       день</w:t>
      </w:r>
    </w:p>
    <w:p>
      <w:pPr>
        <w:jc w:val="center"/>
        <w:rPr>
          <w:rFonts w:ascii="Times New Roman" w:hAnsi="Times New Roman" w:cs="Times New Roman"/>
          <w:color w:val="000000"/>
          <w:sz w:val="24"/>
          <w:szCs w:val="24"/>
          <w:shd w:val="clear" w:color="auto" w:fill="FFFFFF"/>
        </w:rPr>
      </w:pPr>
    </w:p>
    <w:p>
      <w:pPr>
        <w:jc w:val="center"/>
        <w:rPr>
          <w:rFonts w:ascii="Times New Roman" w:hAnsi="Times New Roman" w:cs="Times New Roman"/>
          <w:color w:val="000000"/>
          <w:sz w:val="24"/>
          <w:szCs w:val="24"/>
          <w:shd w:val="clear" w:color="auto" w:fill="FFFFFF"/>
        </w:rPr>
      </w:pPr>
    </w:p>
    <w:p>
      <w:pPr>
        <w:jc w:val="center"/>
        <w:rPr>
          <w:rFonts w:ascii="Times New Roman" w:hAnsi="Times New Roman" w:cs="Times New Roman"/>
          <w:color w:val="000000"/>
          <w:sz w:val="24"/>
          <w:szCs w:val="24"/>
          <w:shd w:val="clear" w:color="auto" w:fill="FFFFFF"/>
        </w:rPr>
      </w:pPr>
    </w:p>
    <w:p>
      <w:pPr>
        <w:jc w:val="center"/>
        <w:rPr>
          <w:rFonts w:ascii="Times New Roman" w:hAnsi="Times New Roman" w:cs="Times New Roman"/>
          <w:b/>
          <w:bCs/>
          <w:color w:val="000000"/>
          <w:sz w:val="32"/>
          <w:szCs w:val="32"/>
          <w:shd w:val="clear" w:color="auto" w:fill="FFFFFF"/>
        </w:rPr>
      </w:pPr>
      <w:r>
        <w:rPr>
          <w:rFonts w:ascii="Times New Roman" w:hAnsi="Times New Roman" w:cs="Times New Roman"/>
          <w:b/>
          <w:bCs/>
          <w:color w:val="000000"/>
          <w:sz w:val="32"/>
          <w:szCs w:val="32"/>
          <w:shd w:val="clear" w:color="auto" w:fill="FFFFFF"/>
        </w:rPr>
        <w:t xml:space="preserve">Доверенность на </w:t>
      </w:r>
      <w:r>
        <w:rPr>
          <w:rFonts w:ascii="Times New Roman" w:hAnsi="Times New Roman" w:cs="Times New Roman"/>
          <w:b/>
          <w:bCs/>
          <w:color w:val="000000"/>
          <w:sz w:val="32"/>
          <w:szCs w:val="32"/>
          <w:shd w:val="clear" w:color="auto" w:fill="FFFFFF"/>
          <w:lang w:val="ru-RU"/>
        </w:rPr>
        <w:t>использование</w:t>
      </w:r>
      <w:r>
        <w:rPr>
          <w:rFonts w:hint="default" w:ascii="Times New Roman" w:hAnsi="Times New Roman" w:cs="Times New Roman"/>
          <w:b/>
          <w:bCs/>
          <w:color w:val="000000"/>
          <w:sz w:val="32"/>
          <w:szCs w:val="32"/>
          <w:shd w:val="clear" w:color="auto" w:fill="FFFFFF"/>
          <w:lang w:val="ru-RU"/>
        </w:rPr>
        <w:t xml:space="preserve"> </w:t>
      </w:r>
      <w:r>
        <w:rPr>
          <w:rFonts w:ascii="Times New Roman" w:hAnsi="Times New Roman" w:cs="Times New Roman"/>
          <w:b/>
          <w:bCs/>
          <w:color w:val="000000"/>
          <w:sz w:val="32"/>
          <w:szCs w:val="32"/>
          <w:shd w:val="clear" w:color="auto" w:fill="FFFFFF"/>
        </w:rPr>
        <w:t>дипломной работ</w:t>
      </w:r>
      <w:r>
        <w:rPr>
          <w:rFonts w:ascii="Times New Roman" w:hAnsi="Times New Roman" w:cs="Times New Roman"/>
          <w:b/>
          <w:bCs/>
          <w:color w:val="000000"/>
          <w:sz w:val="32"/>
          <w:szCs w:val="32"/>
          <w:shd w:val="clear" w:color="auto" w:fill="FFFFFF"/>
          <w:lang w:val="ru-RU"/>
        </w:rPr>
        <w:t>ы</w:t>
      </w:r>
    </w:p>
    <w:p>
      <w:pPr>
        <w:keepNext w:val="0"/>
        <w:keepLines w:val="0"/>
        <w:pageBreakBefore w:val="0"/>
        <w:widowControl w:val="0"/>
        <w:kinsoku/>
        <w:wordWrap/>
        <w:overflowPunct/>
        <w:topLinePunct w:val="0"/>
        <w:autoSpaceDE/>
        <w:autoSpaceDN/>
        <w:bidi w:val="0"/>
        <w:adjustRightInd/>
        <w:snapToGrid/>
        <w:spacing w:line="360" w:lineRule="exact"/>
        <w:ind w:firstLine="560" w:firstLineChars="200"/>
        <w:jc w:val="both"/>
        <w:textAlignment w:val="auto"/>
        <w:rPr>
          <w:rFonts w:ascii="Times New Roman" w:hAnsi="Times New Roman" w:cs="Times New Roman"/>
          <w:color w:val="000000"/>
          <w:sz w:val="28"/>
          <w:szCs w:val="28"/>
          <w:shd w:val="clear" w:color="auto" w:fill="FFFFFF"/>
        </w:rPr>
      </w:pPr>
    </w:p>
    <w:p>
      <w:pPr>
        <w:keepNext w:val="0"/>
        <w:keepLines w:val="0"/>
        <w:pageBreakBefore w:val="0"/>
        <w:widowControl w:val="0"/>
        <w:kinsoku/>
        <w:wordWrap/>
        <w:overflowPunct/>
        <w:topLinePunct w:val="0"/>
        <w:autoSpaceDE/>
        <w:autoSpaceDN/>
        <w:bidi w:val="0"/>
        <w:adjustRightInd/>
        <w:snapToGrid/>
        <w:spacing w:line="360" w:lineRule="exact"/>
        <w:ind w:firstLine="560" w:firstLineChars="200"/>
        <w:jc w:val="both"/>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Я полностью </w:t>
      </w:r>
      <w:r>
        <w:rPr>
          <w:rFonts w:ascii="Times New Roman" w:hAnsi="Times New Roman" w:cs="Times New Roman"/>
          <w:color w:val="000000"/>
          <w:sz w:val="28"/>
          <w:szCs w:val="28"/>
          <w:shd w:val="clear" w:color="auto" w:fill="FFFFFF"/>
          <w:lang w:val="ru-RU"/>
        </w:rPr>
        <w:t>ознакомлен</w:t>
      </w:r>
      <w:r>
        <w:rPr>
          <w:rFonts w:hint="default" w:ascii="Times New Roman" w:hAnsi="Times New Roman" w:cs="Times New Roman"/>
          <w:color w:val="000000"/>
          <w:sz w:val="28"/>
          <w:szCs w:val="28"/>
          <w:shd w:val="clear" w:color="auto" w:fill="FFFFFF"/>
          <w:lang w:val="ru-RU"/>
        </w:rPr>
        <w:t xml:space="preserve"> с </w:t>
      </w:r>
      <w:r>
        <w:rPr>
          <w:rFonts w:ascii="Times New Roman" w:hAnsi="Times New Roman" w:cs="Times New Roman"/>
          <w:color w:val="000000"/>
          <w:sz w:val="28"/>
          <w:szCs w:val="28"/>
          <w:shd w:val="clear" w:color="auto" w:fill="FFFFFF"/>
        </w:rPr>
        <w:t>правила</w:t>
      </w:r>
      <w:r>
        <w:rPr>
          <w:rFonts w:ascii="Times New Roman" w:hAnsi="Times New Roman" w:cs="Times New Roman"/>
          <w:color w:val="000000"/>
          <w:sz w:val="28"/>
          <w:szCs w:val="28"/>
          <w:shd w:val="clear" w:color="auto" w:fill="FFFFFF"/>
          <w:lang w:val="ru-RU"/>
        </w:rPr>
        <w:t>ми</w:t>
      </w:r>
      <w:r>
        <w:rPr>
          <w:rFonts w:ascii="Times New Roman" w:hAnsi="Times New Roman" w:cs="Times New Roman"/>
          <w:color w:val="000000"/>
          <w:sz w:val="28"/>
          <w:szCs w:val="28"/>
          <w:shd w:val="clear" w:color="auto" w:fill="FFFFFF"/>
        </w:rPr>
        <w:t xml:space="preserve"> Совместного университета МГУ-ППИ в Шэньчжэне в отношении </w:t>
      </w:r>
      <w:r>
        <w:rPr>
          <w:rFonts w:ascii="Times New Roman" w:hAnsi="Times New Roman" w:cs="Times New Roman"/>
          <w:color w:val="000000"/>
          <w:sz w:val="28"/>
          <w:szCs w:val="28"/>
          <w:shd w:val="clear" w:color="auto" w:fill="FFFFFF"/>
          <w:lang w:val="ru-RU"/>
        </w:rPr>
        <w:t>сбора</w:t>
      </w:r>
      <w:r>
        <w:rPr>
          <w:rFonts w:ascii="Times New Roman" w:hAnsi="Times New Roman" w:cs="Times New Roman"/>
          <w:color w:val="000000"/>
          <w:sz w:val="28"/>
          <w:szCs w:val="28"/>
          <w:shd w:val="clear" w:color="auto" w:fill="FFFFFF"/>
        </w:rPr>
        <w:t>, хранени</w:t>
      </w:r>
      <w:r>
        <w:rPr>
          <w:rFonts w:ascii="Times New Roman" w:hAnsi="Times New Roman" w:cs="Times New Roman"/>
          <w:color w:val="000000"/>
          <w:sz w:val="28"/>
          <w:szCs w:val="28"/>
          <w:shd w:val="clear" w:color="auto" w:fill="FFFFFF"/>
          <w:lang w:val="ru-RU"/>
        </w:rPr>
        <w:t>я</w:t>
      </w:r>
      <w:r>
        <w:rPr>
          <w:rFonts w:ascii="Times New Roman" w:hAnsi="Times New Roman" w:cs="Times New Roman"/>
          <w:color w:val="000000"/>
          <w:sz w:val="28"/>
          <w:szCs w:val="28"/>
          <w:shd w:val="clear" w:color="auto" w:fill="FFFFFF"/>
        </w:rPr>
        <w:t xml:space="preserve"> и использовани</w:t>
      </w:r>
      <w:r>
        <w:rPr>
          <w:rFonts w:ascii="Times New Roman" w:hAnsi="Times New Roman" w:cs="Times New Roman"/>
          <w:color w:val="000000"/>
          <w:sz w:val="28"/>
          <w:szCs w:val="28"/>
          <w:shd w:val="clear" w:color="auto" w:fill="FFFFFF"/>
          <w:lang w:val="ru-RU"/>
        </w:rPr>
        <w:t>я</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дипломной работы, а именно:</w:t>
      </w:r>
    </w:p>
    <w:p>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0" w:leftChars="0" w:hanging="420" w:firstLineChars="0"/>
        <w:jc w:val="both"/>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в соответствии с требованиями </w:t>
      </w:r>
      <w:r>
        <w:rPr>
          <w:rFonts w:ascii="Times New Roman" w:hAnsi="Times New Roman" w:cs="Times New Roman"/>
          <w:color w:val="000000"/>
          <w:sz w:val="28"/>
          <w:szCs w:val="28"/>
          <w:shd w:val="clear" w:color="auto" w:fill="FFFFFF"/>
          <w:lang w:val="ru-RU"/>
        </w:rPr>
        <w:t>ВУЗа</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предоставляется</w:t>
      </w:r>
      <w:r>
        <w:rPr>
          <w:rFonts w:hint="default" w:ascii="Times New Roman" w:hAnsi="Times New Roman" w:cs="Times New Roman"/>
          <w:color w:val="000000"/>
          <w:sz w:val="28"/>
          <w:szCs w:val="28"/>
          <w:shd w:val="clear" w:color="auto" w:fill="FFFFFF"/>
          <w:lang w:val="ru-RU"/>
        </w:rPr>
        <w:t xml:space="preserve"> печатная</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и</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электронн</w:t>
      </w:r>
      <w:r>
        <w:rPr>
          <w:rFonts w:ascii="Times New Roman" w:hAnsi="Times New Roman" w:cs="Times New Roman"/>
          <w:color w:val="000000"/>
          <w:sz w:val="28"/>
          <w:szCs w:val="28"/>
          <w:shd w:val="clear" w:color="auto" w:fill="FFFFFF"/>
          <w:lang w:val="ru-RU"/>
        </w:rPr>
        <w:t>ая</w:t>
      </w:r>
      <w:r>
        <w:rPr>
          <w:rFonts w:hint="default" w:ascii="Times New Roman" w:hAnsi="Times New Roman" w:cs="Times New Roman"/>
          <w:color w:val="000000"/>
          <w:sz w:val="28"/>
          <w:szCs w:val="28"/>
          <w:shd w:val="clear" w:color="auto" w:fill="FFFFFF"/>
          <w:lang w:val="ru-RU"/>
        </w:rPr>
        <w:t xml:space="preserve"> версии</w:t>
      </w:r>
      <w:r>
        <w:rPr>
          <w:rFonts w:ascii="Times New Roman" w:hAnsi="Times New Roman" w:cs="Times New Roman"/>
          <w:color w:val="000000"/>
          <w:sz w:val="28"/>
          <w:szCs w:val="28"/>
          <w:shd w:val="clear" w:color="auto" w:fill="FFFFFF"/>
        </w:rPr>
        <w:t xml:space="preserve"> дипломной работы;</w:t>
      </w:r>
    </w:p>
    <w:p>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ru-RU"/>
        </w:rPr>
        <w:t>ВУЗ</w:t>
      </w:r>
      <w:r>
        <w:rPr>
          <w:rFonts w:ascii="Times New Roman" w:hAnsi="Times New Roman" w:cs="Times New Roman"/>
          <w:color w:val="000000"/>
          <w:sz w:val="28"/>
          <w:szCs w:val="28"/>
          <w:shd w:val="clear" w:color="auto" w:fill="FFFFFF"/>
        </w:rPr>
        <w:t xml:space="preserve"> может применять </w:t>
      </w:r>
      <w:r>
        <w:rPr>
          <w:rFonts w:ascii="Times New Roman" w:hAnsi="Times New Roman" w:cs="Times New Roman"/>
          <w:color w:val="000000"/>
          <w:sz w:val="28"/>
          <w:szCs w:val="28"/>
          <w:shd w:val="clear" w:color="auto" w:fill="FFFFFF"/>
          <w:lang w:val="ru-RU"/>
        </w:rPr>
        <w:t>факсимиле</w:t>
      </w:r>
      <w:r>
        <w:rPr>
          <w:rFonts w:ascii="Times New Roman" w:hAnsi="Times New Roman" w:cs="Times New Roman"/>
          <w:color w:val="000000"/>
          <w:sz w:val="28"/>
          <w:szCs w:val="28"/>
          <w:shd w:val="clear" w:color="auto" w:fill="FFFFFF"/>
        </w:rPr>
        <w:t xml:space="preserve">, фотоофсетную печать или прочие методы </w:t>
      </w:r>
      <w:r>
        <w:rPr>
          <w:rFonts w:ascii="Times New Roman" w:hAnsi="Times New Roman" w:cs="Times New Roman"/>
          <w:color w:val="000000"/>
          <w:sz w:val="28"/>
          <w:szCs w:val="28"/>
          <w:shd w:val="clear" w:color="auto" w:fill="FFFFFF"/>
          <w:lang w:val="ru-RU"/>
        </w:rPr>
        <w:t>копирования</w:t>
      </w:r>
      <w:r>
        <w:rPr>
          <w:rFonts w:hint="default" w:ascii="Times New Roman" w:hAnsi="Times New Roman" w:cs="Times New Roman"/>
          <w:color w:val="000000"/>
          <w:sz w:val="28"/>
          <w:szCs w:val="28"/>
          <w:shd w:val="clear" w:color="auto" w:fill="FFFFFF"/>
          <w:lang w:val="ru-RU"/>
        </w:rPr>
        <w:t xml:space="preserve"> и </w:t>
      </w:r>
      <w:r>
        <w:rPr>
          <w:rFonts w:ascii="Times New Roman" w:hAnsi="Times New Roman" w:cs="Times New Roman"/>
          <w:color w:val="000000"/>
          <w:sz w:val="28"/>
          <w:szCs w:val="28"/>
          <w:shd w:val="clear" w:color="auto" w:fill="FFFFFF"/>
        </w:rPr>
        <w:t>хран</w:t>
      </w:r>
      <w:r>
        <w:rPr>
          <w:rFonts w:ascii="Times New Roman" w:hAnsi="Times New Roman" w:cs="Times New Roman"/>
          <w:color w:val="000000"/>
          <w:sz w:val="28"/>
          <w:szCs w:val="28"/>
          <w:shd w:val="clear" w:color="auto" w:fill="FFFFFF"/>
          <w:lang w:val="ru-RU"/>
        </w:rPr>
        <w:t>ения</w:t>
      </w:r>
      <w:r>
        <w:rPr>
          <w:rFonts w:ascii="Times New Roman" w:hAnsi="Times New Roman" w:cs="Times New Roman"/>
          <w:color w:val="000000"/>
          <w:sz w:val="28"/>
          <w:szCs w:val="28"/>
          <w:shd w:val="clear" w:color="auto" w:fill="FFFFFF"/>
        </w:rPr>
        <w:t xml:space="preserve"> дипломн</w:t>
      </w:r>
      <w:r>
        <w:rPr>
          <w:rFonts w:ascii="Times New Roman" w:hAnsi="Times New Roman" w:cs="Times New Roman"/>
          <w:color w:val="000000"/>
          <w:sz w:val="28"/>
          <w:szCs w:val="28"/>
          <w:shd w:val="clear" w:color="auto" w:fill="FFFFFF"/>
          <w:lang w:val="ru-RU"/>
        </w:rPr>
        <w:t>ой</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работ</w:t>
      </w:r>
      <w:r>
        <w:rPr>
          <w:rFonts w:ascii="Times New Roman" w:hAnsi="Times New Roman" w:cs="Times New Roman"/>
          <w:color w:val="000000"/>
          <w:sz w:val="28"/>
          <w:szCs w:val="28"/>
          <w:shd w:val="clear" w:color="auto" w:fill="FFFFFF"/>
          <w:lang w:val="ru-RU"/>
        </w:rPr>
        <w:t>ы</w:t>
      </w:r>
      <w:r>
        <w:rPr>
          <w:rFonts w:ascii="Times New Roman" w:hAnsi="Times New Roman" w:cs="Times New Roman"/>
          <w:color w:val="000000"/>
          <w:sz w:val="28"/>
          <w:szCs w:val="28"/>
          <w:shd w:val="clear" w:color="auto" w:fill="FFFFFF"/>
        </w:rP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cs="Times New Roman"/>
          <w:color w:val="000000"/>
          <w:sz w:val="28"/>
          <w:szCs w:val="28"/>
          <w:shd w:val="clear" w:color="auto" w:fill="FFFFFF"/>
          <w:lang w:val="ru-RU"/>
        </w:rPr>
      </w:pPr>
      <w:r>
        <w:rPr>
          <w:rFonts w:ascii="Times New Roman" w:hAnsi="Times New Roman" w:cs="Times New Roman"/>
          <w:color w:val="000000"/>
          <w:sz w:val="28"/>
          <w:szCs w:val="28"/>
          <w:shd w:val="clear" w:color="auto" w:fill="FFFFFF"/>
          <w:lang w:val="ru-RU"/>
        </w:rPr>
        <w:t>ВУЗ</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может</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 xml:space="preserve">отправлять дипломную работу в другие соответствующие </w:t>
      </w:r>
      <w:r>
        <w:rPr>
          <w:rFonts w:ascii="Times New Roman" w:hAnsi="Times New Roman" w:cs="Times New Roman"/>
          <w:color w:val="000000"/>
          <w:sz w:val="28"/>
          <w:szCs w:val="28"/>
          <w:shd w:val="clear" w:color="auto" w:fill="FFFFFF"/>
          <w:lang w:val="ru-RU"/>
        </w:rPr>
        <w:t>государственные</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органы или учреждения</w:t>
      </w:r>
      <w:r>
        <w:rPr>
          <w:rFonts w:hint="default" w:ascii="Times New Roman" w:hAnsi="Times New Roman" w:cs="Times New Roman"/>
          <w:color w:val="000000"/>
          <w:sz w:val="28"/>
          <w:szCs w:val="28"/>
          <w:shd w:val="clear" w:color="auto" w:fill="FFFFFF"/>
          <w:lang w:val="ru-RU"/>
        </w:rPr>
        <w:t xml:space="preserve"> с целью</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ознакомления</w:t>
      </w:r>
      <w:r>
        <w:rPr>
          <w:rFonts w:hint="default" w:ascii="Times New Roman" w:hAnsi="Times New Roman" w:cs="Times New Roman"/>
          <w:color w:val="000000"/>
          <w:sz w:val="28"/>
          <w:szCs w:val="28"/>
          <w:shd w:val="clear" w:color="auto" w:fill="FFFFFF"/>
          <w:lang w:val="ru-RU"/>
        </w:rPr>
        <w:t xml:space="preserve"> и</w:t>
      </w:r>
      <w:r>
        <w:rPr>
          <w:rFonts w:ascii="Times New Roman" w:hAnsi="Times New Roman" w:cs="Times New Roman"/>
          <w:color w:val="000000"/>
          <w:sz w:val="28"/>
          <w:szCs w:val="28"/>
          <w:shd w:val="clear" w:color="auto" w:fill="FFFFFF"/>
        </w:rPr>
        <w:t xml:space="preserve"> выборочн</w:t>
      </w:r>
      <w:r>
        <w:rPr>
          <w:rFonts w:ascii="Times New Roman" w:hAnsi="Times New Roman" w:cs="Times New Roman"/>
          <w:color w:val="000000"/>
          <w:sz w:val="28"/>
          <w:szCs w:val="28"/>
          <w:shd w:val="clear" w:color="auto" w:fill="FFFFFF"/>
          <w:lang w:val="ru-RU"/>
        </w:rPr>
        <w:t>ой</w:t>
      </w:r>
      <w:r>
        <w:rPr>
          <w:rFonts w:ascii="Times New Roman" w:hAnsi="Times New Roman" w:cs="Times New Roman"/>
          <w:color w:val="000000"/>
          <w:sz w:val="28"/>
          <w:szCs w:val="28"/>
          <w:shd w:val="clear" w:color="auto" w:fill="FFFFFF"/>
        </w:rPr>
        <w:t xml:space="preserve"> проверк</w:t>
      </w:r>
      <w:r>
        <w:rPr>
          <w:rFonts w:ascii="Times New Roman" w:hAnsi="Times New Roman" w:cs="Times New Roman"/>
          <w:color w:val="000000"/>
          <w:sz w:val="28"/>
          <w:szCs w:val="28"/>
          <w:shd w:val="clear" w:color="auto" w:fill="FFFFFF"/>
          <w:lang w:val="ru-RU"/>
        </w:rPr>
        <w:t>и</w:t>
      </w:r>
      <w:r>
        <w:rPr>
          <w:rFonts w:hint="default" w:ascii="Times New Roman" w:hAnsi="Times New Roman" w:cs="Times New Roman"/>
          <w:color w:val="000000"/>
          <w:sz w:val="28"/>
          <w:szCs w:val="28"/>
          <w:shd w:val="clear" w:color="auto" w:fill="FFFFFF"/>
          <w:lang w:val="ru-RU"/>
        </w:rPr>
        <w:t>.</w:t>
      </w:r>
    </w:p>
    <w:p>
      <w:pPr>
        <w:keepNext w:val="0"/>
        <w:keepLines w:val="0"/>
        <w:pageBreakBefore w:val="0"/>
        <w:widowControl w:val="0"/>
        <w:kinsoku/>
        <w:wordWrap/>
        <w:overflowPunct/>
        <w:topLinePunct w:val="0"/>
        <w:autoSpaceDE/>
        <w:autoSpaceDN/>
        <w:bidi w:val="0"/>
        <w:adjustRightInd/>
        <w:snapToGrid/>
        <w:spacing w:line="360" w:lineRule="exact"/>
        <w:ind w:firstLine="2240" w:firstLineChars="800"/>
        <w:jc w:val="both"/>
        <w:textAlignment w:val="auto"/>
        <w:rPr>
          <w:rFonts w:ascii="Times New Roman" w:hAnsi="Times New Roman" w:cs="Times New Roman"/>
          <w:color w:val="000000"/>
          <w:sz w:val="28"/>
          <w:szCs w:val="28"/>
          <w:shd w:val="clear" w:color="auto" w:fill="FFFFFF"/>
          <w:lang w:val="ru-RU"/>
        </w:rPr>
      </w:pPr>
    </w:p>
    <w:p>
      <w:pPr>
        <w:keepNext w:val="0"/>
        <w:keepLines w:val="0"/>
        <w:pageBreakBefore w:val="0"/>
        <w:widowControl w:val="0"/>
        <w:kinsoku/>
        <w:wordWrap/>
        <w:overflowPunct/>
        <w:topLinePunct w:val="0"/>
        <w:autoSpaceDE/>
        <w:autoSpaceDN/>
        <w:bidi w:val="0"/>
        <w:adjustRightInd/>
        <w:snapToGrid/>
        <w:spacing w:line="360" w:lineRule="exact"/>
        <w:ind w:firstLine="2240" w:firstLineChars="800"/>
        <w:jc w:val="both"/>
        <w:textAlignment w:val="auto"/>
        <w:rPr>
          <w:rFonts w:ascii="Times New Roman" w:hAnsi="Times New Roman" w:cs="Times New Roman"/>
          <w:color w:val="000000"/>
          <w:sz w:val="28"/>
          <w:szCs w:val="28"/>
          <w:shd w:val="clear" w:color="auto" w:fill="FFFFFF"/>
          <w:lang w:val="ru-RU"/>
        </w:rPr>
      </w:pPr>
    </w:p>
    <w:p>
      <w:pPr>
        <w:keepNext w:val="0"/>
        <w:keepLines w:val="0"/>
        <w:pageBreakBefore w:val="0"/>
        <w:widowControl w:val="0"/>
        <w:kinsoku/>
        <w:wordWrap/>
        <w:overflowPunct/>
        <w:topLinePunct w:val="0"/>
        <w:autoSpaceDE/>
        <w:autoSpaceDN/>
        <w:bidi w:val="0"/>
        <w:adjustRightInd/>
        <w:snapToGrid/>
        <w:spacing w:line="360" w:lineRule="exact"/>
        <w:ind w:firstLine="2240" w:firstLineChars="800"/>
        <w:jc w:val="both"/>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ru-RU"/>
        </w:rPr>
        <w:t>Подпись</w:t>
      </w:r>
      <w:r>
        <w:rPr>
          <w:rFonts w:hint="default" w:ascii="Times New Roman" w:hAnsi="Times New Roman" w:cs="Times New Roman"/>
          <w:color w:val="000000"/>
          <w:sz w:val="28"/>
          <w:szCs w:val="28"/>
          <w:shd w:val="clear" w:color="auto" w:fill="FFFFFF"/>
          <w:lang w:val="ru-RU"/>
        </w:rPr>
        <w:t xml:space="preserve"> автора выпускной работы</w:t>
      </w:r>
      <w:r>
        <w:rPr>
          <w:rFonts w:ascii="Times New Roman" w:hAnsi="Times New Roman" w:cs="Times New Roman"/>
          <w:color w:val="000000"/>
          <w:sz w:val="28"/>
          <w:szCs w:val="28"/>
          <w:shd w:val="clear" w:color="auto" w:fill="FFFFFF"/>
        </w:rPr>
        <w:t xml:space="preserve"> (проект</w:t>
      </w:r>
      <w:r>
        <w:rPr>
          <w:rFonts w:ascii="Times New Roman" w:hAnsi="Times New Roman" w:cs="Times New Roman"/>
          <w:color w:val="000000"/>
          <w:sz w:val="28"/>
          <w:szCs w:val="28"/>
          <w:shd w:val="clear" w:color="auto" w:fill="FFFFFF"/>
          <w:lang w:val="ru-RU"/>
        </w:rPr>
        <w:t>а</w:t>
      </w:r>
      <w:r>
        <w:rPr>
          <w:rFonts w:ascii="Times New Roman" w:hAnsi="Times New Roman" w:cs="Times New Roman"/>
          <w:color w:val="000000"/>
          <w:sz w:val="28"/>
          <w:szCs w:val="28"/>
          <w:shd w:val="clear" w:color="auto" w:fill="FFFFFF"/>
        </w:rPr>
        <w:t>):</w:t>
      </w:r>
    </w:p>
    <w:p>
      <w:pPr>
        <w:keepNext w:val="0"/>
        <w:keepLines w:val="0"/>
        <w:pageBreakBefore w:val="0"/>
        <w:widowControl w:val="0"/>
        <w:kinsoku/>
        <w:wordWrap/>
        <w:overflowPunct/>
        <w:topLinePunct w:val="0"/>
        <w:autoSpaceDE/>
        <w:autoSpaceDN/>
        <w:bidi w:val="0"/>
        <w:adjustRightInd/>
        <w:snapToGrid/>
        <w:spacing w:line="360" w:lineRule="exact"/>
        <w:ind w:firstLine="3780" w:firstLineChars="1350"/>
        <w:jc w:val="both"/>
        <w:textAlignment w:val="auto"/>
        <w:rPr>
          <w:rFonts w:hint="default" w:ascii="Times New Roman" w:hAnsi="Times New Roman" w:cs="Times New Roman"/>
          <w:color w:val="000000"/>
          <w:sz w:val="28"/>
          <w:szCs w:val="28"/>
          <w:shd w:val="clear" w:color="auto" w:fill="FFFFFF"/>
          <w:lang w:val="ru-RU"/>
        </w:rPr>
      </w:pPr>
      <w:r>
        <w:rPr>
          <w:rFonts w:ascii="Times New Roman" w:hAnsi="Times New Roman" w:cs="Times New Roman"/>
          <w:color w:val="000000"/>
          <w:sz w:val="28"/>
          <w:szCs w:val="28"/>
          <w:shd w:val="clear" w:color="auto" w:fill="FFFFFF"/>
          <w:lang w:val="ru-RU"/>
        </w:rPr>
        <w:t>Подпись</w:t>
      </w:r>
      <w:r>
        <w:rPr>
          <w:rFonts w:hint="default" w:ascii="Times New Roman" w:hAnsi="Times New Roman" w:cs="Times New Roman"/>
          <w:color w:val="000000"/>
          <w:sz w:val="28"/>
          <w:szCs w:val="28"/>
          <w:shd w:val="clear" w:color="auto" w:fill="FFFFFF"/>
          <w:lang w:val="ru-RU"/>
        </w:rPr>
        <w:t xml:space="preserve"> научного руководителя</w:t>
      </w:r>
      <w:r>
        <w:rPr>
          <w:rFonts w:ascii="Times New Roman" w:hAnsi="Times New Roman" w:cs="Times New Roman"/>
          <w:color w:val="000000"/>
          <w:sz w:val="28"/>
          <w:szCs w:val="28"/>
          <w:shd w:val="clear" w:color="auto" w:fill="FFFFFF"/>
        </w:rPr>
        <w:t>:</w:t>
      </w:r>
    </w:p>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sz w:val="28"/>
        </w:rPr>
      </w:pP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Дата: год      месяц       день</w:t>
      </w:r>
    </w:p>
    <w:p>
      <w:pPr>
        <w:keepNext w:val="0"/>
        <w:keepLines w:val="0"/>
        <w:pageBreakBefore w:val="0"/>
        <w:widowControl w:val="0"/>
        <w:kinsoku/>
        <w:wordWrap/>
        <w:overflowPunct/>
        <w:topLinePunct w:val="0"/>
        <w:autoSpaceDE/>
        <w:autoSpaceDN/>
        <w:bidi w:val="0"/>
        <w:adjustRightInd/>
        <w:snapToGrid/>
        <w:spacing w:line="360" w:lineRule="auto"/>
        <w:ind w:firstLine="435"/>
        <w:jc w:val="distribute"/>
        <w:textAlignment w:val="auto"/>
        <w:rPr>
          <w:rFonts w:hint="eastAsia"/>
          <w:sz w:val="28"/>
        </w:rPr>
      </w:pPr>
    </w:p>
    <w:p>
      <w:pPr>
        <w:ind w:firstLine="435"/>
        <w:rPr>
          <w:rFonts w:hint="eastAsia"/>
          <w:sz w:val="28"/>
        </w:rPr>
      </w:pPr>
    </w:p>
    <w:p>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both"/>
        <w:textAlignment w:val="auto"/>
        <w:rPr>
          <w:rFonts w:hint="eastAsia" w:ascii="黑体" w:hAnsi="黑体" w:eastAsia="黑体" w:cs="黑体"/>
          <w:b/>
          <w:bCs/>
          <w:kern w:val="2"/>
          <w:sz w:val="36"/>
          <w:szCs w:val="36"/>
          <w:lang w:val="en-US" w:eastAsia="zh-CN" w:bidi="ar-SA"/>
        </w:rPr>
      </w:pPr>
    </w:p>
    <w:p>
      <w:pPr>
        <w:snapToGrid w:val="0"/>
        <w:spacing w:before="312" w:beforeLines="100" w:after="312" w:afterLines="100"/>
        <w:ind w:firstLine="640"/>
        <w:jc w:val="center"/>
        <w:rPr>
          <w:rFonts w:hint="eastAsia" w:ascii="黑体" w:hAnsi="黑体" w:eastAsia="黑体"/>
          <w:b w:val="0"/>
          <w:bCs w:val="0"/>
          <w:sz w:val="32"/>
          <w:szCs w:val="32"/>
        </w:rPr>
      </w:pPr>
    </w:p>
    <w:p>
      <w:pPr>
        <w:snapToGrid w:val="0"/>
        <w:spacing w:before="312" w:beforeLines="100" w:after="312" w:afterLines="100"/>
        <w:ind w:firstLine="640"/>
        <w:jc w:val="center"/>
        <w:rPr>
          <w:rFonts w:hint="eastAsia" w:ascii="黑体" w:hAnsi="黑体" w:eastAsia="黑体"/>
          <w:b w:val="0"/>
          <w:bCs w:val="0"/>
          <w:sz w:val="32"/>
          <w:szCs w:val="32"/>
        </w:rPr>
      </w:pPr>
    </w:p>
    <w:p>
      <w:pPr>
        <w:snapToGrid w:val="0"/>
        <w:spacing w:before="312" w:beforeLines="100" w:after="312" w:afterLines="100"/>
        <w:jc w:val="both"/>
        <w:rPr>
          <w:rFonts w:hint="eastAsia" w:ascii="黑体" w:hAnsi="黑体" w:eastAsia="黑体"/>
          <w:b w:val="0"/>
          <w:bCs w:val="0"/>
          <w:sz w:val="32"/>
          <w:szCs w:val="32"/>
        </w:rPr>
      </w:pPr>
    </w:p>
    <w:p>
      <w:pPr>
        <w:snapToGrid w:val="0"/>
        <w:ind w:firstLine="0"/>
        <w:jc w:val="center"/>
        <w:rPr>
          <w:rFonts w:hint="eastAsia" w:ascii="黑体" w:hAnsi="黑体" w:eastAsia="黑体"/>
          <w:b w:val="0"/>
          <w:bCs w:val="0"/>
          <w:sz w:val="32"/>
          <w:szCs w:val="32"/>
        </w:rPr>
      </w:pPr>
    </w:p>
    <w:p>
      <w:pPr>
        <w:snapToGrid w:val="0"/>
        <w:spacing w:before="312" w:beforeLines="100" w:after="312" w:afterLines="100"/>
        <w:ind w:firstLine="640"/>
        <w:jc w:val="center"/>
        <w:rPr>
          <w:rFonts w:ascii="黑体" w:hAnsi="黑体" w:eastAsia="黑体"/>
          <w:b w:val="0"/>
          <w:bCs w:val="0"/>
          <w:sz w:val="36"/>
          <w:szCs w:val="36"/>
        </w:rPr>
      </w:pPr>
      <w:r>
        <w:rPr>
          <w:rFonts w:hint="eastAsia" w:ascii="黑体" w:hAnsi="黑体" w:eastAsia="黑体"/>
          <w:b w:val="0"/>
          <w:bCs w:val="0"/>
          <w:sz w:val="36"/>
          <w:szCs w:val="36"/>
        </w:rPr>
        <w:t>摘</w:t>
      </w:r>
      <w:r>
        <w:rPr>
          <w:rFonts w:hint="eastAsia" w:ascii="黑体" w:hAnsi="黑体" w:eastAsia="黑体"/>
          <w:b w:val="0"/>
          <w:bCs w:val="0"/>
          <w:sz w:val="36"/>
          <w:szCs w:val="36"/>
          <w:lang w:val="en-US" w:eastAsia="zh-CN"/>
        </w:rPr>
        <w:t xml:space="preserve">    </w:t>
      </w:r>
      <w:r>
        <w:rPr>
          <w:rFonts w:hint="eastAsia" w:ascii="黑体" w:hAnsi="黑体" w:eastAsia="黑体"/>
          <w:b w:val="0"/>
          <w:bCs w:val="0"/>
          <w:sz w:val="36"/>
          <w:szCs w:val="36"/>
        </w:rPr>
        <w:t>要</w:t>
      </w:r>
      <w:r>
        <w:fldChar w:fldCharType="begin"/>
        <w:instrText xml:space="preserve">TC "摘 要" \f C \l "1"</w:instrText>
        <w:fldChar w:fldCharType="end"/>
      </w:r>
    </w:p>
    <w:p>
      <w:pPr>
        <w:snapToGrid w:val="0"/>
        <w:spacing w:line="360" w:lineRule="auto"/>
        <w:ind w:firstLine="480"/>
        <w:jc w:val="left"/>
        <w:rPr>
          <w:rFonts w:hint="eastAsia"/>
          <w:sz w:val="24"/>
          <w:szCs w:val="32"/>
        </w:rPr>
      </w:pPr>
    </w:p>
    <w:p>
      <w:pPr>
        <w:snapToGrid w:val="0"/>
        <w:spacing w:line="360" w:lineRule="auto"/>
        <w:ind w:firstLine="480"/>
        <w:jc w:val="left"/>
        <w:rPr>
          <w:rFonts w:hint="eastAsia"/>
          <w:sz w:val="24"/>
          <w:szCs w:val="32"/>
        </w:rPr>
      </w:pPr>
      <w:r>
        <w:rPr>
          <w:rFonts w:hint="eastAsia"/>
          <w:sz w:val="24"/>
          <w:szCs w:val="32"/>
        </w:rPr>
        <w:t>自上而下质谱技术以完整蛋白质及蛋白质形态为分析对象，能够保留蛋白质修饰、截短和序列变异等信息，是蛋白质形态鉴定的重要技术手段。但其 MS/MS 谱图通常峰数多、质量范围宽，在谱图库构建和检索阶段容易出现候选谱图对数量膨胀的问题。针对这一问题，本研究围绕 TopLib 谱图库构建思想，设计一种基于数据库过滤的谱图聚类算法：先将谱图前体质量、荷电状态和碎片峰信息组织到 SQLite 数据库中，再利用前体质量窗口与荷电状态筛选候选谱图对，最后对候选对计算碎片峰余弦相似度并进行连通分量聚类。</w:t>
      </w:r>
    </w:p>
    <w:p>
      <w:pPr>
        <w:snapToGrid w:val="0"/>
        <w:spacing w:line="360" w:lineRule="auto"/>
        <w:ind w:firstLine="480"/>
        <w:jc w:val="left"/>
        <w:rPr>
          <w:rFonts w:hint="eastAsia"/>
          <w:sz w:val="24"/>
          <w:szCs w:val="32"/>
        </w:rPr>
      </w:pPr>
      <w:r>
        <w:rPr>
          <w:rFonts w:hint="eastAsia"/>
          <w:sz w:val="24"/>
          <w:szCs w:val="32"/>
        </w:rPr>
        <w:t>本研究的实验数据来自 PRIDE 数据库，选用与 TopLib 论文数据可用性声明对应的 PXD019368，并使用 PXD029703 中的 SW480 RAW 样本进行来源核对。实验共解析 31 个 msalign 文件、27,475 条谱图和 31 个 TopPIC 结果表，选取其中 4,480 条具有可靠标注的谱图作为评价对象。结果显示，完整两两比较需要 10,032,960 个谱图对，经过数据库过滤后候选对减少为 14,614 个，过滤率达到 99.85%；在碎片峰相似度阈值为 0.30 的条件下，算法 ARI 为 0.8435、NMI 为 0.9837、错误聚类率为 10.98%。实验结果说明，数据库过滤能够在公开自上而下质谱数据中显著压缩候选空间，并保持较稳定的聚类一致性。</w:t>
      </w:r>
    </w:p>
    <w:p>
      <w:pPr>
        <w:snapToGrid w:val="0"/>
        <w:spacing w:line="360" w:lineRule="auto"/>
        <w:ind w:firstLine="480"/>
        <w:jc w:val="left"/>
        <w:rPr>
          <w:rFonts w:hint="eastAsia"/>
          <w:sz w:val="24"/>
          <w:szCs w:val="32"/>
        </w:rPr>
      </w:pPr>
    </w:p>
    <w:p>
      <w:pPr>
        <w:snapToGrid w:val="0"/>
        <w:spacing w:line="360" w:lineRule="auto"/>
        <w:ind w:firstLine="482"/>
        <w:jc w:val="left"/>
        <w:rPr>
          <w:rFonts w:hint="eastAsia" w:eastAsia="宋体"/>
          <w:lang w:val="en-US" w:eastAsia="zh-CN"/>
        </w:rPr>
        <w:sectPr>
          <w:headerReference r:id="rId4" w:type="first"/>
          <w:footerReference r:id="rId6" w:type="first"/>
          <w:headerReference r:id="rId3" w:type="default"/>
          <w:footerReference r:id="rId5" w:type="default"/>
          <w:pgSz w:w="11906" w:h="16838"/>
          <w:pgMar w:top="1134" w:right="850" w:bottom="1134" w:left="1701"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b w:val="0"/>
          <w:i w:val="0"/>
          <w:color w:val="000000"/>
          <w:sz w:val="24"/>
          <w:rFonts w:eastAsia="黑体" w:ascii="黑体" w:hAnsi="黑体"/>
        </w:rPr>
        <w:t>【关键词】</w:t>
      </w:r>
      <w:r>
        <w:rPr>
          <w:b/>
          <w:i w:val="0"/>
          <w:color w:val="000000"/>
          <w:sz w:val="24"/>
          <w:rFonts w:eastAsia="宋体" w:ascii="Times New Roman" w:hAnsi="Times New Roman"/>
        </w:rPr>
        <w:t>：</w:t>
      </w:r>
      <w:r>
        <w:rPr>
          <w:b w:val="0"/>
          <w:i w:val="0"/>
          <w:color w:val="000000"/>
          <w:sz w:val="24"/>
          <w:rFonts w:eastAsia="宋体" w:ascii="Times New Roman" w:hAnsi="Times New Roman"/>
        </w:rPr>
        <w:t>数据库过滤；谱图聚类；SQLite；候选检索；相似度计算</w:t>
      </w:r>
    </w:p>
    <w:p>
      <w:pPr>
        <w:snapToGrid w:val="0"/>
        <w:spacing w:before="312" w:beforeLines="100" w:after="312" w:afterLines="100"/>
        <w:ind w:firstLine="643"/>
        <w:jc w:val="center"/>
        <w:rPr>
          <w:rFonts w:ascii="Times New Roman" w:hAnsi="Times New Roman" w:eastAsia="黑体" w:cs="Times New Roman"/>
          <w:b/>
          <w:bCs/>
          <w:sz w:val="32"/>
          <w:szCs w:val="32"/>
        </w:rPr>
      </w:pPr>
    </w:p>
    <w:p>
      <w:pPr>
        <w:snapToGrid w:val="0"/>
        <w:spacing w:before="312" w:beforeLines="100" w:after="312" w:afterLines="100"/>
        <w:ind w:firstLine="643"/>
        <w:jc w:val="center"/>
        <w:rPr>
          <w:rFonts w:hint="default" w:ascii="Times New Roman" w:hAnsi="Times New Roman" w:eastAsia="黑体" w:cs="Times New Roman"/>
          <w:b/>
          <w:bCs/>
          <w:sz w:val="32"/>
          <w:szCs w:val="32"/>
          <w:lang w:val="ru-RU"/>
        </w:rPr>
      </w:pPr>
      <w:r>
        <w:rPr>
          <w:rFonts w:ascii="Times New Roman" w:hAnsi="Times New Roman" w:eastAsia="黑体" w:cs="Times New Roman"/>
          <w:b/>
          <w:bCs/>
          <w:sz w:val="32"/>
          <w:szCs w:val="32"/>
        </w:rPr>
        <w:t>Abstract</w:t>
      </w:r>
      <w:r>
        <w:fldChar w:fldCharType="begin"/>
        <w:instrText xml:space="preserve">TC "Abstract" \f C \l "1"</w:instrText>
        <w:fldChar w:fldCharType="end"/>
      </w:r>
    </w:p>
    <w:p>
      <w:pPr>
        <w:snapToGrid w:val="0"/>
        <w:spacing w:line="360" w:lineRule="auto"/>
        <w:ind w:firstLine="480"/>
        <w:rPr>
          <w:rFonts w:hint="default" w:cs="Times New Roman"/>
          <w:sz w:val="24"/>
          <w:szCs w:val="32"/>
          <w:lang w:val="ru-RU"/>
        </w:rPr>
      </w:pPr>
      <w:r>
        <w:rPr>
          <w:rFonts w:hint="eastAsia" w:ascii="Times New Roman" w:hAnsi="Times New Roman" w:cs="Times New Roman"/>
          <w:sz w:val="24"/>
          <w:szCs w:val="32"/>
        </w:rPr>
        <w:t>Top-down mass spectrometry analyzes intact proteins and proteoforms, preserving combinations of modifications, truncations, and sequence variants. However, top-down MS/MS spectra usually contain many peaks over wide mass ranges, and spectral-library construction may suffer from a rapidly increasing number of candidate spectrum pairs. To address this problem, this thesis designs a database-filtering-based spectrum clustering algorithm inspired by TopLib. Spectral metadata and fragment peaks are stored in an SQLite database; precursor mass and charge state are used to retrieve candidate spectrum pairs; fragment-peak cosine similarity is then calculated only for the retained candidates before connected-component clustering.</w:t>
      </w:r>
      <w:r>
        <w:rPr>
          <w:rFonts w:hint="default" w:cs="Times New Roman"/>
          <w:sz w:val="24"/>
          <w:szCs w:val="32"/>
          <w:lang w:val="ru-RU"/>
        </w:rPr>
      </w:r>
    </w:p>
    <w:p>
      <w:pPr>
        <w:snapToGrid w:val="0"/>
        <w:spacing w:line="360" w:lineRule="auto"/>
        <w:ind w:firstLine="480"/>
        <w:rPr>
          <w:rFonts w:hint="default" w:cs="Times New Roman"/>
          <w:sz w:val="24"/>
          <w:szCs w:val="32"/>
          <w:lang w:val="ru-RU"/>
        </w:rPr>
      </w:pPr>
      <w:r>
        <w:rPr>
          <w:rFonts w:hint="eastAsia" w:ascii="Times New Roman" w:hAnsi="Times New Roman" w:cs="Times New Roman"/>
          <w:sz w:val="24"/>
          <w:szCs w:val="32"/>
        </w:rPr>
        <w:t>The experiment uses the PRIDE data set PXD019368 listed in the TopLib data-availability statement and archives one SW480 RAW sample from PXD029703. In total, 31 msalign files, 27,475 spectra, and 31 TopPIC output tables are parsed, and 4,480 identified spectra are used for evaluation. The complete pairwise comparison would require 10,032,960 spectrum pairs, whereas database filtering reduces the candidate set to 14,614 pairs, corresponding to a reduction rate of 99.85%. With a fragment similarity threshold of 0.30, the method obtains an ARI of 0.8435, an NMI of 0.9837, and an incorrect-clustering rate of 10.98%. The results show that database filtering can substantially reduce the candidate space while maintaining stable clustering consistency on public top-down MS data.</w:t>
      </w:r>
    </w:p>
    <w:p>
      <w:pPr>
        <w:snapToGrid w:val="0"/>
        <w:spacing w:line="360" w:lineRule="auto"/>
        <w:ind w:firstLine="480"/>
        <w:rPr>
          <w:rFonts w:ascii="Times New Roman" w:hAnsi="Times New Roman" w:cs="Times New Roman"/>
          <w:szCs w:val="24"/>
        </w:rPr>
      </w:pPr>
    </w:p>
    <w:p>
      <w:pPr>
        <w:jc w:val="left"/>
        <w:rPr>
          <w:rFonts w:ascii="Times New Roman" w:hAnsi="Times New Roman" w:cs="Times New Roman"/>
          <w:szCs w:val="24"/>
        </w:rPr>
      </w:pPr>
      <w:r>
        <w:rPr>
          <w:b/>
          <w:i w:val="0"/>
          <w:color w:val="000000"/>
          <w:sz w:val="24"/>
          <w:rFonts w:eastAsia="Times New Roman" w:ascii="Times New Roman" w:hAnsi="Times New Roman"/>
        </w:rPr>
        <w:t>【Key Words】</w:t>
      </w:r>
      <w:r>
        <w:rPr>
          <w:b w:val="0"/>
          <w:i w:val="0"/>
          <w:color w:val="000000"/>
          <w:sz w:val="24"/>
          <w:rFonts w:eastAsia="Times New Roman" w:ascii="Times New Roman" w:hAnsi="Times New Roman"/>
        </w:rPr>
        <w:t xml:space="preserve">: </w:t>
      </w:r>
      <w:r>
        <w:rPr>
          <w:b w:val="0"/>
          <w:i w:val="0"/>
          <w:color w:val="000000"/>
          <w:sz w:val="24"/>
          <w:rFonts w:eastAsia="Times New Roman" w:ascii="Times New Roman" w:hAnsi="Times New Roman"/>
        </w:rPr>
        <w:t>database filtering; spectrum clustering; SQLite; candidate retrieval; similarity calculation</w:t>
      </w:r>
    </w:p>
    <w:p>
      <w:pPr>
        <w:jc w:val="both"/>
        <w:rPr>
          <w:rFonts w:ascii="Times New Roman" w:hAnsi="Times New Roman" w:cs="Times New Roman"/>
          <w:szCs w:val="24"/>
        </w:rPr>
      </w:pPr>
    </w:p>
    <w:p>
      <w:pPr>
        <w:jc w:val="both"/>
        <w:rPr>
          <w:rFonts w:ascii="Times New Roman" w:hAnsi="Times New Roman" w:cs="Times New Roman"/>
          <w:szCs w:val="24"/>
        </w:rPr>
      </w:pPr>
    </w:p>
    <w:p>
      <w:pPr>
        <w:jc w:val="center"/>
        <w:rPr>
          <w:rFonts w:hint="default" w:eastAsia="黑体" w:cs="Times New Roman"/>
          <w:b/>
          <w:bCs/>
          <w:sz w:val="32"/>
          <w:szCs w:val="32"/>
          <w:lang w:val="ru-RU"/>
        </w:rPr>
      </w:pPr>
    </w:p>
    <w:p>
      <w:pPr>
        <w:jc w:val="center"/>
        <w:rPr>
          <w:rFonts w:hint="default" w:eastAsia="黑体" w:cs="Times New Roman"/>
          <w:b/>
          <w:bCs/>
          <w:sz w:val="32"/>
          <w:szCs w:val="32"/>
          <w:lang w:val="ru-RU"/>
        </w:rPr>
      </w:pPr>
    </w:p>
    <w:p>
      <w:pPr>
        <w:jc w:val="center"/>
        <w:rPr>
          <w:rFonts w:hint="default" w:eastAsia="黑体" w:cs="Times New Roman"/>
          <w:b/>
          <w:bCs/>
          <w:sz w:val="32"/>
          <w:szCs w:val="32"/>
          <w:lang w:val="ru-RU"/>
        </w:rPr>
      </w:pPr>
    </w:p>
    <w:p>
      <w:pPr>
        <w:jc w:val="center"/>
        <w:rPr>
          <w:rFonts w:hint="default" w:eastAsia="黑体" w:cs="Times New Roman"/>
          <w:b/>
          <w:bCs/>
          <w:sz w:val="32"/>
          <w:szCs w:val="32"/>
          <w:lang w:val="ru-RU"/>
        </w:rPr>
      </w:pPr>
    </w:p>
    <w:p>
      <w:pPr>
        <w:jc w:val="center"/>
        <w:rPr>
          <w:rFonts w:hint="default" w:eastAsia="黑体" w:cs="Times New Roman"/>
          <w:b/>
          <w:bCs/>
          <w:sz w:val="32"/>
          <w:szCs w:val="32"/>
          <w:lang w:val="ru-RU"/>
        </w:rPr>
      </w:pPr>
    </w:p>
    <w:p>
      <w:pPr>
        <w:jc w:val="center"/>
        <w:rPr>
          <w:rFonts w:hint="default" w:ascii="Times New Roman" w:hAnsi="Times New Roman" w:cs="Times New Roman"/>
          <w:szCs w:val="24"/>
          <w:lang w:val="ru-RU"/>
        </w:rPr>
      </w:pPr>
      <w:r>
        <w:rPr>
          <w:rFonts w:hint="default" w:eastAsia="黑体" w:cs="Times New Roman"/>
          <w:b/>
          <w:bCs/>
          <w:sz w:val="32"/>
          <w:szCs w:val="32"/>
          <w:lang w:val="ru-RU"/>
        </w:rPr>
        <w:t>Аннотация</w:t>
      </w:r>
      <w:r>
        <w:fldChar w:fldCharType="begin"/>
        <w:instrText xml:space="preserve">TC "Аннотация" \f C \l "1"</w:instrText>
        <w:fldChar w:fldCharType="end"/>
      </w:r>
    </w:p>
    <w:p>
      <w:pPr>
        <w:jc w:val="both"/>
        <w:rPr>
          <w:rFonts w:ascii="Times New Roman" w:hAnsi="Times New Roman" w:cs="Times New Roman"/>
          <w:szCs w:val="24"/>
        </w:rPr>
      </w:pPr>
    </w:p>
    <w:p>
      <w:pPr>
        <w:snapToGrid w:val="0"/>
        <w:spacing w:line="360" w:lineRule="auto"/>
        <w:ind w:firstLine="480"/>
        <w:rPr>
          <w:rFonts w:ascii="Times New Roman" w:hAnsi="Times New Roman" w:cs="Times New Roman"/>
          <w:color w:val="auto"/>
          <w:sz w:val="28"/>
          <w:szCs w:val="28"/>
          <w:shd w:val="clear" w:color="auto" w:fill="FFFFFF"/>
        </w:rPr>
      </w:pPr>
      <w:r>
        <w:rPr>
          <w:rFonts w:hint="default" w:ascii="Times New Roman" w:hAnsi="Times New Roman" w:cs="Times New Roman"/>
          <w:sz w:val="24"/>
          <w:szCs w:val="32"/>
        </w:rPr>
        <w:t>Top-down масс-спектрометрия анализирует интактные белки и протеоформы, сохраняя информацию о сочетаниях модификаций, усечений и вариантов последовательности. Однако такие MS/MS спектры имеют большое число пиков и широкий диапазон масс, поэтому при построении спектральной библиотеки быстро возрастает число кандидатных пар. В работе разработан алгоритм кластеризации спектров на основе фильтрации базы данных: метаданные и фрагментные пики сохраняются в SQLite, по массе прекурсора и зарядовому состоянию выбираются кандидатные пары, после чего для них вычисляется косинусное сходство фрагментных пиков и выполняется объединение компонент связности.</w:t>
      </w:r>
      <w:r>
        <w:rPr>
          <w:rFonts w:hint="default" w:ascii="Times New Roman" w:hAnsi="Times New Roman" w:cs="Times New Roman"/>
          <w:sz w:val="24"/>
          <w:szCs w:val="32"/>
          <w:lang w:val="ru-RU"/>
        </w:rPr>
      </w:r>
      <w:r>
        <w:rPr>
          <w:rFonts w:hint="default" w:ascii="Times New Roman" w:hAnsi="Times New Roman" w:cs="Times New Roman"/>
          <w:sz w:val="24"/>
          <w:szCs w:val="32"/>
        </w:rPr>
      </w:r>
      <w:r>
        <w:rPr>
          <w:rFonts w:hint="default" w:ascii="Times New Roman" w:hAnsi="Times New Roman" w:cs="Times New Roman"/>
          <w:sz w:val="24"/>
          <w:szCs w:val="32"/>
          <w:lang w:val="ru-RU"/>
        </w:rPr>
      </w:r>
      <w:r>
        <w:rPr>
          <w:rFonts w:hint="default" w:ascii="Times New Roman" w:hAnsi="Times New Roman" w:cs="Times New Roman"/>
          <w:sz w:val="24"/>
          <w:szCs w:val="32"/>
        </w:rPr>
      </w:r>
      <w:r>
        <w:rPr>
          <w:rFonts w:hint="default" w:ascii="Times New Roman" w:hAnsi="Times New Roman" w:cs="Times New Roman"/>
          <w:sz w:val="24"/>
          <w:szCs w:val="32"/>
          <w:lang w:val="ru-RU"/>
        </w:rPr>
      </w:r>
      <w:r>
        <w:rPr>
          <w:rFonts w:hint="default" w:ascii="Times New Roman" w:hAnsi="Times New Roman" w:cs="Times New Roman"/>
          <w:sz w:val="24"/>
          <w:szCs w:val="32"/>
        </w:rPr>
      </w:r>
      <w:r>
        <w:rPr>
          <w:rFonts w:hint="default" w:ascii="Times New Roman" w:hAnsi="Times New Roman" w:cs="Times New Roman"/>
          <w:sz w:val="24"/>
          <w:szCs w:val="32"/>
          <w:lang w:val="ru-RU"/>
        </w:rPr>
      </w:r>
      <w:r>
        <w:rPr>
          <w:rFonts w:hint="default" w:ascii="Times New Roman" w:hAnsi="Times New Roman" w:cs="Times New Roman"/>
          <w:sz w:val="24"/>
          <w:szCs w:val="32"/>
        </w:rPr>
      </w:r>
      <w:r>
        <w:rPr>
          <w:rFonts w:hint="default" w:ascii="Times New Roman" w:hAnsi="Times New Roman" w:cs="Times New Roman"/>
          <w:sz w:val="24"/>
          <w:szCs w:val="32"/>
          <w:lang w:val="ru-RU"/>
        </w:rPr>
      </w:r>
      <w:r>
        <w:rPr>
          <w:rFonts w:hint="default" w:ascii="Times New Roman" w:hAnsi="Times New Roman" w:cs="Times New Roman"/>
          <w:sz w:val="24"/>
          <w:szCs w:val="32"/>
        </w:rPr>
      </w:r>
      <w:r>
        <w:rPr>
          <w:rFonts w:hint="default" w:ascii="Times New Roman" w:hAnsi="Times New Roman" w:cs="Times New Roman"/>
          <w:sz w:val="24"/>
          <w:szCs w:val="32"/>
          <w:lang w:val="ru-RU"/>
        </w:rPr>
      </w:r>
      <w:r>
        <w:rPr>
          <w:rFonts w:hint="default" w:ascii="Times New Roman" w:hAnsi="Times New Roman" w:cs="Times New Roman"/>
          <w:sz w:val="24"/>
          <w:szCs w:val="32"/>
        </w:rPr>
      </w:r>
      <w:r>
        <w:rPr>
          <w:rFonts w:hint="default" w:ascii="Times New Roman" w:hAnsi="Times New Roman" w:cs="Times New Roman"/>
          <w:sz w:val="24"/>
          <w:szCs w:val="32"/>
          <w:lang w:val="ru-RU"/>
        </w:rPr>
      </w:r>
      <w:r>
        <w:rPr>
          <w:rFonts w:hint="default" w:ascii="Times New Roman" w:hAnsi="Times New Roman" w:cs="Times New Roman"/>
          <w:sz w:val="24"/>
          <w:szCs w:val="32"/>
        </w:rPr>
      </w:r>
      <w:r>
        <w:rPr>
          <w:rFonts w:hint="default" w:ascii="Times New Roman" w:hAnsi="Times New Roman" w:cs="Times New Roman"/>
          <w:sz w:val="24"/>
          <w:szCs w:val="32"/>
          <w:lang w:val="ru-RU"/>
        </w:rPr>
      </w:r>
      <w:r>
        <w:rPr>
          <w:rFonts w:hint="default" w:ascii="Times New Roman" w:hAnsi="Times New Roman" w:cs="Times New Roman"/>
          <w:sz w:val="24"/>
          <w:szCs w:val="32"/>
        </w:rPr>
      </w:r>
      <w:r>
        <w:rPr>
          <w:rFonts w:hint="default" w:ascii="Times New Roman" w:hAnsi="Times New Roman" w:cs="Times New Roman"/>
          <w:sz w:val="24"/>
          <w:szCs w:val="32"/>
          <w:lang w:val="ru-RU"/>
        </w:rPr>
      </w:r>
      <w:r>
        <w:rPr>
          <w:rFonts w:hint="default" w:ascii="Times New Roman" w:hAnsi="Times New Roman" w:cs="Times New Roman"/>
          <w:sz w:val="24"/>
          <w:szCs w:val="32"/>
        </w:rPr>
      </w:r>
      <w:r>
        <w:rPr>
          <w:rFonts w:hint="default" w:ascii="Times New Roman" w:hAnsi="Times New Roman" w:cs="Times New Roman"/>
          <w:sz w:val="24"/>
          <w:szCs w:val="32"/>
          <w:lang w:val="ru-RU"/>
        </w:rPr>
      </w:r>
      <w:r>
        <w:rPr>
          <w:rFonts w:hint="default" w:ascii="Times New Roman" w:hAnsi="Times New Roman" w:cs="Times New Roman"/>
          <w:sz w:val="24"/>
          <w:szCs w:val="32"/>
        </w:rPr>
      </w:r>
      <w:r>
        <w:rPr>
          <w:rFonts w:hint="default" w:ascii="Times New Roman" w:hAnsi="Times New Roman" w:cs="Times New Roman"/>
          <w:sz w:val="24"/>
          <w:szCs w:val="32"/>
          <w:lang w:val="ru-RU"/>
        </w:rPr>
      </w:r>
      <w:r>
        <w:rPr>
          <w:rFonts w:hint="default" w:ascii="Times New Roman" w:hAnsi="Times New Roman" w:cs="Times New Roman"/>
          <w:sz w:val="24"/>
          <w:szCs w:val="32"/>
        </w:rPr>
      </w:r>
      <w:r>
        <w:rPr>
          <w:rFonts w:hint="default" w:ascii="Times New Roman" w:hAnsi="Times New Roman" w:cs="Times New Roman"/>
          <w:sz w:val="24"/>
          <w:szCs w:val="32"/>
          <w:lang w:val="ru-RU"/>
        </w:rPr>
      </w:r>
      <w:r>
        <w:rPr>
          <w:rFonts w:hint="default" w:ascii="Times New Roman" w:hAnsi="Times New Roman" w:cs="Times New Roman"/>
          <w:sz w:val="24"/>
          <w:szCs w:val="32"/>
        </w:rPr>
      </w:r>
      <w:r>
        <w:rPr>
          <w:rFonts w:hint="default" w:ascii="Times New Roman" w:hAnsi="Times New Roman" w:cs="Times New Roman"/>
          <w:sz w:val="24"/>
          <w:szCs w:val="32"/>
          <w:lang w:val="ru-RU"/>
        </w:rPr>
      </w:r>
      <w:r>
        <w:rPr>
          <w:rFonts w:hint="default" w:ascii="Times New Roman" w:hAnsi="Times New Roman" w:cs="Times New Roman"/>
          <w:sz w:val="24"/>
          <w:szCs w:val="32"/>
        </w:rPr>
      </w:r>
      <w:r>
        <w:rPr>
          <w:rFonts w:hint="default" w:ascii="Times New Roman" w:hAnsi="Times New Roman" w:cs="Times New Roman"/>
          <w:sz w:val="24"/>
          <w:szCs w:val="32"/>
          <w:lang w:val="ru-RU"/>
        </w:rPr>
      </w:r>
      <w:r>
        <w:rPr>
          <w:rFonts w:hint="default" w:ascii="Times New Roman" w:hAnsi="Times New Roman" w:cs="Times New Roman"/>
          <w:sz w:val="24"/>
          <w:szCs w:val="32"/>
        </w:rPr>
      </w:r>
    </w:p>
    <w:p>
      <w:pPr>
        <w:snapToGrid w:val="0"/>
        <w:spacing w:line="360" w:lineRule="auto"/>
        <w:ind w:firstLine="480"/>
        <w:rPr>
          <w:rFonts w:ascii="Times New Roman" w:hAnsi="Times New Roman" w:cs="Times New Roman"/>
          <w:color w:val="auto"/>
          <w:sz w:val="28"/>
          <w:szCs w:val="28"/>
          <w:shd w:val="clear" w:color="auto" w:fill="FFFFFF"/>
        </w:rPr>
      </w:pPr>
      <w:r>
        <w:rPr>
          <w:rFonts w:hint="default" w:ascii="Times New Roman" w:hAnsi="Times New Roman" w:cs="Times New Roman"/>
          <w:sz w:val="24"/>
          <w:szCs w:val="32"/>
        </w:rPr>
        <w:t>Экспериментальная часть основана на наборе PRIDE PXD019368, указанном в статье TopLib; также архивирован образец SW480 RAW из PXD029703. Было обработано 31 файлов msalign, 27,475 спектров и 31 таблиц TopPIC; для оценки использовано 4,480 идентифицированных спектров. Полное попарное сравнение требует 10,032,960 пар, а фильтрация базы данных уменьшает число кандидатов до 14,614, что соответствует сокращению на 99.85%. При пороге сходства 0.30 значение ARI составляет 0.8435, NMI — 0.9837, а доля ошибочно сгруппированных спектров — 10.98%.</w:t>
      </w:r>
    </w:p>
    <w:p>
      <w:pPr>
        <w:jc w:val="both"/>
        <w:rPr>
          <w:rFonts w:ascii="Times New Roman" w:hAnsi="Times New Roman" w:cs="Times New Roman"/>
          <w:szCs w:val="24"/>
        </w:rPr>
      </w:pPr>
    </w:p>
    <w:p>
      <w:pPr>
        <w:jc w:val="left"/>
        <w:rPr>
          <w:rFonts w:hint="default" w:ascii="Times New Roman" w:hAnsi="Times New Roman" w:cs="Times New Roman"/>
          <w:b w:val="0"/>
          <w:bCs w:val="0"/>
          <w:szCs w:val="24"/>
          <w:lang w:val="ru-RU"/>
        </w:rPr>
      </w:pPr>
      <w:r>
        <w:rPr>
          <w:b/>
          <w:i w:val="0"/>
          <w:color w:val="000000"/>
          <w:sz w:val="24"/>
          <w:rFonts w:eastAsia="Times New Roman" w:ascii="Times New Roman" w:hAnsi="Times New Roman"/>
        </w:rPr>
        <w:t xml:space="preserve">【Ключевые слова】: </w:t>
      </w:r>
      <w:r>
        <w:rPr>
          <w:b w:val="0"/>
          <w:i w:val="0"/>
          <w:color w:val="000000"/>
          <w:sz w:val="24"/>
          <w:rFonts w:eastAsia="Times New Roman" w:ascii="Times New Roman" w:hAnsi="Times New Roman"/>
        </w:rPr>
        <w:t>фильтрация базы данных; кластеризация спектров; SQLite; поиск кандидатов; вычисление сходства</w:t>
      </w:r>
    </w:p>
    <w:p>
      <w:pPr>
        <w:sectPr>
          <w:headerReference r:id="rId7" w:type="default"/>
          <w:footerReference r:id="rId8" w:type="default"/>
          <w:footnotePr>
            <w:numFmt w:val="decimal"/>
          </w:footnotePr>
          <w:pgSz w:w="11906" w:h="16838"/>
          <w:pgMar w:top="1440" w:right="1797" w:bottom="1440" w:left="1797" w:header="851" w:footer="992" w:gutter="0"/>
          <w:pgBorders>
            <w:top w:val="none" w:sz="0" w:space="0"/>
            <w:left w:val="none" w:sz="0" w:space="0"/>
            <w:bottom w:val="none" w:sz="0" w:space="0"/>
            <w:right w:val="none" w:sz="0" w:space="0"/>
          </w:pgBorders>
          <w:pgNumType w:fmt="decimal"/>
          <w:cols w:space="425" w:num="1"/>
          <w:docGrid w:type="linesAndChars" w:linePitch="312" w:charSpace="0"/>
        </w:sectPr>
      </w:pPr>
    </w:p>
    <w:sdt>
      <w:sdtPr>
        <w:alias w:val="Table of Contents"/>
        <w:tag w:val="TOC"/>
        <w:docPartObj>
          <w:docPartGallery w:val="Table of Contents"/>
          <w:docPartUnique/>
        </w:docPartObj>
      </w:sdtPr>
      <w:sdtContent>
        <w:p>
          <w:pPr>
            <w:spacing w:before="0" w:after="0" w:lineRule="auto" w:line="360"/>
            <w:ind w:left="0" w:right="0"/>
            <w:jc w:val="center"/>
          </w:pPr>
          <w:r>
            <w:rPr>
              <w:b/>
              <w:i w:val="0"/>
              <w:color w:val="000000"/>
              <w:sz w:val="36"/>
              <w:rFonts w:eastAsia="黑体" w:ascii="黑体" w:hAnsi="黑体"/>
            </w:rPr>
            <w:t>目    录</w:t>
          </w:r>
        </w:p>
        <w:p>
          <w:pPr>
            <w:spacing w:before="0" w:after="0"/>
          </w:pPr>
          <w:r>
            <w:fldChar w:fldCharType="begin"/>
            <w:instrText xml:space="preserve">TOC \o "1-3" \h \z \f C </w:instrText>
            <w:fldChar w:fldCharType="separate"/>
          </w:r>
        </w:p>
        <w:p>
          <w:pPr>
            <w:pStyle w:val="11"/>
            <w:tabs>
              <w:tab w:pos="8300" w:val="right" w:leader="dot"/>
            </w:tabs>
            <w:spacing w:lineRule="auto" w:line="360" w:before="0" w:after="0"/>
            <w:ind w:left="0" w:right="0"/>
            <w:jc w:val="left"/>
          </w:pPr>
          <w:r>
            <w:rPr>
              <w:b/>
              <w:i w:val="0"/>
              <w:color w:val="000000"/>
              <w:sz w:val="28"/>
              <w:rFonts w:eastAsia="宋体" w:ascii="Times New Roman" w:hAnsi="Times New Roman"/>
            </w:rPr>
            <w:t>摘 要</w:t>
            <w:tab/>
            <w:t>5</w:t>
          </w:r>
        </w:p>
        <w:p>
          <w:pPr>
            <w:pStyle w:val="11"/>
            <w:tabs>
              <w:tab w:pos="8300" w:val="right" w:leader="dot"/>
            </w:tabs>
            <w:spacing w:lineRule="auto" w:line="360" w:before="0" w:after="0"/>
            <w:ind w:left="0" w:right="0"/>
            <w:jc w:val="left"/>
          </w:pPr>
          <w:r>
            <w:rPr>
              <w:b/>
              <w:i w:val="0"/>
              <w:color w:val="000000"/>
              <w:sz w:val="28"/>
              <w:rFonts w:eastAsia="宋体" w:ascii="Times New Roman" w:hAnsi="Times New Roman"/>
            </w:rPr>
            <w:t>Abstract</w:t>
            <w:tab/>
            <w:t>7</w:t>
          </w:r>
        </w:p>
        <w:p>
          <w:pPr>
            <w:pStyle w:val="11"/>
            <w:tabs>
              <w:tab w:pos="8300" w:val="right" w:leader="dot"/>
            </w:tabs>
            <w:spacing w:lineRule="auto" w:line="360" w:before="0" w:after="0"/>
            <w:ind w:left="0" w:right="0"/>
            <w:jc w:val="left"/>
          </w:pPr>
          <w:r>
            <w:rPr>
              <w:b/>
              <w:i w:val="0"/>
              <w:color w:val="000000"/>
              <w:sz w:val="28"/>
              <w:rFonts w:eastAsia="宋体" w:ascii="Times New Roman" w:hAnsi="Times New Roman"/>
            </w:rPr>
            <w:t>Аннотация</w:t>
            <w:tab/>
            <w:t>8</w:t>
          </w:r>
        </w:p>
        <w:p>
          <w:pPr>
            <w:pStyle w:val="11"/>
            <w:tabs>
              <w:tab w:pos="8300" w:val="right" w:leader="dot"/>
            </w:tabs>
            <w:spacing w:lineRule="auto" w:line="360" w:before="0" w:after="0"/>
            <w:ind w:left="0" w:right="0"/>
            <w:jc w:val="left"/>
          </w:pPr>
          <w:r>
            <w:rPr>
              <w:b/>
              <w:i w:val="0"/>
              <w:color w:val="000000"/>
              <w:sz w:val="28"/>
              <w:rFonts w:eastAsia="宋体" w:ascii="Times New Roman" w:hAnsi="Times New Roman"/>
            </w:rPr>
            <w:t>第1章 绪论</w:t>
            <w:tab/>
            <w:t>12</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1.1 研究背景</w:t>
            <w:tab/>
            <w:t>12</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1.2 研究意义</w:t>
            <w:tab/>
            <w:t>13</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1.3 国内外研究现状</w:t>
            <w:tab/>
            <w:t>14</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1.4 研究内容与论文结构</w:t>
            <w:tab/>
            <w:t>16</w:t>
          </w:r>
        </w:p>
        <w:p>
          <w:pPr>
            <w:pStyle w:val="11"/>
            <w:tabs>
              <w:tab w:pos="8300" w:val="right" w:leader="dot"/>
            </w:tabs>
            <w:spacing w:lineRule="auto" w:line="360" w:before="0" w:after="0"/>
            <w:ind w:left="0" w:right="0"/>
            <w:jc w:val="left"/>
          </w:pPr>
          <w:r>
            <w:rPr>
              <w:b/>
              <w:i w:val="0"/>
              <w:color w:val="000000"/>
              <w:sz w:val="28"/>
              <w:rFonts w:eastAsia="宋体" w:ascii="Times New Roman" w:hAnsi="Times New Roman"/>
            </w:rPr>
            <w:t>第2章 相关技术与理论基础</w:t>
            <w:tab/>
            <w:t>18</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2.1 谱图数据与向量化表示</w:t>
            <w:tab/>
            <w:t>18</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2.2 谱图相似度计算</w:t>
            <w:tab/>
            <w:t>20</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2.3 常见聚类算法</w:t>
            <w:tab/>
            <w:t>21</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2.4 数据库过滤思想</w:t>
            <w:tab/>
            <w:t>23</w:t>
          </w:r>
        </w:p>
        <w:p>
          <w:pPr>
            <w:pStyle w:val="11"/>
            <w:tabs>
              <w:tab w:pos="8300" w:val="right" w:leader="dot"/>
            </w:tabs>
            <w:spacing w:lineRule="auto" w:line="360" w:before="0" w:after="0"/>
            <w:ind w:left="0" w:right="0"/>
            <w:jc w:val="left"/>
          </w:pPr>
          <w:r>
            <w:rPr>
              <w:b/>
              <w:i w:val="0"/>
              <w:color w:val="000000"/>
              <w:sz w:val="28"/>
              <w:rFonts w:eastAsia="宋体" w:ascii="Times New Roman" w:hAnsi="Times New Roman"/>
            </w:rPr>
            <w:t>第3章 需求分析与总体设计</w:t>
            <w:tab/>
            <w:t>26</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3.1 问题定义</w:t>
            <w:tab/>
            <w:t>26</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3.2 功能需求</w:t>
            <w:tab/>
            <w:t>26</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3.3 总体流程设计</w:t>
            <w:tab/>
            <w:t>27</w:t>
          </w:r>
        </w:p>
        <w:p>
          <w:pPr>
            <w:pStyle w:val="11"/>
            <w:tabs>
              <w:tab w:pos="8300" w:val="right" w:leader="dot"/>
            </w:tabs>
            <w:spacing w:lineRule="auto" w:line="360" w:before="0" w:after="0"/>
            <w:ind w:left="0" w:right="0"/>
            <w:jc w:val="left"/>
          </w:pPr>
          <w:r>
            <w:rPr>
              <w:b/>
              <w:i w:val="0"/>
              <w:color w:val="000000"/>
              <w:sz w:val="28"/>
              <w:rFonts w:eastAsia="宋体" w:ascii="Times New Roman" w:hAnsi="Times New Roman"/>
            </w:rPr>
            <w:t>第4章 数据库过滤谱图聚类算法设计</w:t>
            <w:tab/>
            <w:t>30</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4.1 数据库结构设计</w:t>
            <w:tab/>
            <w:t>30</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4.2 候选过滤算法设计</w:t>
            <w:tab/>
            <w:t>32</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4.3 TopCluster 聚类策略</w:t>
            <w:tab/>
            <w:t>35</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4.4 复杂度分析</w:t>
            <w:tab/>
            <w:t>38</w:t>
          </w:r>
        </w:p>
        <w:p>
          <w:pPr>
            <w:pStyle w:val="11"/>
            <w:tabs>
              <w:tab w:pos="8300" w:val="right" w:leader="dot"/>
            </w:tabs>
            <w:spacing w:lineRule="auto" w:line="360" w:before="0" w:after="0"/>
            <w:ind w:left="0" w:right="0"/>
            <w:jc w:val="left"/>
          </w:pPr>
          <w:r>
            <w:rPr>
              <w:b/>
              <w:i w:val="0"/>
              <w:color w:val="000000"/>
              <w:sz w:val="28"/>
              <w:rFonts w:eastAsia="宋体" w:ascii="Times New Roman" w:hAnsi="Times New Roman"/>
            </w:rPr>
            <w:t>第5章 系统实现</w:t>
            <w:tab/>
            <w:t>41</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5.1 实验程序结构</w:t>
            <w:tab/>
            <w:t>41</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5.2 谱图读取与入库实现</w:t>
            <w:tab/>
            <w:t>41</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5.3 算法模块实现</w:t>
            <w:tab/>
            <w:t>42</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5.4 结果记录实现</w:t>
            <w:tab/>
            <w:t>43</w:t>
          </w:r>
        </w:p>
        <w:p>
          <w:pPr>
            <w:pStyle w:val="11"/>
            <w:tabs>
              <w:tab w:pos="8300" w:val="right" w:leader="dot"/>
            </w:tabs>
            <w:spacing w:lineRule="auto" w:line="360" w:before="0" w:after="0"/>
            <w:ind w:left="0" w:right="0"/>
            <w:jc w:val="left"/>
          </w:pPr>
          <w:r>
            <w:rPr>
              <w:b/>
              <w:i w:val="0"/>
              <w:color w:val="000000"/>
              <w:sz w:val="28"/>
              <w:rFonts w:eastAsia="宋体" w:ascii="Times New Roman" w:hAnsi="Times New Roman"/>
            </w:rPr>
            <w:t>第6章 实验测试与结果分析</w:t>
            <w:tab/>
            <w:t>45</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6.1 实验环境与数据设置</w:t>
            <w:tab/>
            <w:t>45</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6.2 评价指标</w:t>
            <w:tab/>
            <w:t>46</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6.3 聚类质量对比</w:t>
            <w:tab/>
            <w:t>48</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6.4 效率与候选过滤效果</w:t>
            <w:tab/>
            <w:t>51</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6.5 候选过滤参数敏感性分析</w:t>
            <w:tab/>
            <w:t>54</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6.6 聚类结果可视化</w:t>
            <w:tab/>
            <w:t>56</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6.7 复现性与结果核对</w:t>
            <w:tab/>
            <w:t>57</w:t>
          </w:r>
        </w:p>
        <w:p>
          <w:pPr>
            <w:pStyle w:val="11"/>
            <w:tabs>
              <w:tab w:pos="8300" w:val="right" w:leader="dot"/>
            </w:tabs>
            <w:spacing w:lineRule="auto" w:line="360" w:before="0" w:after="0"/>
            <w:ind w:left="0" w:right="0"/>
            <w:jc w:val="left"/>
          </w:pPr>
          <w:r>
            <w:rPr>
              <w:b/>
              <w:i w:val="0"/>
              <w:color w:val="000000"/>
              <w:sz w:val="28"/>
              <w:rFonts w:eastAsia="宋体" w:ascii="Times New Roman" w:hAnsi="Times New Roman"/>
            </w:rPr>
            <w:t>第7章 总结与展望</w:t>
            <w:tab/>
            <w:t>59</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7.1 研究总结</w:t>
            <w:tab/>
            <w:t>59</w:t>
          </w:r>
        </w:p>
        <w:p>
          <w:pPr>
            <w:pStyle w:val="13"/>
            <w:tabs>
              <w:tab w:pos="8300" w:val="right" w:leader="dot"/>
            </w:tabs>
            <w:spacing w:lineRule="auto" w:line="360" w:before="0" w:after="0"/>
            <w:ind w:left="420" w:right="420"/>
            <w:jc w:val="left"/>
          </w:pPr>
          <w:r>
            <w:rPr>
              <w:b w:val="0"/>
              <w:i w:val="0"/>
              <w:color w:val="000000"/>
              <w:sz w:val="28"/>
              <w:rFonts w:eastAsia="宋体" w:ascii="Times New Roman" w:hAnsi="Times New Roman"/>
            </w:rPr>
            <w:t>7.2 不足与改进方向</w:t>
            <w:tab/>
            <w:t>59</w:t>
          </w:r>
        </w:p>
        <w:p>
          <w:pPr>
            <w:pStyle w:val="11"/>
            <w:tabs>
              <w:tab w:pos="8300" w:val="right" w:leader="dot"/>
            </w:tabs>
            <w:spacing w:lineRule="auto" w:line="360" w:before="0" w:after="0"/>
            <w:ind w:left="0" w:right="0"/>
            <w:jc w:val="left"/>
          </w:pPr>
          <w:r>
            <w:rPr>
              <w:b/>
              <w:i w:val="0"/>
              <w:color w:val="000000"/>
              <w:sz w:val="28"/>
              <w:rFonts w:eastAsia="宋体" w:ascii="Times New Roman" w:hAnsi="Times New Roman"/>
            </w:rPr>
            <w:t>参考文献</w:t>
            <w:tab/>
            <w:t>61</w:t>
          </w:r>
        </w:p>
        <w:p>
          <w:pPr>
            <w:pStyle w:val="11"/>
            <w:tabs>
              <w:tab w:pos="8300" w:val="right" w:leader="dot"/>
            </w:tabs>
            <w:spacing w:lineRule="auto" w:line="360" w:before="0" w:after="0"/>
            <w:ind w:left="0" w:right="0"/>
            <w:jc w:val="left"/>
          </w:pPr>
          <w:r>
            <w:rPr>
              <w:b/>
              <w:i w:val="0"/>
              <w:color w:val="000000"/>
              <w:sz w:val="28"/>
              <w:rFonts w:eastAsia="宋体" w:ascii="Times New Roman" w:hAnsi="Times New Roman"/>
            </w:rPr>
            <w:t>致谢</w:t>
            <w:tab/>
            <w:t>65</w:t>
          </w:r>
        </w:p>
        <w:p>
          <w:pPr>
            <w:spacing w:before="0" w:after="0"/>
          </w:pPr>
          <w:r>
            <w:fldChar w:fldCharType="end"/>
          </w:r>
        </w:p>
      </w:sdtContent>
    </w:sdt>
    <w:p>
      <w:pPr>
        <w:sectPr>
          <w:headerReference r:id="rId7" w:type="default"/>
          <w:footerReference r:id="rId8" w:type="default"/>
          <w:footnotePr>
            <w:numFmt w:val="decimal"/>
          </w:footnotePr>
          <w:pgSz w:w="11906" w:h="16838"/>
          <w:pgMar w:top="1440" w:right="1797" w:bottom="1440" w:left="1797" w:header="851" w:footer="992" w:gutter="0"/>
          <w:pgBorders>
            <w:top w:val="none" w:sz="0" w:space="0"/>
            <w:left w:val="none" w:sz="0" w:space="0"/>
            <w:bottom w:val="none" w:sz="0" w:space="0"/>
            <w:right w:val="none" w:sz="0" w:space="0"/>
          </w:pgBorders>
          <w:pgNumType w:fmt="decimal"/>
          <w:cols w:space="425" w:num="1"/>
          <w:docGrid w:type="linesAndChars" w:linePitch="312" w:charSpace="0"/>
        </w:sectPr>
      </w:pPr>
    </w:p>
    <w:p>
      <w:pPr>
        <w:pStyle w:val="2"/>
        <w:pageBreakBefore/>
        <w:jc w:val="center"/>
      </w:pPr>
      <w:r>
        <w:rPr>
          <w:b/>
          <w:i w:val="0"/>
          <w:color w:val="000000"/>
          <w:sz w:val="32"/>
          <w:rFonts w:eastAsia="黑体" w:ascii="Times New Roman" w:hAnsi="Times New Roman"/>
        </w:rPr>
        <w:t>第1章 绪论</w:t>
      </w:r>
    </w:p>
    <w:p>
      <w:pPr>
        <w:pStyle w:val="3"/>
        <w:jc w:val="left"/>
      </w:pPr>
      <w:r>
        <w:rPr>
          <w:b/>
          <w:i w:val="0"/>
          <w:color w:val="000000"/>
          <w:sz w:val="24"/>
          <w:rFonts w:eastAsia="黑体" w:ascii="Times New Roman" w:hAnsi="Times New Roman"/>
        </w:rPr>
        <w:t>1.1 研究背景</w:t>
      </w:r>
    </w:p>
    <w:p>
      <w:pPr>
        <w:spacing w:lineRule="auto" w:line="360" w:before="0" w:after="0"/>
        <w:ind w:firstLine="420"/>
        <w:jc w:val="both"/>
      </w:pPr>
      <w:r>
        <w:rPr>
          <w:b w:val="0"/>
          <w:i w:val="0"/>
          <w:color w:val="000000"/>
          <w:sz w:val="24"/>
          <w:rFonts w:eastAsia="宋体" w:ascii="Times New Roman" w:hAnsi="Times New Roman"/>
        </w:rPr>
        <w:t>质谱数据分析是蛋白质组学解析与生物标志物挖掘中的重要手段，分析精度与效率直接影响蛋白质形态鉴定的完整性。传统自下而上（bottom-up）蛋白质组学通常先将完整蛋白质酶切为多条肽段，再根据肽段谱图反推蛋白质序列与表达信息。这一路线成熟度较高，适合大规模鉴定，但酶切过程会割裂完整蛋白质、组合修饰位点与序列截短形态之间的对应关系。</w:t>
      </w:r>
    </w:p>
    <w:p>
      <w:pPr>
        <w:spacing w:lineRule="auto" w:line="360" w:before="0" w:after="0"/>
        <w:ind w:firstLine="420"/>
        <w:jc w:val="both"/>
      </w:pPr>
      <w:r>
        <w:rPr>
          <w:b w:val="0"/>
          <w:i w:val="0"/>
          <w:color w:val="000000"/>
          <w:sz w:val="24"/>
          <w:rFonts w:eastAsia="宋体" w:ascii="Times New Roman" w:hAnsi="Times New Roman"/>
        </w:rPr>
        <w:t>自上而下（top-down）质谱以完整蛋白质或较大蛋白片段为直接分析对象，无需先进行酶切拆解，能够保留翻译后修饰、序列截短和序列变异等蛋白质形态信息，更适合 proteoform 层面的分析。与此同时，自上而下 MS/MS 谱图具有峰密度高、有效峰数量多、前体电荷状态复杂和质量扫描范围宽等特点，谱图存储、相似度匹配与聚类分析的计算压力也随之增大。</w:t>
      </w:r>
    </w:p>
    <w:p>
      <w:pPr>
        <w:spacing w:lineRule="auto" w:line="360" w:before="0" w:after="0"/>
        <w:ind w:firstLine="420"/>
        <w:jc w:val="both"/>
      </w:pPr>
      <w:r>
        <w:rPr>
          <w:b w:val="0"/>
          <w:i w:val="0"/>
          <w:color w:val="000000"/>
          <w:sz w:val="24"/>
          <w:rFonts w:eastAsia="宋体" w:ascii="Times New Roman" w:hAnsi="Times New Roman"/>
        </w:rPr>
        <w:t>TopLib 面向自上而下质谱谱图库构建与检索，依托 SQLite 保存谱图、碎片峰、蛋白质鉴定结果和代表谱图，并在 TopCluster 中比较 MASS、BIN 和 DL 等谱图表示方法</w:t>
      </w:r>
      <w:r>
        <w:rPr>
          <w:b w:val="0"/>
          <w:i w:val="0"/>
          <w:color w:val="000000"/>
          <w:sz w:val="22"/>
          <w:vertAlign w:val="superscript"/>
          <w:rFonts w:eastAsia="宋体" w:ascii="Times New Roman" w:hAnsi="Times New Roman"/>
        </w:rPr>
        <w:t>[1]</w:t>
      </w:r>
      <w:r>
        <w:rPr>
          <w:b w:val="0"/>
          <w:i w:val="0"/>
          <w:color w:val="000000"/>
          <w:sz w:val="24"/>
          <w:rFonts w:eastAsia="宋体" w:ascii="Times New Roman" w:hAnsi="Times New Roman"/>
        </w:rPr>
        <w:t>。该框架说明，自上而下谱图库构建需要同时处理谱图表征、数据库索引、候选检索和聚类评价，而不是把谱图文件静态保存为孤立数据。</w:t>
      </w:r>
    </w:p>
    <w:p>
      <w:pPr>
        <w:spacing w:lineRule="auto" w:line="360" w:before="0" w:after="0"/>
        <w:ind w:firstLine="420"/>
        <w:jc w:val="both"/>
      </w:pPr>
      <w:r>
        <w:rPr>
          <w:b w:val="0"/>
          <w:i w:val="0"/>
          <w:color w:val="000000"/>
          <w:sz w:val="24"/>
          <w:rFonts w:eastAsia="宋体" w:ascii="Times New Roman" w:hAnsi="Times New Roman"/>
        </w:rPr>
        <w:t>谱图聚类的作用，是将来自同一蛋白质形态、碎裂模式相近的谱图归组，减少谱图库冗余，并生成更稳定的代表谱图。完整两两比较会使候选谱图对数量随谱图规模呈平方级增长；大规模串联质谱聚类工作也显示，近邻检索质量会直接影响聚类效率</w:t>
      </w:r>
      <w:r>
        <w:rPr>
          <w:b w:val="0"/>
          <w:i w:val="0"/>
          <w:color w:val="000000"/>
          <w:sz w:val="22"/>
          <w:vertAlign w:val="superscript"/>
          <w:rFonts w:eastAsia="宋体" w:ascii="Times New Roman" w:hAnsi="Times New Roman"/>
        </w:rPr>
        <w:t>[2]</w:t>
      </w:r>
      <w:r>
        <w:rPr>
          <w:b w:val="0"/>
          <w:i w:val="0"/>
          <w:color w:val="000000"/>
          <w:sz w:val="24"/>
          <w:rFonts w:eastAsia="宋体" w:ascii="Times New Roman" w:hAnsi="Times New Roman"/>
        </w:rPr>
        <w:t>。代表谱图质量会影响后续鉴定结果</w:t>
      </w:r>
      <w:r>
        <w:rPr>
          <w:b w:val="0"/>
          <w:i w:val="0"/>
          <w:color w:val="000000"/>
          <w:sz w:val="22"/>
          <w:vertAlign w:val="superscript"/>
          <w:rFonts w:eastAsia="宋体" w:ascii="Times New Roman" w:hAnsi="Times New Roman"/>
        </w:rPr>
        <w:t>[3]</w:t>
      </w:r>
      <w:r>
        <w:rPr>
          <w:b w:val="0"/>
          <w:i w:val="0"/>
          <w:color w:val="000000"/>
          <w:sz w:val="24"/>
          <w:rFonts w:eastAsia="宋体" w:ascii="Times New Roman" w:hAnsi="Times New Roman"/>
        </w:rPr>
        <w:t>，混合谱图库与序列数据库检索策略能够互相补充</w:t>
      </w:r>
      <w:r>
        <w:rPr>
          <w:b w:val="0"/>
          <w:i w:val="0"/>
          <w:color w:val="000000"/>
          <w:sz w:val="22"/>
          <w:vertAlign w:val="superscript"/>
          <w:rFonts w:eastAsia="宋体" w:ascii="Times New Roman" w:hAnsi="Times New Roman"/>
        </w:rPr>
        <w:t>[4]</w:t>
      </w:r>
      <w:r>
        <w:rPr>
          <w:b w:val="0"/>
          <w:i w:val="0"/>
          <w:color w:val="000000"/>
          <w:sz w:val="24"/>
          <w:rFonts w:eastAsia="宋体" w:ascii="Times New Roman" w:hAnsi="Times New Roman"/>
        </w:rPr>
        <w:t>，DIA 谱图库流程优化也需要协同考虑候选匹配与检索效率</w:t>
      </w:r>
      <w:r>
        <w:rPr>
          <w:b w:val="0"/>
          <w:i w:val="0"/>
          <w:color w:val="000000"/>
          <w:sz w:val="22"/>
          <w:vertAlign w:val="superscript"/>
          <w:rFonts w:eastAsia="宋体" w:ascii="Times New Roman" w:hAnsi="Times New Roman"/>
        </w:rPr>
        <w:t>[5]</w:t>
      </w:r>
      <w:r>
        <w:rPr>
          <w:b w:val="0"/>
          <w:i w:val="0"/>
          <w:color w:val="000000"/>
          <w:sz w:val="24"/>
          <w:rFonts w:eastAsia="宋体" w:ascii="Times New Roman" w:hAnsi="Times New Roman"/>
        </w:rPr>
        <w:t>。开放、可复用的数据组织是 top-down proteomics 继续扩展的重要基础</w:t>
      </w:r>
      <w:r>
        <w:rPr>
          <w:b w:val="0"/>
          <w:i w:val="0"/>
          <w:color w:val="000000"/>
          <w:sz w:val="22"/>
          <w:vertAlign w:val="superscript"/>
          <w:rFonts w:eastAsia="宋体" w:ascii="Times New Roman" w:hAnsi="Times New Roman"/>
        </w:rPr>
        <w:t>[6]</w:t>
      </w:r>
      <w:r>
        <w:rPr>
          <w:b w:val="0"/>
          <w:i w:val="0"/>
          <w:color w:val="000000"/>
          <w:sz w:val="24"/>
          <w:rFonts w:eastAsia="宋体" w:ascii="Times New Roman" w:hAnsi="Times New Roman"/>
        </w:rPr>
        <w:t>。</w:t>
      </w:r>
    </w:p>
    <w:p>
      <w:pPr>
        <w:spacing w:lineRule="auto" w:line="360" w:before="0" w:after="0"/>
        <w:ind w:firstLine="420"/>
        <w:jc w:val="both"/>
      </w:pPr>
      <w:r>
        <w:rPr>
          <w:b w:val="0"/>
          <w:i w:val="0"/>
          <w:color w:val="000000"/>
          <w:sz w:val="24"/>
          <w:rFonts w:eastAsia="宋体" w:ascii="Times New Roman" w:hAnsi="Times New Roman"/>
        </w:rPr>
        <w:t>基于上述背景，本研究将数据库过滤机制置于碎片峰相似度计算之前，先依据前体质量、荷电状态等结构化字段压缩候选谱图对，再在候选集合内执行碎片峰余弦相似度计算和连通分量聚类，以降低无效比较带来的计算开销。</w:t>
      </w:r>
    </w:p>
    <w:p>
      <w:pPr>
        <w:pStyle w:val="3"/>
        <w:jc w:val="left"/>
      </w:pPr>
      <w:r>
        <w:rPr>
          <w:b/>
          <w:i w:val="0"/>
          <w:color w:val="000000"/>
          <w:sz w:val="24"/>
          <w:rFonts w:eastAsia="黑体" w:ascii="Times New Roman" w:hAnsi="Times New Roman"/>
        </w:rPr>
        <w:t>1.2 国内外研究现状</w:t>
      </w:r>
    </w:p>
    <w:p>
      <w:pPr>
        <w:spacing w:lineRule="auto" w:line="360" w:before="0" w:after="0"/>
        <w:ind w:firstLine="420"/>
        <w:jc w:val="both"/>
      </w:pPr>
      <w:r>
        <w:rPr>
          <w:b w:val="0"/>
          <w:i w:val="0"/>
          <w:color w:val="000000"/>
          <w:sz w:val="24"/>
          <w:rFonts w:eastAsia="宋体" w:ascii="Times New Roman" w:hAnsi="Times New Roman"/>
        </w:rPr>
        <w:t>近五年来，top-down 蛋白质组学的工具链持续完善。Kaulich 与 Tholey 总结了 top-down proteomics 的适用场景，指出 proteoform 分析高度依赖完整蛋白分子信息的保留</w:t>
      </w:r>
      <w:r>
        <w:rPr>
          <w:b w:val="0"/>
          <w:i w:val="0"/>
          <w:color w:val="000000"/>
          <w:sz w:val="22"/>
          <w:vertAlign w:val="superscript"/>
          <w:rFonts w:eastAsia="宋体" w:ascii="Times New Roman" w:hAnsi="Times New Roman"/>
        </w:rPr>
        <w:t>[7]</w:t>
      </w:r>
      <w:r>
        <w:rPr>
          <w:b w:val="0"/>
          <w:i w:val="0"/>
          <w:color w:val="000000"/>
          <w:sz w:val="24"/>
          <w:rFonts w:eastAsia="宋体" w:ascii="Times New Roman" w:hAnsi="Times New Roman"/>
        </w:rPr>
        <w:t>。TopDownApp 提供模块化分析与可视化平台，体现了该领域对开放工具链的需求</w:t>
      </w:r>
      <w:r>
        <w:rPr>
          <w:b w:val="0"/>
          <w:i w:val="0"/>
          <w:color w:val="000000"/>
          <w:sz w:val="22"/>
          <w:vertAlign w:val="superscript"/>
          <w:rFonts w:eastAsia="宋体" w:ascii="Times New Roman" w:hAnsi="Times New Roman"/>
        </w:rPr>
        <w:t>[8]</w:t>
      </w:r>
      <w:r>
        <w:rPr>
          <w:b w:val="0"/>
          <w:i w:val="0"/>
          <w:color w:val="000000"/>
          <w:sz w:val="24"/>
          <w:rFonts w:eastAsia="宋体" w:ascii="Times New Roman" w:hAnsi="Times New Roman"/>
        </w:rPr>
        <w:t>。前体信号去卷积误差会干扰错误发现率估计，因此谱图预处理阶段的质量控制不可忽视</w:t>
      </w:r>
      <w:r>
        <w:rPr>
          <w:b w:val="0"/>
          <w:i w:val="0"/>
          <w:color w:val="000000"/>
          <w:sz w:val="22"/>
          <w:vertAlign w:val="superscript"/>
          <w:rFonts w:eastAsia="宋体" w:ascii="Times New Roman" w:hAnsi="Times New Roman"/>
        </w:rPr>
        <w:t>[9]</w:t>
      </w:r>
      <w:r>
        <w:rPr>
          <w:b w:val="0"/>
          <w:i w:val="0"/>
          <w:color w:val="000000"/>
          <w:sz w:val="24"/>
          <w:rFonts w:eastAsia="宋体" w:ascii="Times New Roman" w:hAnsi="Times New Roman"/>
        </w:rPr>
        <w:t>。FLASHIda 通过智能化质谱采集提高蛋白质形态鉴定数量</w:t>
      </w:r>
      <w:r>
        <w:rPr>
          <w:b w:val="0"/>
          <w:i w:val="0"/>
          <w:color w:val="000000"/>
          <w:sz w:val="22"/>
          <w:vertAlign w:val="superscript"/>
          <w:rFonts w:eastAsia="宋体" w:ascii="Times New Roman" w:hAnsi="Times New Roman"/>
        </w:rPr>
        <w:t>[10]</w:t>
      </w:r>
      <w:r>
        <w:rPr>
          <w:b w:val="0"/>
          <w:i w:val="0"/>
          <w:color w:val="000000"/>
          <w:sz w:val="24"/>
          <w:rFonts w:eastAsia="宋体" w:ascii="Times New Roman" w:hAnsi="Times New Roman"/>
        </w:rPr>
        <w:t>；深度小鼠脑谱图库则说明，面向特定组织和疾病模型的专用谱图库能够服务于场景化分析</w:t>
      </w:r>
      <w:r>
        <w:rPr>
          <w:b w:val="0"/>
          <w:i w:val="0"/>
          <w:color w:val="000000"/>
          <w:sz w:val="22"/>
          <w:vertAlign w:val="superscript"/>
          <w:rFonts w:eastAsia="宋体" w:ascii="Times New Roman" w:hAnsi="Times New Roman"/>
        </w:rPr>
        <w:t>[11]</w:t>
      </w:r>
      <w:r>
        <w:rPr>
          <w:b w:val="0"/>
          <w:i w:val="0"/>
          <w:color w:val="000000"/>
          <w:sz w:val="24"/>
          <w:rFonts w:eastAsia="宋体" w:ascii="Times New Roman" w:hAnsi="Times New Roman"/>
        </w:rPr>
        <w:t>。</w:t>
      </w:r>
    </w:p>
    <w:p>
      <w:pPr>
        <w:spacing w:lineRule="auto" w:line="360" w:before="0" w:after="0"/>
        <w:ind w:firstLine="420"/>
        <w:jc w:val="both"/>
      </w:pPr>
      <w:r>
        <w:rPr>
          <w:b w:val="0"/>
          <w:i w:val="0"/>
          <w:color w:val="000000"/>
          <w:sz w:val="24"/>
          <w:rFonts w:eastAsia="宋体" w:ascii="Times New Roman" w:hAnsi="Times New Roman"/>
        </w:rPr>
        <w:t>在谱图相似度计算与聚类分析方面，研究重点逐步从单一距离函数转向适配复杂质谱数据的稳健表征与匹配方法。高维共识谱图相似度算法提升了质谱异构体区分能力</w:t>
      </w:r>
      <w:r>
        <w:rPr>
          <w:b w:val="0"/>
          <w:i w:val="0"/>
          <w:color w:val="000000"/>
          <w:sz w:val="22"/>
          <w:vertAlign w:val="superscript"/>
          <w:rFonts w:eastAsia="宋体" w:ascii="Times New Roman" w:hAnsi="Times New Roman"/>
        </w:rPr>
        <w:t>[12]</w:t>
      </w:r>
      <w:r>
        <w:rPr>
          <w:b w:val="0"/>
          <w:i w:val="0"/>
          <w:color w:val="000000"/>
          <w:sz w:val="24"/>
          <w:rFonts w:eastAsia="宋体" w:ascii="Times New Roman" w:hAnsi="Times New Roman"/>
        </w:rPr>
        <w:t>；双向层次聚类可用于大规模质谱峰匹配</w:t>
      </w:r>
      <w:r>
        <w:rPr>
          <w:b w:val="0"/>
          <w:i w:val="0"/>
          <w:color w:val="000000"/>
          <w:sz w:val="22"/>
          <w:vertAlign w:val="superscript"/>
          <w:rFonts w:eastAsia="宋体" w:ascii="Times New Roman" w:hAnsi="Times New Roman"/>
        </w:rPr>
        <w:t>[13]</w:t>
      </w:r>
      <w:r>
        <w:rPr>
          <w:b w:val="0"/>
          <w:i w:val="0"/>
          <w:color w:val="000000"/>
          <w:sz w:val="24"/>
          <w:rFonts w:eastAsia="宋体" w:ascii="Times New Roman" w:hAnsi="Times New Roman"/>
        </w:rPr>
        <w:t>；基于谱间距离的 MALDI-TOF 方法能够区分特征相近的微生物谱图</w:t>
      </w:r>
      <w:r>
        <w:rPr>
          <w:b w:val="0"/>
          <w:i w:val="0"/>
          <w:color w:val="000000"/>
          <w:sz w:val="22"/>
          <w:vertAlign w:val="superscript"/>
          <w:rFonts w:eastAsia="宋体" w:ascii="Times New Roman" w:hAnsi="Times New Roman"/>
        </w:rPr>
        <w:t>[14]</w:t>
      </w:r>
      <w:r>
        <w:rPr>
          <w:b w:val="0"/>
          <w:i w:val="0"/>
          <w:color w:val="000000"/>
          <w:sz w:val="24"/>
          <w:rFonts w:eastAsia="宋体" w:ascii="Times New Roman" w:hAnsi="Times New Roman"/>
        </w:rPr>
        <w:t>。NIST 质量谱检索程序中的可搜索色谱数据库建设说明，结构化数据库能够支撑高效谱图检索</w:t>
      </w:r>
      <w:r>
        <w:rPr>
          <w:b w:val="0"/>
          <w:i w:val="0"/>
          <w:color w:val="000000"/>
          <w:sz w:val="22"/>
          <w:vertAlign w:val="superscript"/>
          <w:rFonts w:eastAsia="宋体" w:ascii="Times New Roman" w:hAnsi="Times New Roman"/>
        </w:rPr>
        <w:t>[15]</w:t>
      </w:r>
      <w:r>
        <w:rPr>
          <w:b w:val="0"/>
          <w:i w:val="0"/>
          <w:color w:val="000000"/>
          <w:sz w:val="24"/>
          <w:rFonts w:eastAsia="宋体" w:ascii="Times New Roman" w:hAnsi="Times New Roman"/>
        </w:rPr>
        <w:t>。质谱成像数据中 UMAP 与 K-Means 的组合常用于数据分区</w:t>
      </w:r>
      <w:r>
        <w:rPr>
          <w:b w:val="0"/>
          <w:i w:val="0"/>
          <w:color w:val="000000"/>
          <w:sz w:val="22"/>
          <w:vertAlign w:val="superscript"/>
          <w:rFonts w:eastAsia="宋体" w:ascii="Times New Roman" w:hAnsi="Times New Roman"/>
        </w:rPr>
        <w:t>[16]</w:t>
      </w:r>
      <w:r>
        <w:rPr>
          <w:b w:val="0"/>
          <w:i w:val="0"/>
          <w:color w:val="000000"/>
          <w:sz w:val="24"/>
          <w:rFonts w:eastAsia="宋体" w:ascii="Times New Roman" w:hAnsi="Times New Roman"/>
        </w:rPr>
        <w:t>，聚类策略也可用于组织区域自动分割</w:t>
      </w:r>
      <w:r>
        <w:rPr>
          <w:b w:val="0"/>
          <w:i w:val="0"/>
          <w:color w:val="000000"/>
          <w:sz w:val="22"/>
          <w:vertAlign w:val="superscript"/>
          <w:rFonts w:eastAsia="宋体" w:ascii="Times New Roman" w:hAnsi="Times New Roman"/>
        </w:rPr>
        <w:t>[17]</w:t>
      </w:r>
      <w:r>
        <w:rPr>
          <w:b w:val="0"/>
          <w:i w:val="0"/>
          <w:color w:val="000000"/>
          <w:sz w:val="24"/>
          <w:rFonts w:eastAsia="宋体" w:ascii="Times New Roman" w:hAnsi="Times New Roman"/>
        </w:rPr>
        <w:t>。位点特异性聚类还可与空间、时间信息结合，扩展谱图聚类的应用边界</w:t>
      </w:r>
      <w:r>
        <w:rPr>
          <w:b w:val="0"/>
          <w:i w:val="0"/>
          <w:color w:val="000000"/>
          <w:sz w:val="22"/>
          <w:vertAlign w:val="superscript"/>
          <w:rFonts w:eastAsia="宋体" w:ascii="Times New Roman" w:hAnsi="Times New Roman"/>
        </w:rPr>
        <w:t>[18]</w:t>
      </w:r>
      <w:r>
        <w:rPr>
          <w:b w:val="0"/>
          <w:i w:val="0"/>
          <w:color w:val="000000"/>
          <w:sz w:val="24"/>
          <w:rFonts w:eastAsia="宋体" w:ascii="Times New Roman" w:hAnsi="Times New Roman"/>
        </w:rPr>
        <w:t>。</w:t>
      </w:r>
    </w:p>
    <w:p>
      <w:pPr>
        <w:spacing w:lineRule="auto" w:line="360" w:before="0" w:after="0"/>
        <w:ind w:firstLine="420"/>
        <w:jc w:val="both"/>
      </w:pPr>
      <w:r>
        <w:rPr>
          <w:b w:val="0"/>
          <w:i w:val="0"/>
          <w:color w:val="000000"/>
          <w:sz w:val="24"/>
          <w:rFonts w:eastAsia="宋体" w:ascii="Times New Roman" w:hAnsi="Times New Roman"/>
        </w:rPr>
        <w:t>谱图质量评价、信号解卷积和谱图库检索共同构成候选过滤的技术基础。谱图质量综述从软件得分之外讨论了影响蛋白质组学结果可信度的因素</w:t>
      </w:r>
      <w:r>
        <w:rPr>
          <w:b w:val="0"/>
          <w:i w:val="0"/>
          <w:color w:val="000000"/>
          <w:sz w:val="22"/>
          <w:vertAlign w:val="superscript"/>
          <w:rFonts w:eastAsia="宋体" w:ascii="Times New Roman" w:hAnsi="Times New Roman"/>
        </w:rPr>
        <w:t>[19]</w:t>
      </w:r>
      <w:r>
        <w:rPr>
          <w:b w:val="0"/>
          <w:i w:val="0"/>
          <w:color w:val="000000"/>
          <w:sz w:val="24"/>
          <w:rFonts w:eastAsia="宋体" w:ascii="Times New Roman" w:hAnsi="Times New Roman"/>
        </w:rPr>
        <w:t>；小分子谱图解卷积工作说明，复杂峰型需要在匹配检索前进行合理拆解</w:t>
      </w:r>
      <w:r>
        <w:rPr>
          <w:b w:val="0"/>
          <w:i w:val="0"/>
          <w:color w:val="000000"/>
          <w:sz w:val="22"/>
          <w:vertAlign w:val="superscript"/>
          <w:rFonts w:eastAsia="宋体" w:ascii="Times New Roman" w:hAnsi="Times New Roman"/>
        </w:rPr>
        <w:t>[20]</w:t>
      </w:r>
      <w:r>
        <w:rPr>
          <w:b w:val="0"/>
          <w:i w:val="0"/>
          <w:color w:val="000000"/>
          <w:sz w:val="24"/>
          <w:rFonts w:eastAsia="宋体" w:ascii="Times New Roman" w:hAnsi="Times New Roman"/>
        </w:rPr>
        <w:t>。谱图库预测可以补充实验谱图库覆盖不足的问题</w:t>
      </w:r>
      <w:r>
        <w:rPr>
          <w:b w:val="0"/>
          <w:i w:val="0"/>
          <w:color w:val="000000"/>
          <w:sz w:val="22"/>
          <w:vertAlign w:val="superscript"/>
          <w:rFonts w:eastAsia="宋体" w:ascii="Times New Roman" w:hAnsi="Times New Roman"/>
        </w:rPr>
        <w:t>[21]</w:t>
      </w:r>
      <w:r>
        <w:rPr>
          <w:b w:val="0"/>
          <w:i w:val="0"/>
          <w:color w:val="000000"/>
          <w:sz w:val="24"/>
          <w:rFonts w:eastAsia="宋体" w:ascii="Times New Roman" w:hAnsi="Times New Roman"/>
        </w:rPr>
        <w:t>。TMTpro 标记肽段的谱图库检索能够改善复杂标记实验中的肽段匹配与指派</w:t>
      </w:r>
      <w:r>
        <w:rPr>
          <w:b w:val="0"/>
          <w:i w:val="0"/>
          <w:color w:val="000000"/>
          <w:sz w:val="22"/>
          <w:vertAlign w:val="superscript"/>
          <w:rFonts w:eastAsia="宋体" w:ascii="Times New Roman" w:hAnsi="Times New Roman"/>
        </w:rPr>
        <w:t>[22]</w:t>
      </w:r>
      <w:r>
        <w:rPr>
          <w:b w:val="0"/>
          <w:i w:val="0"/>
          <w:color w:val="000000"/>
          <w:sz w:val="24"/>
          <w:rFonts w:eastAsia="宋体" w:ascii="Times New Roman" w:hAnsi="Times New Roman"/>
        </w:rPr>
        <w:t>。皮肤癌专用谱图库体现了场景化检索库建设的价值</w:t>
      </w:r>
      <w:r>
        <w:rPr>
          <w:b w:val="0"/>
          <w:i w:val="0"/>
          <w:color w:val="000000"/>
          <w:sz w:val="22"/>
          <w:vertAlign w:val="superscript"/>
          <w:rFonts w:eastAsia="宋体" w:ascii="Times New Roman" w:hAnsi="Times New Roman"/>
        </w:rPr>
        <w:t>[23]</w:t>
      </w:r>
      <w:r>
        <w:rPr>
          <w:b w:val="0"/>
          <w:i w:val="0"/>
          <w:color w:val="000000"/>
          <w:sz w:val="24"/>
          <w:rFonts w:eastAsia="宋体" w:ascii="Times New Roman" w:hAnsi="Times New Roman"/>
        </w:rPr>
        <w:t>，SLB-msSIM 则将谱图库思想拓展到单细胞蛋白质组学分析</w:t>
      </w:r>
      <w:r>
        <w:rPr>
          <w:b w:val="0"/>
          <w:i w:val="0"/>
          <w:color w:val="000000"/>
          <w:sz w:val="22"/>
          <w:vertAlign w:val="superscript"/>
          <w:rFonts w:eastAsia="宋体" w:ascii="Times New Roman" w:hAnsi="Times New Roman"/>
        </w:rPr>
        <w:t>[24]</w:t>
      </w:r>
      <w:r>
        <w:rPr>
          <w:b w:val="0"/>
          <w:i w:val="0"/>
          <w:color w:val="000000"/>
          <w:sz w:val="24"/>
          <w:rFonts w:eastAsia="宋体" w:ascii="Times New Roman" w:hAnsi="Times New Roman"/>
        </w:rPr>
        <w:t>。</w:t>
      </w:r>
    </w:p>
    <w:p>
      <w:pPr>
        <w:spacing w:lineRule="auto" w:line="360" w:before="0" w:after="0"/>
        <w:ind w:firstLine="420"/>
        <w:jc w:val="both"/>
      </w:pPr>
      <w:r>
        <w:rPr>
          <w:b w:val="0"/>
          <w:i w:val="0"/>
          <w:color w:val="000000"/>
          <w:sz w:val="24"/>
          <w:rFonts w:eastAsia="宋体" w:ascii="Times New Roman" w:hAnsi="Times New Roman"/>
        </w:rPr>
        <w:t>图聚类和可扩展聚类算法为谱图连通合并提供了方法基础。高能物理实验中的图聚类利用局部连接关系恢复整体簇结构</w:t>
      </w:r>
      <w:r>
        <w:rPr>
          <w:b w:val="0"/>
          <w:i w:val="0"/>
          <w:color w:val="000000"/>
          <w:sz w:val="22"/>
          <w:vertAlign w:val="superscript"/>
          <w:rFonts w:eastAsia="宋体" w:ascii="Times New Roman" w:hAnsi="Times New Roman"/>
        </w:rPr>
        <w:t>[25]</w:t>
      </w:r>
      <w:r>
        <w:rPr>
          <w:b w:val="0"/>
          <w:i w:val="0"/>
          <w:color w:val="000000"/>
          <w:sz w:val="24"/>
          <w:rFonts w:eastAsia="宋体" w:ascii="Times New Roman" w:hAnsi="Times New Roman"/>
        </w:rPr>
        <w:t>。2-club 图聚类从理论和算法工程角度讨论局部连通约束</w:t>
      </w:r>
      <w:r>
        <w:rPr>
          <w:b w:val="0"/>
          <w:i w:val="0"/>
          <w:color w:val="000000"/>
          <w:sz w:val="22"/>
          <w:vertAlign w:val="superscript"/>
          <w:rFonts w:eastAsia="宋体" w:ascii="Times New Roman" w:hAnsi="Times New Roman"/>
        </w:rPr>
        <w:t>[26]</w:t>
      </w:r>
      <w:r>
        <w:rPr>
          <w:b w:val="0"/>
          <w:i w:val="0"/>
          <w:color w:val="000000"/>
          <w:sz w:val="24"/>
          <w:rFonts w:eastAsia="宋体" w:ascii="Times New Roman" w:hAnsi="Times New Roman"/>
        </w:rPr>
        <w:t>。两阶段图增强密度峰聚类采用先构图、后聚类的分层路线</w:t>
      </w:r>
      <w:r>
        <w:rPr>
          <w:b w:val="0"/>
          <w:i w:val="0"/>
          <w:color w:val="000000"/>
          <w:sz w:val="22"/>
          <w:vertAlign w:val="superscript"/>
          <w:rFonts w:eastAsia="宋体" w:ascii="Times New Roman" w:hAnsi="Times New Roman"/>
        </w:rPr>
        <w:t>[27]</w:t>
      </w:r>
      <w:r>
        <w:rPr>
          <w:b w:val="0"/>
          <w:i w:val="0"/>
          <w:color w:val="000000"/>
          <w:sz w:val="24"/>
          <w:rFonts w:eastAsia="宋体" w:ascii="Times New Roman" w:hAnsi="Times New Roman"/>
        </w:rPr>
        <w:t>。基于图拉普拉斯的谱聚类仍在持续改进</w:t>
      </w:r>
      <w:r>
        <w:rPr>
          <w:b w:val="0"/>
          <w:i w:val="0"/>
          <w:color w:val="000000"/>
          <w:sz w:val="22"/>
          <w:vertAlign w:val="superscript"/>
          <w:rFonts w:eastAsia="宋体" w:ascii="Times New Roman" w:hAnsi="Times New Roman"/>
        </w:rPr>
        <w:t>[28]</w:t>
      </w:r>
      <w:r>
        <w:rPr>
          <w:b w:val="0"/>
          <w:i w:val="0"/>
          <w:color w:val="000000"/>
          <w:sz w:val="24"/>
          <w:rFonts w:eastAsia="宋体" w:ascii="Times New Roman" w:hAnsi="Times New Roman"/>
        </w:rPr>
        <w:t>，图自适应密度峰聚类优化了聚类中心选择</w:t>
      </w:r>
      <w:r>
        <w:rPr>
          <w:b w:val="0"/>
          <w:i w:val="0"/>
          <w:color w:val="000000"/>
          <w:sz w:val="22"/>
          <w:vertAlign w:val="superscript"/>
          <w:rFonts w:eastAsia="宋体" w:ascii="Times New Roman" w:hAnsi="Times New Roman"/>
        </w:rPr>
        <w:t>[29]</w:t>
      </w:r>
      <w:r>
        <w:rPr>
          <w:b w:val="0"/>
          <w:i w:val="0"/>
          <w:color w:val="000000"/>
          <w:sz w:val="24"/>
          <w:rFonts w:eastAsia="宋体" w:ascii="Times New Roman" w:hAnsi="Times New Roman"/>
        </w:rPr>
        <w:t>，带锚图正则的稀疏 K-Means 说明图结构约束可改进划分式聚类</w:t>
      </w:r>
      <w:r>
        <w:rPr>
          <w:b w:val="0"/>
          <w:i w:val="0"/>
          <w:color w:val="000000"/>
          <w:sz w:val="22"/>
          <w:vertAlign w:val="superscript"/>
          <w:rFonts w:eastAsia="宋体" w:ascii="Times New Roman" w:hAnsi="Times New Roman"/>
        </w:rPr>
        <w:t>[30]</w:t>
      </w:r>
      <w:r>
        <w:rPr>
          <w:b w:val="0"/>
          <w:i w:val="0"/>
          <w:color w:val="000000"/>
          <w:sz w:val="24"/>
          <w:rFonts w:eastAsia="宋体" w:ascii="Times New Roman" w:hAnsi="Times New Roman"/>
        </w:rPr>
        <w:t>。G2-SCANN 通过自然邻域减少不必要连接</w:t>
      </w:r>
      <w:r>
        <w:rPr>
          <w:b w:val="0"/>
          <w:i w:val="0"/>
          <w:color w:val="000000"/>
          <w:sz w:val="22"/>
          <w:vertAlign w:val="superscript"/>
          <w:rFonts w:eastAsia="宋体" w:ascii="Times New Roman" w:hAnsi="Times New Roman"/>
        </w:rPr>
        <w:t>[31]</w:t>
      </w:r>
      <w:r>
        <w:rPr>
          <w:b w:val="0"/>
          <w:i w:val="0"/>
          <w:color w:val="000000"/>
          <w:sz w:val="24"/>
          <w:rFonts w:eastAsia="宋体" w:ascii="Times New Roman" w:hAnsi="Times New Roman"/>
        </w:rPr>
        <w:t>，多数据库挖掘中的相似性聚类也说明多条件候选筛选具有实际价值</w:t>
      </w:r>
      <w:r>
        <w:rPr>
          <w:b w:val="0"/>
          <w:i w:val="0"/>
          <w:color w:val="000000"/>
          <w:sz w:val="22"/>
          <w:vertAlign w:val="superscript"/>
          <w:rFonts w:eastAsia="宋体" w:ascii="Times New Roman" w:hAnsi="Times New Roman"/>
        </w:rPr>
        <w:t>[32]</w:t>
      </w:r>
      <w:r>
        <w:rPr>
          <w:b w:val="0"/>
          <w:i w:val="0"/>
          <w:color w:val="000000"/>
          <w:sz w:val="24"/>
          <w:rFonts w:eastAsia="宋体" w:ascii="Times New Roman" w:hAnsi="Times New Roman"/>
        </w:rPr>
        <w:t>。</w:t>
      </w:r>
    </w:p>
    <w:p>
      <w:pPr>
        <w:spacing w:lineRule="auto" w:line="360" w:before="0" w:after="0"/>
        <w:ind w:firstLine="420"/>
        <w:jc w:val="both"/>
      </w:pPr>
      <w:r>
        <w:rPr>
          <w:b w:val="0"/>
          <w:i w:val="0"/>
          <w:color w:val="000000"/>
          <w:sz w:val="24"/>
          <w:rFonts w:eastAsia="宋体" w:ascii="Times New Roman" w:hAnsi="Times New Roman"/>
        </w:rPr>
        <w:t>综合来看，谱图表征、相似度度量、数据库组织和图式聚类已经形成较好的研究基础，但候选谱图生成与精细相似度计算在许多流程中仍耦合较紧。面向自上而下谱图库构建场景，独立设置数据库候选压缩层，可以在保留碎片峰相似度判断的同时减少无效谱图对参与计算，从而提高聚类流程的可解释性和运行效率。</w:t>
      </w:r>
    </w:p>
    <w:p>
      <w:pPr>
        <w:pStyle w:val="3"/>
        <w:jc w:val="left"/>
      </w:pPr>
      <w:r>
        <w:rPr>
          <w:b/>
          <w:i w:val="0"/>
          <w:color w:val="000000"/>
          <w:sz w:val="24"/>
          <w:rFonts w:eastAsia="黑体" w:ascii="Times New Roman" w:hAnsi="Times New Roman"/>
        </w:rPr>
        <w:t>1.3 研究内容与论文结构</w:t>
      </w:r>
    </w:p>
    <w:p>
      <w:pPr>
        <w:spacing w:lineRule="auto" w:line="360" w:before="0" w:after="0"/>
        <w:ind w:firstLine="420"/>
        <w:jc w:val="both"/>
      </w:pPr>
      <w:r>
        <w:rPr>
          <w:b w:val="0"/>
          <w:i w:val="0"/>
          <w:color w:val="000000"/>
          <w:sz w:val="24"/>
          <w:rFonts w:eastAsia="宋体" w:ascii="Times New Roman" w:hAnsi="Times New Roman"/>
        </w:rPr>
        <w:t>本研究围绕基于数据库过滤的谱图聚类算法展开，主要内容包括：分析 TopLib 代码和论文中的自上而下谱图库流程；获取 PRIDE 公开数据并解析 msalign 谱图与 TopPIC 搜索结果；建立保存谱图、碎片峰和标注信息的 SQLite 数据库；设计前体质量、荷电状态和碎片峰相似度结合的候选过滤聚类方法；最后从 ARI、NMI、错误聚类率、候选过滤率和运行开销等角度评价算法。</w:t>
      </w:r>
    </w:p>
    <w:p>
      <w:pPr>
        <w:spacing w:lineRule="auto" w:line="360" w:before="0" w:after="0"/>
        <w:ind w:firstLine="420"/>
        <w:jc w:val="both"/>
      </w:pPr>
      <w:r>
        <w:rPr>
          <w:b w:val="0"/>
          <w:i w:val="0"/>
          <w:color w:val="000000"/>
          <w:sz w:val="24"/>
          <w:rFonts w:eastAsia="宋体" w:ascii="Times New Roman" w:hAnsi="Times New Roman"/>
        </w:rPr>
        <w:t>后续内容按算法设计与实验验证展开。相关技术部分说明谱图数据表示、相似度计算、聚类算法和数据库过滤理论；设计与实现部分给出数据库结构、过滤算法和主要模块；实验部分比较聚类质量、候选空间压缩、参数敏感性和结果复核；最后总结数据库过滤在自上而下谱图库聚类中的作用与改进方向。</w:t>
      </w:r>
    </w:p>
    <w:p>
      <w:pPr>
        <w:pStyle w:val="2"/>
        <w:pageBreakBefore/>
        <w:jc w:val="center"/>
      </w:pPr>
      <w:r>
        <w:rPr>
          <w:b/>
          <w:i w:val="0"/>
          <w:color w:val="000000"/>
          <w:sz w:val="32"/>
          <w:rFonts w:eastAsia="黑体" w:ascii="Times New Roman" w:hAnsi="Times New Roman"/>
        </w:rPr>
        <w:t>第2章 相关技术与理论基础</w:t>
      </w:r>
    </w:p>
    <w:p>
      <w:pPr>
        <w:pStyle w:val="3"/>
        <w:jc w:val="left"/>
      </w:pPr>
      <w:r>
        <w:rPr>
          <w:b/>
          <w:i w:val="0"/>
          <w:color w:val="000000"/>
          <w:sz w:val="24"/>
          <w:rFonts w:eastAsia="黑体" w:ascii="Times New Roman" w:hAnsi="Times New Roman"/>
        </w:rPr>
        <w:t>2.1 谱图数据与向量化表示</w:t>
      </w:r>
    </w:p>
    <w:p>
      <w:pPr>
        <w:spacing w:lineRule="auto" w:line="360" w:before="0" w:after="0"/>
        <w:ind w:firstLine="420"/>
        <w:jc w:val="both"/>
      </w:pPr>
      <w:r>
        <w:rPr>
          <w:b w:val="0"/>
          <w:i w:val="0"/>
          <w:color w:val="000000"/>
          <w:sz w:val="24"/>
          <w:rFonts w:eastAsia="宋体" w:ascii="Times New Roman" w:hAnsi="Times New Roman"/>
        </w:rPr>
        <w:t>谱图通常由若干峰组成，每个峰包含质量或质荷比以及对应强度。TopLib 面向自上而下质谱数据，先使用 TopFD 将复杂同位素峰转换为去卷积后的单同位素中性质量列表，再在谱图库构建和检索阶段保留高强度碎片峰。官方流程围绕代表性高强度峰组织谱图库和查询谱图，这使后续距离计算不必处理完整原始峰表。</w:t>
      </w:r>
    </w:p>
    <w:p>
      <w:pPr>
        <w:jc w:val="center"/>
      </w:pPr>
      <w:r>
        <w:drawing>
          <wp:inline xmlns:a="http://schemas.openxmlformats.org/drawingml/2006/main" xmlns:pic="http://schemas.openxmlformats.org/drawingml/2006/picture">
            <wp:extent cx="5472000" cy="2912670"/>
            <wp:docPr id="10" name="Picture 10"/>
            <wp:cNvGraphicFramePr>
              <a:graphicFrameLocks noChangeAspect="1"/>
            </wp:cNvGraphicFramePr>
            <a:graphic>
              <a:graphicData uri="http://schemas.openxmlformats.org/drawingml/2006/picture">
                <pic:pic>
                  <pic:nvPicPr>
                    <pic:cNvPr id="0" name="spectrum_vectorization_detail_imagegen_v2.png"/>
                    <pic:cNvPicPr/>
                  </pic:nvPicPr>
                  <pic:blipFill>
                    <a:blip r:embed="rId15"/>
                    <a:stretch>
                      <a:fillRect/>
                    </a:stretch>
                  </pic:blipFill>
                  <pic:spPr>
                    <a:xfrm>
                      <a:off x="0" y="0"/>
                      <a:ext cx="5472000" cy="2912670"/>
                    </a:xfrm>
                    <a:prstGeom prst="rect"/>
                  </pic:spPr>
                </pic:pic>
              </a:graphicData>
            </a:graphic>
          </wp:inline>
        </w:drawing>
      </w:r>
    </w:p>
    <w:p>
      <w:pPr>
        <w:spacing w:after="120"/>
        <w:jc w:val="center"/>
      </w:pPr>
      <w:r>
        <w:rPr>
          <w:b w:val="0"/>
          <w:i w:val="0"/>
          <w:color w:val="000000"/>
          <w:sz w:val="21"/>
          <w:rFonts w:eastAsia="宋体" w:ascii="Times New Roman" w:hAnsi="Times New Roman"/>
        </w:rPr>
        <w:t>图1 谱图峰列表预处理与向量化示意图</w:t>
      </w:r>
    </w:p>
    <w:p>
      <w:pPr>
        <w:spacing w:lineRule="auto" w:line="360" w:before="0" w:after="0"/>
        <w:ind w:firstLine="420"/>
        <w:jc w:val="both"/>
      </w:pPr>
      <w:r>
        <w:rPr>
          <w:b w:val="0"/>
          <w:i w:val="0"/>
          <w:color w:val="000000"/>
          <w:sz w:val="24"/>
          <w:rFonts w:eastAsia="宋体" w:ascii="Times New Roman" w:hAnsi="Times New Roman"/>
        </w:rPr>
        <w:t>峰列表预处理并不是简单删除低强度信息，而是把原始谱图压缩为适合比较的稀疏向量。程序先保留主要高强度峰，再按固定质量桶宽度将峰质量映射到向量维度中，在同一桶内累加强度并进行 L2 归一化。</w:t>
      </w:r>
    </w:p>
    <w:p>
      <w:pPr>
        <w:tabs>
          <w:tab w:pos="4195" w:val="center"/>
          <w:tab w:pos="8617" w:val="right"/>
        </w:tabs>
        <w:spacing w:lineRule="auto" w:line="312" w:before="120" w:after="120"/>
        <w:jc w:val="left"/>
      </w:pPr>
      <w:r>
        <w:tab/>
      </w:r>
      <m:oMathPara>
        <m:oMathParaPr>
          <m:jc m:val="center"/>
        </m:oMathParaPr>
        <m:oMath>
          <m:sSub>
            <m:e>
              <m:r>
                <m:t>x</m:t>
              </m:r>
            </m:e>
            <m:sub>
              <m:r>
                <m:t>j</m:t>
              </m:r>
            </m:sub>
          </m:sSub>
          <m:r>
            <m:rPr>
              <m:sty m:val="p"/>
            </m:rPr>
            <m:t>=</m:t>
          </m:r>
          <m:nary>
            <m:naryPr>
              <m:chr m:val="∑"/>
              <m:limLoc m:val="undOvr"/>
              <m:subHide m:val="off"/>
              <m:supHide m:val="off"/>
            </m:naryPr>
            <m:sub>
              <m:r>
                <m:t>k</m:t>
              </m:r>
              <m:r>
                <m:rPr>
                  <m:sty m:val="p"/>
                </m:rPr>
                <m:t>=</m:t>
              </m:r>
              <m:r>
                <m:t>1</m:t>
              </m:r>
            </m:sub>
            <m:sup>
              <m:r>
                <m:t>p</m:t>
              </m:r>
            </m:sup>
            <m:e>
              <m:sSub>
                <m:e>
                  <m:r>
                    <m:t>I</m:t>
                  </m:r>
                </m:e>
                <m:sub>
                  <m:r>
                    <m:t>k</m:t>
                  </m:r>
                </m:sub>
              </m:sSub>
            </m:e>
          </m:nary>
          <m:r>
            <m:t> </m:t>
          </m:r>
          <m:r>
            <m:rPr>
              <m:sty m:val="b"/>
            </m:rPr>
            <m:t>1</m:t>
          </m:r>
          <m:d>
            <m:dPr>
              <m:begChr m:val="("/>
              <m:sepChr m:val=""/>
              <m:endChr m:val=")"/>
              <m:grow/>
            </m:dPr>
            <m:e>
              <m:d>
                <m:dPr>
                  <m:begChr m:val="⌊"/>
                  <m:sepChr m:val=""/>
                  <m:endChr m:val="⌋"/>
                  <m:grow/>
                </m:dPr>
                <m:e>
                  <m:f>
                    <m:fPr>
                      <m:type m:val="bar"/>
                    </m:fPr>
                    <m:num>
                      <m:sSub>
                        <m:e>
                          <m:r>
                            <m:t>m</m:t>
                          </m:r>
                        </m:e>
                        <m:sub>
                          <m:r>
                            <m:t>k</m:t>
                          </m:r>
                        </m:sub>
                      </m:sSub>
                    </m:num>
                    <m:den>
                      <m:r>
                        <m:rPr>
                          <m:sty m:val="p"/>
                        </m:rPr>
                        <m:t>Δ</m:t>
                      </m:r>
                      <m:r>
                        <m:t>m</m:t>
                      </m:r>
                    </m:den>
                  </m:f>
                </m:e>
              </m:d>
              <m:r>
                <m:rPr>
                  <m:sty m:val="p"/>
                </m:rPr>
                <m:t>=</m:t>
              </m:r>
              <m:r>
                <m:t>j</m:t>
              </m:r>
            </m:e>
          </m:d>
          <m:r>
            <m:rPr>
              <m:sty m:val="p"/>
            </m:rPr>
            <m:t>,</m:t>
          </m:r>
          <m:r>
            <m:t> </m:t>
          </m:r>
          <m:r>
            <m:t>j</m:t>
          </m:r>
          <m:r>
            <m:rPr>
              <m:sty m:val="p"/>
            </m:rPr>
            <m:t>=</m:t>
          </m:r>
          <m:r>
            <m:t>1</m:t>
          </m:r>
          <m:r>
            <m:rPr>
              <m:sty m:val="p"/>
            </m:rPr>
            <m:t>,</m:t>
          </m:r>
          <m:r>
            <m:t>2</m:t>
          </m:r>
          <m:r>
            <m:rPr>
              <m:sty m:val="p"/>
            </m:rPr>
            <m:t>,</m:t>
          </m:r>
          <m:r>
            <m:rPr>
              <m:sty m:val="p"/>
            </m:rPr>
            <m:t>…</m:t>
          </m:r>
          <m:r>
            <m:rPr>
              <m:sty m:val="p"/>
            </m:rPr>
            <m:t>,</m:t>
          </m:r>
          <m:r>
            <m:t>M</m:t>
          </m:r>
        </m:oMath>
      </m:oMathPara>
      <w:r>
        <w:rPr>
          <w:b w:val="0"/>
          <w:i w:val="0"/>
          <w:color w:val="000000"/>
          <w:sz w:val="24"/>
          <w:rFonts w:eastAsia="宋体" w:ascii="Times New Roman" w:hAnsi="Times New Roman"/>
        </w:rPr>
        <w:tab/>
        <w:t>（2.1）</w:t>
      </w:r>
    </w:p>
    <w:p>
      <w:pPr>
        <w:spacing w:lineRule="auto" w:line="360" w:before="0" w:after="0"/>
        <w:ind w:firstLine="420"/>
        <w:jc w:val="both"/>
      </w:pPr>
      <w:r>
        <w:rPr>
          <w:b w:val="0"/>
          <w:i w:val="0"/>
          <w:color w:val="000000"/>
          <w:sz w:val="24"/>
          <w:rFonts w:eastAsia="宋体" w:ascii="Times New Roman" w:hAnsi="Times New Roman"/>
        </w:rPr>
        <w:t>式（2.1）给出了质量桶向量的构造方式。其中，mk 表示第 k 个碎片峰质量，Ik 表示对应归一化强度，Δm 表示质量桶宽度，M 表示向量维度。若多个碎片峰落入同一质量桶，则在该维度累加强度；没有峰落入的质量桶取值为 0。</w:t>
      </w:r>
    </w:p>
    <w:p>
      <w:pPr>
        <w:tabs>
          <w:tab w:pos="4195" w:val="center"/>
          <w:tab w:pos="8617" w:val="right"/>
        </w:tabs>
        <w:spacing w:lineRule="auto" w:line="312" w:before="120" w:after="120"/>
        <w:jc w:val="left"/>
      </w:pPr>
      <w:r>
        <w:tab/>
      </w:r>
      <m:oMathPara>
        <m:oMathParaPr>
          <m:jc m:val="center"/>
        </m:oMathParaPr>
        <m:oMath>
          <m:r>
            <m:rPr>
              <m:sty m:val="bi"/>
            </m:rPr>
            <m:t>v</m:t>
          </m:r>
          <m:r>
            <m:rPr>
              <m:sty m:val="p"/>
            </m:rPr>
            <m:t>=</m:t>
          </m:r>
          <m:f>
            <m:fPr>
              <m:type m:val="bar"/>
            </m:fPr>
            <m:num>
              <m:r>
                <m:rPr>
                  <m:sty m:val="bi"/>
                </m:rPr>
                <m:t>x</m:t>
              </m:r>
            </m:num>
            <m:den>
              <m:sSub>
                <m:e>
                  <m:d>
                    <m:dPr>
                      <m:begChr m:val="‖"/>
                      <m:sepChr m:val=""/>
                      <m:endChr m:val="‖"/>
                      <m:grow/>
                    </m:dPr>
                    <m:e>
                      <m:r>
                        <m:rPr>
                          <m:sty m:val="bi"/>
                        </m:rPr>
                        <m:t>x</m:t>
                      </m:r>
                    </m:e>
                  </m:d>
                </m:e>
                <m:sub>
                  <m:r>
                    <m:t>2</m:t>
                  </m:r>
                </m:sub>
              </m:sSub>
            </m:den>
          </m:f>
          <m:r>
            <m:rPr>
              <m:sty m:val="p"/>
            </m:rPr>
            <m:t>,</m:t>
          </m:r>
          <m:r>
            <m:t> </m:t>
          </m:r>
          <m:sSub>
            <m:e>
              <m:d>
                <m:dPr>
                  <m:begChr m:val="‖"/>
                  <m:sepChr m:val=""/>
                  <m:endChr m:val="‖"/>
                  <m:grow/>
                </m:dPr>
                <m:e>
                  <m:r>
                    <m:rPr>
                      <m:sty m:val="bi"/>
                    </m:rPr>
                    <m:t>v</m:t>
                  </m:r>
                </m:e>
              </m:d>
            </m:e>
            <m:sub>
              <m:r>
                <m:t>2</m:t>
              </m:r>
            </m:sub>
          </m:sSub>
          <m:r>
            <m:rPr>
              <m:sty m:val="p"/>
            </m:rPr>
            <m:t>=</m:t>
          </m:r>
          <m:r>
            <m:t>1</m:t>
          </m:r>
        </m:oMath>
      </m:oMathPara>
      <w:r>
        <w:rPr>
          <w:b w:val="0"/>
          <w:i w:val="0"/>
          <w:color w:val="000000"/>
          <w:sz w:val="24"/>
          <w:rFonts w:eastAsia="宋体" w:ascii="Times New Roman" w:hAnsi="Times New Roman"/>
        </w:rPr>
        <w:tab/>
        <w:t>（2.2）</w:t>
      </w:r>
    </w:p>
    <w:p>
      <w:pPr>
        <w:spacing w:lineRule="auto" w:line="360" w:before="0" w:after="0"/>
        <w:ind w:firstLine="420"/>
        <w:jc w:val="both"/>
      </w:pPr>
      <w:r>
        <w:rPr>
          <w:b w:val="0"/>
          <w:i w:val="0"/>
          <w:color w:val="000000"/>
          <w:sz w:val="24"/>
          <w:rFonts w:eastAsia="宋体" w:ascii="Times New Roman" w:hAnsi="Times New Roman"/>
        </w:rPr>
        <w:t>式（2.2）表示对质量桶向量做 L2 归一化。归一化后的向量不再主要受总峰强度大小影响，而更强调峰型分布是否相近，因此适合用于后续余弦相似度计算。</w:t>
      </w:r>
    </w:p>
    <w:p>
      <w:pPr>
        <w:spacing w:lineRule="auto" w:line="360" w:before="0" w:after="0"/>
        <w:ind w:firstLine="420"/>
        <w:jc w:val="both"/>
      </w:pPr>
      <w:r>
        <w:rPr>
          <w:b w:val="0"/>
          <w:i w:val="0"/>
          <w:color w:val="000000"/>
          <w:sz w:val="24"/>
          <w:rFonts w:eastAsia="宋体" w:ascii="Times New Roman" w:hAnsi="Times New Roman"/>
        </w:rPr>
        <w:t>TopLib 论文比较了 MASS、BIN 和 DL 三类谱图表示方式。MASS 表示直接保留质量-强度对，距离计算时按质量容差配对碎片峰；BIN 表示将 m/z 分配到固定 bin 中形成向量；DL 表示则使用深度学习编码得到较短向量。本研究实验程序在公开 msalign 谱图中保留前 50 个高强度峰，并采用质量容差下的碎片峰余弦相似度进行比较；BIN 表示仍作为理解谱图离散化和数据库过滤的理论参照。</w:t>
      </w:r>
    </w:p>
    <w:p>
      <w:pPr>
        <w:pStyle w:val="3"/>
        <w:jc w:val="left"/>
      </w:pPr>
      <w:r>
        <w:rPr>
          <w:b/>
          <w:i w:val="0"/>
          <w:color w:val="000000"/>
          <w:sz w:val="24"/>
          <w:rFonts w:eastAsia="黑体" w:ascii="Times New Roman" w:hAnsi="Times New Roman"/>
        </w:rPr>
        <w:t>2.2 谱图相似度计算</w:t>
      </w:r>
    </w:p>
    <w:p>
      <w:pPr>
        <w:spacing w:lineRule="auto" w:line="360" w:before="0" w:after="0"/>
        <w:ind w:firstLine="420"/>
        <w:jc w:val="both"/>
      </w:pPr>
      <w:r>
        <w:rPr>
          <w:b w:val="0"/>
          <w:i w:val="0"/>
          <w:color w:val="000000"/>
          <w:sz w:val="24"/>
          <w:rFonts w:eastAsia="宋体" w:ascii="Times New Roman" w:hAnsi="Times New Roman"/>
        </w:rPr>
        <w:t>谱图相似度计算需要先把不定长峰列表转化为可比较的数值表示。本研究实验程序在候选分析中使用 TopLib 思路处理碎片峰：将碎片峰质量映射到固定宽度的质量桶中，在同一质量桶内累加归一化强度，再对整条向量进行 L2 归一化。这样既保留主要峰型信息，又避免直接逐峰匹配带来的复杂对齐问题。</w:t>
      </w:r>
    </w:p>
    <w:p>
      <w:pPr>
        <w:jc w:val="center"/>
      </w:pPr>
      <w:r>
        <w:drawing>
          <wp:inline xmlns:a="http://schemas.openxmlformats.org/drawingml/2006/main" xmlns:pic="http://schemas.openxmlformats.org/drawingml/2006/picture">
            <wp:extent cx="5472000" cy="2736000"/>
            <wp:docPr id="11" name="Picture 11"/>
            <wp:cNvGraphicFramePr>
              <a:graphicFrameLocks noChangeAspect="1"/>
            </wp:cNvGraphicFramePr>
            <a:graphic>
              <a:graphicData uri="http://schemas.openxmlformats.org/drawingml/2006/picture">
                <pic:pic>
                  <pic:nvPicPr>
                    <pic:cNvPr id="0" name="spectrum_similarity_principle_imagegen.png"/>
                    <pic:cNvPicPr/>
                  </pic:nvPicPr>
                  <pic:blipFill>
                    <a:blip r:embed="rId16"/>
                    <a:stretch>
                      <a:fillRect/>
                    </a:stretch>
                  </pic:blipFill>
                  <pic:spPr>
                    <a:xfrm>
                      <a:off x="0" y="0"/>
                      <a:ext cx="5472000" cy="2736000"/>
                    </a:xfrm>
                    <a:prstGeom prst="rect"/>
                  </pic:spPr>
                </pic:pic>
              </a:graphicData>
            </a:graphic>
          </wp:inline>
        </w:drawing>
      </w:r>
    </w:p>
    <w:p>
      <w:pPr>
        <w:spacing w:after="120"/>
        <w:jc w:val="center"/>
      </w:pPr>
      <w:r>
        <w:rPr>
          <w:b w:val="0"/>
          <w:i w:val="0"/>
          <w:color w:val="000000"/>
          <w:sz w:val="21"/>
          <w:rFonts w:eastAsia="宋体" w:ascii="Times New Roman" w:hAnsi="Times New Roman"/>
        </w:rPr>
        <w:t>图2 谱图向量化与余弦相似度计算示意图</w:t>
      </w:r>
    </w:p>
    <w:p>
      <w:pPr>
        <w:spacing w:lineRule="auto" w:line="360" w:before="0" w:after="0"/>
        <w:ind w:firstLine="420"/>
        <w:jc w:val="both"/>
      </w:pPr>
      <w:r>
        <w:rPr>
          <w:b w:val="0"/>
          <w:i w:val="0"/>
          <w:color w:val="000000"/>
          <w:sz w:val="24"/>
          <w:rFonts w:eastAsia="宋体" w:ascii="Times New Roman" w:hAnsi="Times New Roman"/>
        </w:rPr>
        <w:t>两条谱图被映射到相同的质量桶坐标系后，重叠质量桶贡献共同的向量维度。余弦相似度衡量两个归一化向量方向是否接近：同源谱图通常在多个高强度桶上同时取较大值，点积结果较高；非同源谱图即使峰数相近，也会因主要峰位置错开而得到较低相似度。</w:t>
      </w:r>
    </w:p>
    <w:p>
      <w:pPr>
        <w:tabs>
          <w:tab w:pos="4195" w:val="center"/>
          <w:tab w:pos="8617" w:val="right"/>
        </w:tabs>
        <w:spacing w:lineRule="auto" w:line="312" w:before="120" w:after="120"/>
        <w:jc w:val="left"/>
      </w:pPr>
      <w:r>
        <w:tab/>
      </w:r>
      <m:oMathPara>
        <m:oMathParaPr>
          <m:jc m:val="center"/>
        </m:oMathParaPr>
        <m:oMath>
          <m:r>
            <m:rPr>
              <m:sty m:val="p"/>
            </m:rPr>
            <m:t>sim</m:t>
          </m:r>
          <m:r>
            <m:rPr>
              <m:sty m:val="p"/>
            </m:rPr>
            <m:t>(</m:t>
          </m:r>
          <m:sSub>
            <m:e>
              <m:r>
                <m:t>S</m:t>
              </m:r>
            </m:e>
            <m:sub>
              <m:r>
                <m:t>a</m:t>
              </m:r>
            </m:sub>
          </m:sSub>
          <m:r>
            <m:rPr>
              <m:sty m:val="p"/>
            </m:rPr>
            <m:t>,</m:t>
          </m:r>
          <m:sSub>
            <m:e>
              <m:r>
                <m:t>S</m:t>
              </m:r>
            </m:e>
            <m:sub>
              <m:r>
                <m:t>b</m:t>
              </m:r>
            </m:sub>
          </m:sSub>
          <m:r>
            <m:rPr>
              <m:sty m:val="p"/>
            </m:rPr>
            <m:t>)</m:t>
          </m:r>
          <m:r>
            <m:rPr>
              <m:sty m:val="p"/>
            </m:rPr>
            <m:t>=</m:t>
          </m:r>
          <m:f>
            <m:fPr>
              <m:type m:val="bar"/>
            </m:fPr>
            <m:num>
              <m:sSubSup>
                <m:e>
                  <m:r>
                    <m:rPr>
                      <m:sty m:val="bi"/>
                    </m:rPr>
                    <m:t>v</m:t>
                  </m:r>
                </m:e>
                <m:sub>
                  <m:r>
                    <m:t>a</m:t>
                  </m:r>
                </m:sub>
                <m:sup>
                  <m:r>
                    <m:rPr>
                      <m:scr m:val="sans-serif"/>
                      <m:sty m:val="p"/>
                    </m:rPr>
                    <m:t>T</m:t>
                  </m:r>
                </m:sup>
              </m:sSubSup>
              <m:sSub>
                <m:e>
                  <m:r>
                    <m:rPr>
                      <m:sty m:val="bi"/>
                    </m:rPr>
                    <m:t>v</m:t>
                  </m:r>
                </m:e>
                <m:sub>
                  <m:r>
                    <m:t>b</m:t>
                  </m:r>
                </m:sub>
              </m:sSub>
            </m:num>
            <m:den>
              <m:sSub>
                <m:e>
                  <m:d>
                    <m:dPr>
                      <m:begChr m:val="‖"/>
                      <m:sepChr m:val=""/>
                      <m:endChr m:val="‖"/>
                      <m:grow/>
                    </m:dPr>
                    <m:e>
                      <m:sSub>
                        <m:e>
                          <m:r>
                            <m:rPr>
                              <m:sty m:val="bi"/>
                            </m:rPr>
                            <m:t>v</m:t>
                          </m:r>
                        </m:e>
                        <m:sub>
                          <m:r>
                            <m:t>a</m:t>
                          </m:r>
                        </m:sub>
                      </m:sSub>
                    </m:e>
                  </m:d>
                </m:e>
                <m:sub>
                  <m:r>
                    <m:t>2</m:t>
                  </m:r>
                </m:sub>
              </m:sSub>
              <m:sSub>
                <m:e>
                  <m:d>
                    <m:dPr>
                      <m:begChr m:val="‖"/>
                      <m:sepChr m:val=""/>
                      <m:endChr m:val="‖"/>
                      <m:grow/>
                    </m:dPr>
                    <m:e>
                      <m:sSub>
                        <m:e>
                          <m:r>
                            <m:rPr>
                              <m:sty m:val="bi"/>
                            </m:rPr>
                            <m:t>v</m:t>
                          </m:r>
                        </m:e>
                        <m:sub>
                          <m:r>
                            <m:t>b</m:t>
                          </m:r>
                        </m:sub>
                      </m:sSub>
                    </m:e>
                  </m:d>
                </m:e>
                <m:sub>
                  <m:r>
                    <m:t>2</m:t>
                  </m:r>
                </m:sub>
              </m:sSub>
            </m:den>
          </m:f>
        </m:oMath>
      </m:oMathPara>
      <w:r>
        <w:rPr>
          <w:b w:val="0"/>
          <w:i w:val="0"/>
          <w:color w:val="000000"/>
          <w:sz w:val="24"/>
          <w:rFonts w:eastAsia="宋体" w:ascii="Times New Roman" w:hAnsi="Times New Roman"/>
        </w:rPr>
        <w:tab/>
        <w:t>（2.3）</w:t>
      </w:r>
    </w:p>
    <w:p>
      <w:pPr>
        <w:spacing w:lineRule="auto" w:line="360" w:before="0" w:after="0"/>
        <w:ind w:firstLine="420"/>
        <w:jc w:val="both"/>
      </w:pPr>
      <w:r>
        <w:rPr>
          <w:b w:val="0"/>
          <w:i w:val="0"/>
          <w:color w:val="000000"/>
          <w:sz w:val="24"/>
          <w:rFonts w:eastAsia="宋体" w:ascii="Times New Roman" w:hAnsi="Times New Roman"/>
        </w:rPr>
        <w:t>由于本研究使用的谱图向量已经完成 L2 归一化，式（2.3）在程序实现中可简化为两个向量的点积。相似度越接近 1，说明两条谱图在主要质量桶上的强度分布越接近；相似度越接近 0，说明二者峰型重叠较少。</w:t>
      </w:r>
    </w:p>
    <w:p>
      <w:pPr>
        <w:spacing w:lineRule="auto" w:line="360" w:before="0" w:after="0"/>
        <w:ind w:firstLine="420"/>
        <w:jc w:val="both"/>
      </w:pPr>
      <w:r>
        <w:rPr>
          <w:b w:val="0"/>
          <w:i w:val="0"/>
          <w:color w:val="000000"/>
          <w:sz w:val="24"/>
          <w:rFonts w:eastAsia="宋体" w:ascii="Times New Roman" w:hAnsi="Times New Roman"/>
        </w:rPr>
        <w:t>TopLib 在代表谱图检索中使用前 50 个碎片峰及其归一化强度计算碎片峰余弦距离。本研究实验程序沿用这一思想：数据库过滤只负责缩小候选范围，最终是否连边仍由碎片峰相似度决定。</w:t>
      </w:r>
    </w:p>
    <w:p>
      <w:pPr>
        <w:pStyle w:val="3"/>
        <w:jc w:val="left"/>
      </w:pPr>
      <w:r>
        <w:rPr>
          <w:b/>
          <w:i w:val="0"/>
          <w:color w:val="000000"/>
          <w:sz w:val="24"/>
          <w:rFonts w:eastAsia="黑体" w:ascii="Times New Roman" w:hAnsi="Times New Roman"/>
        </w:rPr>
        <w:t>2.3 常见聚类算法</w:t>
      </w:r>
    </w:p>
    <w:p>
      <w:pPr>
        <w:spacing w:lineRule="auto" w:line="360" w:before="0" w:after="0"/>
        <w:ind w:firstLine="420"/>
        <w:jc w:val="both"/>
      </w:pPr>
      <w:r>
        <w:rPr>
          <w:b w:val="0"/>
          <w:i w:val="0"/>
          <w:color w:val="000000"/>
          <w:sz w:val="24"/>
          <w:rFonts w:eastAsia="宋体" w:ascii="Times New Roman" w:hAnsi="Times New Roman"/>
        </w:rPr>
        <w:t>K-Means、谱聚类、层次聚类和 DBSCAN 是本研究用于对比的四类典型算法。K-Means 适合簇数已知且簇形状较规则的情况；谱聚类能够利用相似图结构，但需要构造完整相似度矩阵；层次聚类具备较好的合并过程解释性，但在样本规模增大后计算成本较高；DBSCAN 不需要预先给定簇数，但在高维稀疏谱图中对邻域半径和最小样本数较敏感。</w:t>
      </w:r>
    </w:p>
    <w:p>
      <w:pPr>
        <w:jc w:val="center"/>
      </w:pPr>
      <w:r>
        <w:drawing>
          <wp:inline xmlns:a="http://schemas.openxmlformats.org/drawingml/2006/main" xmlns:pic="http://schemas.openxmlformats.org/drawingml/2006/picture">
            <wp:extent cx="5472000" cy="3002651"/>
            <wp:docPr id="12" name="Picture 12"/>
            <wp:cNvGraphicFramePr>
              <a:graphicFrameLocks noChangeAspect="1"/>
            </wp:cNvGraphicFramePr>
            <a:graphic>
              <a:graphicData uri="http://schemas.openxmlformats.org/drawingml/2006/picture">
                <pic:pic>
                  <pic:nvPicPr>
                    <pic:cNvPr id="0" name="clustering_algorithm_principles_imagegen.png"/>
                    <pic:cNvPicPr/>
                  </pic:nvPicPr>
                  <pic:blipFill>
                    <a:blip r:embed="rId17"/>
                    <a:stretch>
                      <a:fillRect/>
                    </a:stretch>
                  </pic:blipFill>
                  <pic:spPr>
                    <a:xfrm>
                      <a:off x="0" y="0"/>
                      <a:ext cx="5472000" cy="3002651"/>
                    </a:xfrm>
                    <a:prstGeom prst="rect"/>
                  </pic:spPr>
                </pic:pic>
              </a:graphicData>
            </a:graphic>
          </wp:inline>
        </w:drawing>
      </w:r>
    </w:p>
    <w:p>
      <w:pPr>
        <w:spacing w:after="120"/>
        <w:jc w:val="center"/>
      </w:pPr>
      <w:r>
        <w:rPr>
          <w:b w:val="0"/>
          <w:i w:val="0"/>
          <w:color w:val="000000"/>
          <w:sz w:val="21"/>
          <w:rFonts w:eastAsia="宋体" w:ascii="Times New Roman" w:hAnsi="Times New Roman"/>
        </w:rPr>
        <w:t>图3 常见聚类算法原理对比示意图</w:t>
      </w:r>
    </w:p>
    <w:p>
      <w:pPr>
        <w:spacing w:lineRule="auto" w:line="360" w:before="0" w:after="0"/>
        <w:ind w:firstLine="420"/>
        <w:jc w:val="both"/>
      </w:pPr>
      <w:r>
        <w:rPr>
          <w:b w:val="0"/>
          <w:i w:val="0"/>
          <w:color w:val="000000"/>
          <w:sz w:val="24"/>
          <w:rFonts w:eastAsia="宋体" w:ascii="Times New Roman" w:hAnsi="Times New Roman"/>
        </w:rPr>
        <w:t>不同聚类算法的核心依据并不相同：K-Means 依赖中心点迭代，谱聚类依赖相似图和拉普拉斯矩阵，层次聚类依赖逐步合并结构，DBSCAN 依赖密度可达关系。本研究算法额外引入数据库候选过滤，把“哪些谱图值得比较”放在相似度计算之前处理，因此能够与这些基线算法形成明确对照。</w:t>
      </w:r>
    </w:p>
    <w:p>
      <w:pPr>
        <w:tabs>
          <w:tab w:pos="4195" w:val="center"/>
          <w:tab w:pos="8617" w:val="right"/>
        </w:tabs>
        <w:spacing w:lineRule="auto" w:line="312" w:before="120" w:after="120"/>
        <w:jc w:val="left"/>
      </w:pPr>
      <w:r>
        <w:tab/>
      </w:r>
      <m:oMathPara>
        <m:oMathParaPr>
          <m:jc m:val="center"/>
        </m:oMathParaPr>
        <m:oMath>
          <m:limLow>
            <m:e>
              <m:r>
                <m:rPr>
                  <m:sty m:val="p"/>
                </m:rPr>
                <m:t>min</m:t>
              </m:r>
            </m:e>
            <m:lim>
              <m:r>
                <m:rPr>
                  <m:sty m:val="p"/>
                </m:rPr>
                <m:t>{</m:t>
              </m:r>
              <m:sSub>
                <m:e>
                  <m:r>
                    <m:t>μ</m:t>
                  </m:r>
                </m:e>
                <m:sub>
                  <m:r>
                    <m:t>k</m:t>
                  </m:r>
                </m:sub>
              </m:sSub>
              <m:r>
                <m:rPr>
                  <m:sty m:val="p"/>
                </m:rPr>
                <m:t>}</m:t>
              </m:r>
              <m:r>
                <m:rPr>
                  <m:sty m:val="p"/>
                </m:rPr>
                <m:t>,</m:t>
              </m:r>
              <m:r>
                <m:rPr>
                  <m:sty m:val="p"/>
                </m:rPr>
                <m:t>{</m:t>
              </m:r>
              <m:sSub>
                <m:e>
                  <m:r>
                    <m:t>y</m:t>
                  </m:r>
                </m:e>
                <m:sub>
                  <m:r>
                    <m:t>i</m:t>
                  </m:r>
                </m:sub>
              </m:sSub>
              <m:r>
                <m:rPr>
                  <m:sty m:val="p"/>
                </m:rPr>
                <m:t>}</m:t>
              </m:r>
            </m:lim>
          </m:limLow>
          <m:nary>
            <m:naryPr>
              <m:chr m:val="∑"/>
              <m:limLoc m:val="undOvr"/>
              <m:subHide m:val="off"/>
              <m:supHide m:val="off"/>
            </m:naryPr>
            <m:sub>
              <m:r>
                <m:t>i</m:t>
              </m:r>
              <m:r>
                <m:rPr>
                  <m:sty m:val="p"/>
                </m:rPr>
                <m:t>=</m:t>
              </m:r>
              <m:r>
                <m:t>1</m:t>
              </m:r>
            </m:sub>
            <m:sup>
              <m:r>
                <m:t>n</m:t>
              </m:r>
            </m:sup>
            <m:e>
              <m:sSubSup>
                <m:e>
                  <m:d>
                    <m:dPr>
                      <m:begChr m:val="∥"/>
                      <m:sepChr m:val=""/>
                      <m:endChr m:val="∥"/>
                      <m:grow/>
                    </m:dPr>
                    <m:e>
                      <m:sSub>
                        <m:e>
                          <m:r>
                            <m:rPr>
                              <m:sty m:val="bi"/>
                            </m:rPr>
                            <m:t>v</m:t>
                          </m:r>
                        </m:e>
                        <m:sub>
                          <m:r>
                            <m:t>i</m:t>
                          </m:r>
                        </m:sub>
                      </m:sSub>
                      <m:r>
                        <m:rPr>
                          <m:sty m:val="p"/>
                        </m:rPr>
                        <m:t>−</m:t>
                      </m:r>
                      <m:sSub>
                        <m:e>
                          <m:r>
                            <m:rPr>
                              <m:sty m:val="bi"/>
                            </m:rPr>
                            <m:t>μ</m:t>
                          </m:r>
                        </m:e>
                        <m:sub>
                          <m:sSub>
                            <m:e>
                              <m:r>
                                <m:t>y</m:t>
                              </m:r>
                            </m:e>
                            <m:sub>
                              <m:r>
                                <m:t>i</m:t>
                              </m:r>
                            </m:sub>
                          </m:sSub>
                        </m:sub>
                      </m:sSub>
                    </m:e>
                  </m:d>
                </m:e>
                <m:sub>
                  <m:r>
                    <m:t>2</m:t>
                  </m:r>
                </m:sub>
                <m:sup>
                  <m:r>
                    <m:t>2</m:t>
                  </m:r>
                </m:sup>
              </m:sSubSup>
            </m:e>
          </m:nary>
        </m:oMath>
      </m:oMathPara>
      <w:r>
        <w:rPr>
          <w:b w:val="0"/>
          <w:i w:val="0"/>
          <w:color w:val="000000"/>
          <w:sz w:val="24"/>
          <w:rFonts w:eastAsia="宋体" w:ascii="Times New Roman" w:hAnsi="Times New Roman"/>
        </w:rPr>
        <w:tab/>
        <w:t>（2.4）</w:t>
      </w:r>
    </w:p>
    <w:p>
      <w:pPr>
        <w:spacing w:lineRule="auto" w:line="360" w:before="0" w:after="0"/>
        <w:ind w:firstLine="420"/>
        <w:jc w:val="both"/>
      </w:pPr>
      <w:r>
        <w:rPr>
          <w:b w:val="0"/>
          <w:i w:val="0"/>
          <w:color w:val="000000"/>
          <w:sz w:val="24"/>
          <w:rFonts w:eastAsia="宋体" w:ascii="Times New Roman" w:hAnsi="Times New Roman"/>
        </w:rPr>
        <w:t>式（2.4）是 K-Means 的典型目标函数，其中 μk 表示第 k 个簇中心，yi 表示第 i 条谱图的簇标签。谱聚类、层次聚类和 DBSCAN 的目标形式不同，但它们都需要某种相似度或距离关系作为输入。</w:t>
      </w:r>
    </w:p>
    <w:p>
      <w:pPr>
        <w:tabs>
          <w:tab w:pos="4195" w:val="center"/>
          <w:tab w:pos="8617" w:val="right"/>
        </w:tabs>
        <w:spacing w:lineRule="auto" w:line="312" w:before="120" w:after="120"/>
        <w:jc w:val="left"/>
      </w:pPr>
      <w:r>
        <w:tab/>
      </w:r>
      <m:oMathPara>
        <m:oMathParaPr>
          <m:jc m:val="center"/>
        </m:oMathParaPr>
        <m:oMath>
          <m:sSub>
            <m:e>
              <m:r>
                <m:t>W</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sim</m:t>
                    </m:r>
                    <m:r>
                      <m:rPr>
                        <m:sty m:val="p"/>
                      </m:rPr>
                      <m:t>(</m:t>
                    </m:r>
                    <m:sSub>
                      <m:e>
                        <m:r>
                          <m:t>S</m:t>
                        </m:r>
                      </m:e>
                      <m:sub>
                        <m:r>
                          <m:t>i</m:t>
                        </m:r>
                      </m:sub>
                    </m:sSub>
                    <m:r>
                      <m:rPr>
                        <m:sty m:val="p"/>
                      </m:rPr>
                      <m:t>,</m:t>
                    </m:r>
                    <m:sSub>
                      <m:e>
                        <m:r>
                          <m:t>S</m:t>
                        </m:r>
                      </m:e>
                      <m:sub>
                        <m:r>
                          <m:t>j</m:t>
                        </m:r>
                      </m:sub>
                    </m:sSub>
                    <m:r>
                      <m:rPr>
                        <m:sty m:val="p"/>
                      </m:rPr>
                      <m:t>)</m:t>
                    </m:r>
                    <m:r>
                      <m:rPr>
                        <m:sty m:val="p"/>
                      </m:rPr>
                      <m:t>,</m:t>
                    </m:r>
                  </m:e>
                  <m:e>
                    <m:r>
                      <m:rPr>
                        <m:sty m:val="p"/>
                      </m:rPr>
                      <m:t>sim</m:t>
                    </m:r>
                    <m:r>
                      <m:rPr>
                        <m:sty m:val="p"/>
                      </m:rPr>
                      <m:t>(</m:t>
                    </m:r>
                    <m:sSub>
                      <m:e>
                        <m:r>
                          <m:t>S</m:t>
                        </m:r>
                      </m:e>
                      <m:sub>
                        <m:r>
                          <m:t>i</m:t>
                        </m:r>
                      </m:sub>
                    </m:sSub>
                    <m:r>
                      <m:rPr>
                        <m:sty m:val="p"/>
                      </m:rPr>
                      <m:t>,</m:t>
                    </m:r>
                    <m:sSub>
                      <m:e>
                        <m:r>
                          <m:t>S</m:t>
                        </m:r>
                      </m:e>
                      <m:sub>
                        <m:r>
                          <m:t>j</m:t>
                        </m:r>
                      </m:sub>
                    </m:sSub>
                    <m:r>
                      <m:rPr>
                        <m:sty m:val="p"/>
                      </m:rPr>
                      <m:t>)</m:t>
                    </m:r>
                    <m:r>
                      <m:rPr>
                        <m:sty m:val="p"/>
                      </m:rPr>
                      <m:t>≥</m:t>
                    </m:r>
                    <m:r>
                      <m:t>τ</m:t>
                    </m:r>
                    <m:r>
                      <m:rPr>
                        <m:sty m:val="p"/>
                      </m:rPr>
                      <m:t>,</m:t>
                    </m:r>
                  </m:e>
                </m:mr>
                <m:mr>
                  <m:e>
                    <m:r>
                      <m:t>0</m:t>
                    </m:r>
                    <m:r>
                      <m:rPr>
                        <m:sty m:val="p"/>
                      </m:rPr>
                      <m:t>,</m:t>
                    </m:r>
                  </m:e>
                  <m:e>
                    <m:r>
                      <m:rPr>
                        <m:sty m:val="p"/>
                      </m:rPr>
                      <m:t>sim</m:t>
                    </m:r>
                    <m:r>
                      <m:rPr>
                        <m:sty m:val="p"/>
                      </m:rPr>
                      <m:t>(</m:t>
                    </m:r>
                    <m:sSub>
                      <m:e>
                        <m:r>
                          <m:t>S</m:t>
                        </m:r>
                      </m:e>
                      <m:sub>
                        <m:r>
                          <m:t>i</m:t>
                        </m:r>
                      </m:sub>
                    </m:sSub>
                    <m:r>
                      <m:rPr>
                        <m:sty m:val="p"/>
                      </m:rPr>
                      <m:t>,</m:t>
                    </m:r>
                    <m:sSub>
                      <m:e>
                        <m:r>
                          <m:t>S</m:t>
                        </m:r>
                      </m:e>
                      <m:sub>
                        <m:r>
                          <m:t>j</m:t>
                        </m:r>
                      </m:sub>
                    </m:sSub>
                    <m:r>
                      <m:rPr>
                        <m:sty m:val="p"/>
                      </m:rPr>
                      <m:t>)</m:t>
                    </m:r>
                    <m:r>
                      <m:rPr>
                        <m:sty m:val="p"/>
                      </m:rPr>
                      <m:t>&lt;</m:t>
                    </m:r>
                    <m:r>
                      <m:t>τ</m:t>
                    </m:r>
                    <m:r>
                      <m:rPr>
                        <m:sty m:val="p"/>
                      </m:rPr>
                      <m:t>.</m:t>
                    </m:r>
                  </m:e>
                </m:mr>
              </m:m>
            </m:e>
          </m:d>
        </m:oMath>
      </m:oMathPara>
      <w:r>
        <w:rPr>
          <w:b w:val="0"/>
          <w:i w:val="0"/>
          <w:color w:val="000000"/>
          <w:sz w:val="24"/>
          <w:rFonts w:eastAsia="宋体" w:ascii="Times New Roman" w:hAnsi="Times New Roman"/>
        </w:rPr>
        <w:tab/>
        <w:t>（2.5）</w:t>
      </w:r>
    </w:p>
    <w:p>
      <w:pPr>
        <w:spacing w:lineRule="auto" w:line="360" w:before="0" w:after="0"/>
        <w:ind w:firstLine="420"/>
        <w:jc w:val="both"/>
      </w:pPr>
      <w:r>
        <w:rPr>
          <w:b w:val="0"/>
          <w:i w:val="0"/>
          <w:color w:val="000000"/>
          <w:sz w:val="24"/>
          <w:rFonts w:eastAsia="宋体" w:ascii="Times New Roman" w:hAnsi="Times New Roman"/>
        </w:rPr>
        <w:t>式（2.5）描述了相似图的常见构造方式。谱聚类需要依赖 W 构造拉普拉斯矩阵，本研究算法也将通过阈值的候选谱图对看作图中的边，但本研究不为全部谱图对构造完整稠密相似图，而是先通过数据库过滤得到候选边集合。</w:t>
      </w:r>
    </w:p>
    <w:p>
      <w:pPr>
        <w:spacing w:lineRule="auto" w:line="360" w:before="0" w:after="0"/>
        <w:ind w:firstLine="420"/>
        <w:jc w:val="both"/>
      </w:pPr>
      <w:r>
        <w:rPr>
          <w:b w:val="0"/>
          <w:i w:val="0"/>
          <w:color w:val="000000"/>
          <w:sz w:val="24"/>
          <w:rFonts w:eastAsia="宋体" w:ascii="Times New Roman" w:hAnsi="Times New Roman"/>
        </w:rPr>
        <w:t>本研究提出的数据库过滤聚类把候选生成作为独立阶段处理。算法先利用数据库字段排除明显不可能同簇的谱图对，再对保留候选计算碎片峰相似度，因此适合谱图库这种同时具有结构化元数据和高维峰型特征的数据场景。</w:t>
      </w:r>
    </w:p>
    <w:p>
      <w:pPr>
        <w:pStyle w:val="3"/>
        <w:jc w:val="left"/>
      </w:pPr>
      <w:r>
        <w:rPr>
          <w:b/>
          <w:i w:val="0"/>
          <w:color w:val="000000"/>
          <w:sz w:val="24"/>
          <w:rFonts w:eastAsia="黑体" w:ascii="Times New Roman" w:hAnsi="Times New Roman"/>
        </w:rPr>
        <w:t>2.4 数据库过滤思想</w:t>
      </w:r>
    </w:p>
    <w:p>
      <w:pPr>
        <w:spacing w:lineRule="auto" w:line="360" w:before="0" w:after="0"/>
        <w:ind w:firstLine="420"/>
        <w:jc w:val="both"/>
      </w:pPr>
      <w:r>
        <w:rPr>
          <w:b w:val="0"/>
          <w:i w:val="0"/>
          <w:color w:val="000000"/>
          <w:sz w:val="24"/>
          <w:rFonts w:eastAsia="宋体" w:ascii="Times New Roman" w:hAnsi="Times New Roman"/>
        </w:rPr>
        <w:t>数据库过滤的基本思想是把部分算法判断提前到候选生成阶段完成。TopLib 在检索阶段首先读取代表谱图库中的 precursor_mass 和 precursor_charge，再根据 ppm 或 Da 容差筛选候选代表谱图；如果启用荷电状态匹配，还会要求查询谱图和库谱图的前体电荷一致。只有通过这一候选匹配的谱图，才进入碎片峰距离计算。</w:t>
      </w:r>
    </w:p>
    <w:p>
      <w:pPr>
        <w:jc w:val="center"/>
      </w:pPr>
      <w:r>
        <w:drawing>
          <wp:inline xmlns:a="http://schemas.openxmlformats.org/drawingml/2006/main" xmlns:pic="http://schemas.openxmlformats.org/drawingml/2006/picture">
            <wp:extent cx="5472000" cy="3079636"/>
            <wp:docPr id="13" name="Picture 13"/>
            <wp:cNvGraphicFramePr>
              <a:graphicFrameLocks noChangeAspect="1"/>
            </wp:cNvGraphicFramePr>
            <a:graphic>
              <a:graphicData uri="http://schemas.openxmlformats.org/drawingml/2006/picture">
                <pic:pic>
                  <pic:nvPicPr>
                    <pic:cNvPr id="0" name="database_filter_principle_imagegen.png"/>
                    <pic:cNvPicPr/>
                  </pic:nvPicPr>
                  <pic:blipFill>
                    <a:blip r:embed="rId18"/>
                    <a:stretch>
                      <a:fillRect/>
                    </a:stretch>
                  </pic:blipFill>
                  <pic:spPr>
                    <a:xfrm>
                      <a:off x="0" y="0"/>
                      <a:ext cx="5472000" cy="3079636"/>
                    </a:xfrm>
                    <a:prstGeom prst="rect"/>
                  </pic:spPr>
                </pic:pic>
              </a:graphicData>
            </a:graphic>
          </wp:inline>
        </w:drawing>
      </w:r>
    </w:p>
    <w:p>
      <w:pPr>
        <w:spacing w:after="120"/>
        <w:jc w:val="center"/>
      </w:pPr>
      <w:r>
        <w:rPr>
          <w:b w:val="0"/>
          <w:i w:val="0"/>
          <w:color w:val="000000"/>
          <w:sz w:val="21"/>
          <w:rFonts w:eastAsia="宋体" w:ascii="Times New Roman" w:hAnsi="Times New Roman"/>
        </w:rPr>
        <w:t>图4 数据库过滤候选压缩原理示意图</w:t>
      </w:r>
    </w:p>
    <w:p>
      <w:pPr>
        <w:spacing w:lineRule="auto" w:line="360" w:before="0" w:after="0"/>
        <w:ind w:firstLine="420"/>
        <w:jc w:val="both"/>
      </w:pPr>
      <w:r>
        <w:rPr>
          <w:b w:val="0"/>
          <w:i w:val="0"/>
          <w:color w:val="000000"/>
          <w:sz w:val="24"/>
          <w:rFonts w:eastAsia="宋体" w:ascii="Times New Roman" w:hAnsi="Times New Roman"/>
        </w:rPr>
        <w:t>从计算角度看，数据库过滤的价值在于把平方级完整比较压缩为局部候选比较。前体质量、荷电状态和峰桶字段都属于可结构化保存的数据，适合放入 SQLite 表和索引中先做筛选；筛选后的候选集合 Ec 明显小于全部谱图对，再进行向量相似度计算时，算法就能把算力集中在更可能同簇的谱图上。</w:t>
      </w:r>
    </w:p>
    <w:p>
      <w:pPr>
        <w:tabs>
          <w:tab w:pos="4195" w:val="center"/>
          <w:tab w:pos="8617" w:val="right"/>
        </w:tabs>
        <w:spacing w:lineRule="auto" w:line="312" w:before="120" w:after="120"/>
        <w:jc w:val="left"/>
      </w:pPr>
      <w:r>
        <w:tab/>
      </w:r>
      <m:oMathPara>
        <m:oMathParaPr>
          <m:jc m:val="center"/>
        </m:oMathParaPr>
        <m:oMath>
          <m:r>
            <m:t>η</m:t>
          </m:r>
          <m:r>
            <m:rPr>
              <m:sty m:val="p"/>
            </m:rPr>
            <m:t>=</m:t>
          </m:r>
          <m:r>
            <m:t>1</m:t>
          </m:r>
          <m:r>
            <m:rPr>
              <m:sty m:val="p"/>
            </m:rPr>
            <m:t>−</m:t>
          </m:r>
          <m:f>
            <m:fPr>
              <m:type m:val="bar"/>
            </m:fPr>
            <m:num>
              <m:r>
                <m:rPr>
                  <m:sty m:val="p"/>
                </m:rPr>
                <m:t>|</m:t>
              </m:r>
              <m:sSub>
                <m:e>
                  <m:r>
                    <m:t>E</m:t>
                  </m:r>
                </m:e>
                <m:sub>
                  <m:r>
                    <m:t>c</m:t>
                  </m:r>
                </m:sub>
              </m:sSub>
              <m:r>
                <m:rPr>
                  <m:sty m:val="p"/>
                </m:rPr>
                <m:t>|</m:t>
              </m:r>
            </m:num>
            <m:den>
              <m:d>
                <m:dPr>
                  <m:begChr m:val="("/>
                  <m:sepChr m:val=""/>
                  <m:endChr m:val=")"/>
                  <m:grow/>
                </m:dPr>
                <m:e>
                  <m:f>
                    <m:fPr>
                      <m:type m:val="noBar"/>
                    </m:fPr>
                    <m:num>
                      <m:r>
                        <m:t>n</m:t>
                      </m:r>
                    </m:num>
                    <m:den>
                      <m:r>
                        <m:t>2</m:t>
                      </m:r>
                    </m:den>
                  </m:f>
                </m:e>
              </m:d>
            </m:den>
          </m:f>
          <m:r>
            <m:rPr>
              <m:sty m:val="p"/>
            </m:rPr>
            <m:t>=</m:t>
          </m:r>
          <m:r>
            <m:t>1</m:t>
          </m:r>
          <m:r>
            <m:rPr>
              <m:sty m:val="p"/>
            </m:rPr>
            <m:t>−</m:t>
          </m:r>
          <m:f>
            <m:fPr>
              <m:type m:val="bar"/>
            </m:fPr>
            <m:num>
              <m:r>
                <m:t>2</m:t>
              </m:r>
              <m:r>
                <m:rPr>
                  <m:sty m:val="p"/>
                </m:rPr>
                <m:t>|</m:t>
              </m:r>
              <m:sSub>
                <m:e>
                  <m:r>
                    <m:t>E</m:t>
                  </m:r>
                </m:e>
                <m:sub>
                  <m:r>
                    <m:t>c</m:t>
                  </m:r>
                </m:sub>
              </m:sSub>
              <m:r>
                <m:rPr>
                  <m:sty m:val="p"/>
                </m:rPr>
                <m:t>|</m:t>
              </m:r>
            </m:num>
            <m:den>
              <m:r>
                <m:t>n</m:t>
              </m:r>
              <m:r>
                <m:rPr>
                  <m:sty m:val="p"/>
                </m:rPr>
                <m:t>(</m:t>
              </m:r>
              <m:r>
                <m:t>n</m:t>
              </m:r>
              <m:r>
                <m:rPr>
                  <m:sty m:val="p"/>
                </m:rPr>
                <m:t>−</m:t>
              </m:r>
              <m:r>
                <m:t>1</m:t>
              </m:r>
              <m:r>
                <m:rPr>
                  <m:sty m:val="p"/>
                </m:rPr>
                <m:t>)</m:t>
              </m:r>
            </m:den>
          </m:f>
        </m:oMath>
      </m:oMathPara>
      <w:r>
        <w:rPr>
          <w:b w:val="0"/>
          <w:i w:val="0"/>
          <w:color w:val="000000"/>
          <w:sz w:val="24"/>
          <w:rFonts w:eastAsia="宋体" w:ascii="Times New Roman" w:hAnsi="Times New Roman"/>
        </w:rPr>
        <w:tab/>
        <w:t>（2.6）</w:t>
      </w:r>
    </w:p>
    <w:p>
      <w:pPr>
        <w:spacing w:lineRule="auto" w:line="360" w:before="0" w:after="0"/>
        <w:ind w:firstLine="420"/>
        <w:jc w:val="both"/>
      </w:pPr>
      <w:r>
        <w:rPr>
          <w:b w:val="0"/>
          <w:i w:val="0"/>
          <w:color w:val="000000"/>
          <w:sz w:val="24"/>
          <w:rFonts w:eastAsia="宋体" w:ascii="Times New Roman" w:hAnsi="Times New Roman"/>
        </w:rPr>
        <w:t>式（2.6）定义候选过滤率 η，其中 |Ec| 表示数据库过滤后保留的候选谱图对数量，二项式项表示完整两两比较的谱图对数量。η 越接近 1，说明数据库过滤排除的无效比较越多。</w:t>
      </w:r>
    </w:p>
    <w:p>
      <w:pPr>
        <w:spacing w:lineRule="auto" w:line="360" w:before="0" w:after="0"/>
        <w:ind w:firstLine="420"/>
        <w:jc w:val="both"/>
      </w:pPr>
      <w:r>
        <w:rPr>
          <w:b w:val="0"/>
          <w:i w:val="0"/>
          <w:color w:val="000000"/>
          <w:sz w:val="24"/>
          <w:rFonts w:eastAsia="宋体" w:ascii="Times New Roman" w:hAnsi="Times New Roman"/>
        </w:rPr>
        <w:t>数据库过滤与聚类算法之间是协同关系。过滤条件过宽时，候选数量下降有限，效率提升不明显；过滤条件过窄时，可能丢失同源谱图。TopLib 同时考虑前体质量容差、可选荷电匹配和 ±1.00235 Da 同位素误差，体现了面向去卷积自上而下谱图的工程取舍。本研究实现保留前体质量、荷电状态和碎片峰相似度三个判断层次，用公开 msalign 谱图验证先候选压缩、再精细距离计算的流程。</w:t>
      </w:r>
    </w:p>
    <w:p>
      <w:pPr>
        <w:pStyle w:val="2"/>
        <w:pageBreakBefore/>
        <w:jc w:val="center"/>
      </w:pPr>
      <w:r>
        <w:rPr>
          <w:b/>
          <w:i w:val="0"/>
          <w:color w:val="000000"/>
          <w:sz w:val="32"/>
          <w:rFonts w:eastAsia="黑体" w:ascii="Times New Roman" w:hAnsi="Times New Roman"/>
        </w:rPr>
        <w:t>第3章 需求分析与总体设计</w:t>
      </w:r>
    </w:p>
    <w:p>
      <w:pPr>
        <w:pStyle w:val="3"/>
        <w:jc w:val="left"/>
      </w:pPr>
      <w:r>
        <w:rPr>
          <w:b/>
          <w:i w:val="0"/>
          <w:color w:val="000000"/>
          <w:sz w:val="24"/>
          <w:rFonts w:eastAsia="黑体" w:ascii="Times New Roman" w:hAnsi="Times New Roman"/>
        </w:rPr>
        <w:t>3.1 问题定义</w:t>
      </w:r>
    </w:p>
    <w:p>
      <w:pPr>
        <w:spacing w:lineRule="auto" w:line="360" w:before="0" w:after="0"/>
        <w:ind w:firstLine="420"/>
        <w:jc w:val="both"/>
      </w:pPr>
      <w:r>
        <w:rPr>
          <w:b w:val="0"/>
          <w:i w:val="0"/>
          <w:color w:val="000000"/>
          <w:sz w:val="24"/>
          <w:rFonts w:eastAsia="宋体" w:ascii="Times New Roman" w:hAnsi="Times New Roman"/>
        </w:rPr>
        <w:t>本研究的问题可以描述为：给定一批自上而下 MS/MS 谱图、前体质量、荷电状态、碎片峰列表以及 TopPIC 鉴定结果，如何在不进行完整两两比较的情况下，将可能来自同一蛋白质形态的谱图聚合为若干簇，并输出可复查的聚类质量和候选过滤指标。该问题同时涉及谱图数据管理、候选生成和图式聚类。</w:t>
      </w:r>
    </w:p>
    <w:p>
      <w:pPr>
        <w:spacing w:lineRule="auto" w:line="360" w:before="0" w:after="0"/>
        <w:ind w:firstLine="420"/>
        <w:jc w:val="both"/>
      </w:pPr>
      <w:r>
        <w:rPr>
          <w:b w:val="0"/>
          <w:i w:val="0"/>
          <w:color w:val="000000"/>
          <w:sz w:val="24"/>
          <w:rFonts w:eastAsia="宋体" w:ascii="Times New Roman" w:hAnsi="Times New Roman"/>
        </w:rPr>
        <w:t>从输入看，系统需要读取 msalign 谱图文件和 TopPIC 输出表，提取谱图编号、扫描号、前体质量、荷电状态、碎片峰和参考标注组。从输出看，系统需要给出候选谱图对数量、相似度保留边、聚类标签、ARI、NMI、错误聚类率、成簇谱图比例、运行时间和簇分布。</w:t>
      </w:r>
    </w:p>
    <w:p>
      <w:pPr>
        <w:pStyle w:val="3"/>
        <w:jc w:val="left"/>
      </w:pPr>
      <w:r>
        <w:rPr>
          <w:b/>
          <w:i w:val="0"/>
          <w:color w:val="000000"/>
          <w:sz w:val="24"/>
          <w:rFonts w:eastAsia="黑体" w:ascii="Times New Roman" w:hAnsi="Times New Roman"/>
        </w:rPr>
        <w:t>3.2 功能需求</w:t>
      </w:r>
    </w:p>
    <w:p>
      <w:pPr>
        <w:spacing w:lineRule="auto" w:line="360" w:before="0" w:after="0"/>
        <w:ind w:firstLine="420"/>
        <w:jc w:val="both"/>
      </w:pPr>
      <w:r>
        <w:rPr>
          <w:b w:val="0"/>
          <w:i w:val="0"/>
          <w:color w:val="000000"/>
          <w:sz w:val="24"/>
          <w:rFonts w:eastAsia="宋体" w:ascii="Times New Roman" w:hAnsi="Times New Roman"/>
        </w:rPr>
        <w:t>系统应具备五项核心功能。第一，公开数据读取功能，用于解析 PRIDE 下载的 msalign 文件和 TopPIC 输出表。第二，SQLite 入库功能，用于保存 spectrum 表、peak 表和必要索引。第三，候选过滤功能，根据前体质量窗口和荷电状态查询候选谱图对。第四，碎片峰比较与聚类功能，对候选谱图对计算相似度并通过 Union-Find 合并连通分量。第五，指标评价功能，用于统计聚类质量、错误聚类率、候选过滤率和阈值敏感性。</w:t>
      </w:r>
    </w:p>
    <w:p>
      <w:pPr>
        <w:spacing w:after="120"/>
        <w:jc w:val="center"/>
      </w:pPr>
      <w:r>
        <w:rPr>
          <w:b w:val="0"/>
          <w:i w:val="0"/>
          <w:color w:val="000000"/>
          <w:sz w:val="21"/>
          <w:rFonts w:eastAsia="宋体" w:ascii="Times New Roman" w:hAnsi="Times New Roman"/>
        </w:rPr>
        <w:t>表1 数据库过滤规则设计</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8" w:space="0" w:color="000000"/>
          <w:right w:val="nil" w:sz="8" w:space="0" w:color="000000"/>
          <w:insideV w:val="nil" w:sz="8" w:space="0" w:color="000000"/>
          <w:insideH w:val="nil" w:sz="8" w:space="0" w:color="000000"/>
        </w:tblBorders>
      </w:tblPr>
      <w:tblGrid>
        <w:gridCol w:w="2268"/>
        <w:gridCol w:w="2381"/>
        <w:gridCol w:w="4422"/>
      </w:tblGrid>
      <w:tr>
        <w:tc>
          <w:tcPr>
            <w:tcW w:type="dxa" w:w="2771"/>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过滤规则</w:t>
            </w:r>
          </w:p>
        </w:tc>
        <w:tc>
          <w:tcPr>
            <w:tcW w:type="dxa" w:w="2771"/>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参数设置</w:t>
            </w:r>
          </w:p>
        </w:tc>
        <w:tc>
          <w:tcPr>
            <w:tcW w:type="dxa" w:w="2771"/>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设计目的</w:t>
            </w:r>
          </w:p>
        </w:tc>
      </w:tr>
      <w:tr>
        <w:tc>
          <w:tcPr>
            <w:tcW w:type="dxa" w:w="2268"/>
            <w:vAlign w:val="center"/>
          </w:tcPr>
          <w:p>
            <w:pPr>
              <w:spacing w:lineRule="auto" w:line="288" w:before="0" w:after="0"/>
              <w:jc w:val="center"/>
            </w:pPr>
            <w:r/>
            <w:r>
              <w:rPr>
                <w:b w:val="0"/>
                <w:i w:val="0"/>
                <w:color w:val="000000"/>
                <w:sz w:val="21"/>
                <w:rFonts w:eastAsia="宋体" w:ascii="Times New Roman" w:hAnsi="Times New Roman"/>
              </w:rPr>
              <w:t>前体质量容差</w:t>
            </w:r>
          </w:p>
        </w:tc>
        <w:tc>
          <w:tcPr>
            <w:tcW w:type="dxa" w:w="2381"/>
            <w:vAlign w:val="center"/>
          </w:tcPr>
          <w:p>
            <w:pPr>
              <w:spacing w:lineRule="auto" w:line="288" w:before="0" w:after="0"/>
              <w:jc w:val="left"/>
            </w:pPr>
            <w:r/>
            <w:r>
              <w:rPr>
                <w:b w:val="0"/>
                <w:i w:val="0"/>
                <w:color w:val="000000"/>
                <w:sz w:val="21"/>
                <w:rFonts w:eastAsia="宋体" w:ascii="Times New Roman" w:hAnsi="Times New Roman"/>
              </w:rPr>
              <w:t>默认 10 ppm 或 2.2 Da</w:t>
            </w:r>
          </w:p>
        </w:tc>
        <w:tc>
          <w:tcPr>
            <w:tcW w:type="dxa" w:w="4422"/>
            <w:vAlign w:val="center"/>
          </w:tcPr>
          <w:p>
            <w:pPr>
              <w:spacing w:lineRule="auto" w:line="288" w:before="0" w:after="0"/>
              <w:jc w:val="left"/>
            </w:pPr>
            <w:r/>
            <w:r>
              <w:rPr>
                <w:b w:val="0"/>
                <w:i w:val="0"/>
                <w:color w:val="000000"/>
                <w:sz w:val="21"/>
                <w:rFonts w:eastAsia="宋体" w:ascii="Times New Roman" w:hAnsi="Times New Roman"/>
              </w:rPr>
              <w:t>先按前体质量缩小代表谱图候选范围，避免对全部库谱图进行 fragment distance 计算。</w:t>
            </w:r>
          </w:p>
        </w:tc>
      </w:tr>
      <w:tr>
        <w:tc>
          <w:tcPr>
            <w:tcW w:type="dxa" w:w="2268"/>
            <w:vAlign w:val="center"/>
          </w:tcPr>
          <w:p>
            <w:pPr>
              <w:spacing w:lineRule="auto" w:line="288" w:before="0" w:after="0"/>
              <w:jc w:val="center"/>
            </w:pPr>
            <w:r/>
            <w:r>
              <w:rPr>
                <w:b w:val="0"/>
                <w:i w:val="0"/>
                <w:color w:val="000000"/>
                <w:sz w:val="21"/>
                <w:rFonts w:eastAsia="宋体" w:ascii="Times New Roman" w:hAnsi="Times New Roman"/>
              </w:rPr>
              <w:t>荷电状态匹配</w:t>
            </w:r>
          </w:p>
        </w:tc>
        <w:tc>
          <w:tcPr>
            <w:tcW w:type="dxa" w:w="2381"/>
            <w:vAlign w:val="center"/>
          </w:tcPr>
          <w:p>
            <w:pPr>
              <w:spacing w:lineRule="auto" w:line="288" w:before="0" w:after="0"/>
              <w:jc w:val="left"/>
            </w:pPr>
            <w:r/>
            <w:r>
              <w:rPr>
                <w:b w:val="0"/>
                <w:i w:val="0"/>
                <w:color w:val="000000"/>
                <w:sz w:val="21"/>
                <w:rFonts w:eastAsia="宋体" w:ascii="Times New Roman" w:hAnsi="Times New Roman"/>
              </w:rPr>
              <w:t>charge matching 可选</w:t>
            </w:r>
          </w:p>
        </w:tc>
        <w:tc>
          <w:tcPr>
            <w:tcW w:type="dxa" w:w="4422"/>
            <w:vAlign w:val="center"/>
          </w:tcPr>
          <w:p>
            <w:pPr>
              <w:spacing w:lineRule="auto" w:line="288" w:before="0" w:after="0"/>
              <w:jc w:val="left"/>
            </w:pPr>
            <w:r/>
            <w:r>
              <w:rPr>
                <w:b w:val="0"/>
                <w:i w:val="0"/>
                <w:color w:val="000000"/>
                <w:sz w:val="21"/>
                <w:rFonts w:eastAsia="宋体" w:ascii="Times New Roman" w:hAnsi="Times New Roman"/>
              </w:rPr>
              <w:t>当参数要求荷电一致时，只保留前体电荷相同的候选代表谱图。</w:t>
            </w:r>
          </w:p>
        </w:tc>
      </w:tr>
      <w:tr>
        <w:tc>
          <w:tcPr>
            <w:tcW w:type="dxa" w:w="2268"/>
            <w:vAlign w:val="center"/>
          </w:tcPr>
          <w:p>
            <w:pPr>
              <w:spacing w:lineRule="auto" w:line="288" w:before="0" w:after="0"/>
              <w:jc w:val="center"/>
            </w:pPr>
            <w:r/>
            <w:r>
              <w:rPr>
                <w:b w:val="0"/>
                <w:i w:val="0"/>
                <w:color w:val="000000"/>
                <w:sz w:val="21"/>
                <w:rFonts w:eastAsia="宋体" w:ascii="Times New Roman" w:hAnsi="Times New Roman"/>
              </w:rPr>
              <w:t>同位素误差兼容</w:t>
            </w:r>
          </w:p>
        </w:tc>
        <w:tc>
          <w:tcPr>
            <w:tcW w:type="dxa" w:w="2381"/>
            <w:vAlign w:val="center"/>
          </w:tcPr>
          <w:p>
            <w:pPr>
              <w:spacing w:lineRule="auto" w:line="288" w:before="0" w:after="0"/>
              <w:jc w:val="left"/>
            </w:pPr>
            <w:r/>
            <w:r>
              <w:rPr>
                <w:b w:val="0"/>
                <w:i w:val="0"/>
                <w:color w:val="000000"/>
                <w:sz w:val="21"/>
                <w:rFonts w:eastAsia="宋体" w:ascii="Times New Roman" w:hAnsi="Times New Roman"/>
              </w:rPr>
              <w:t>允许 ±1.00235 Da</w:t>
            </w:r>
          </w:p>
        </w:tc>
        <w:tc>
          <w:tcPr>
            <w:tcW w:type="dxa" w:w="4422"/>
            <w:vAlign w:val="center"/>
          </w:tcPr>
          <w:p>
            <w:pPr>
              <w:spacing w:lineRule="auto" w:line="288" w:before="0" w:after="0"/>
              <w:jc w:val="left"/>
            </w:pPr>
            <w:r/>
            <w:r>
              <w:rPr>
                <w:b w:val="0"/>
                <w:i w:val="0"/>
                <w:color w:val="000000"/>
                <w:sz w:val="21"/>
                <w:rFonts w:eastAsia="宋体" w:ascii="Times New Roman" w:hAnsi="Times New Roman"/>
              </w:rPr>
              <w:t>兼容去卷积过程中常见的一阶同位素质量偏移，降低有效匹配被误过滤的风险。</w:t>
            </w:r>
          </w:p>
        </w:tc>
      </w:tr>
      <w:tr>
        <w:tc>
          <w:tcPr>
            <w:tcW w:type="dxa" w:w="2268"/>
            <w:vAlign w:val="center"/>
          </w:tcPr>
          <w:p>
            <w:pPr>
              <w:spacing w:lineRule="auto" w:line="288" w:before="0" w:after="0"/>
              <w:jc w:val="center"/>
            </w:pPr>
            <w:r/>
            <w:r>
              <w:rPr>
                <w:b w:val="0"/>
                <w:i w:val="0"/>
                <w:color w:val="000000"/>
                <w:sz w:val="21"/>
                <w:rFonts w:eastAsia="宋体" w:ascii="Times New Roman" w:hAnsi="Times New Roman"/>
              </w:rPr>
              <w:t>碎片峰距离</w:t>
            </w:r>
          </w:p>
        </w:tc>
        <w:tc>
          <w:tcPr>
            <w:tcW w:type="dxa" w:w="2381"/>
            <w:vAlign w:val="center"/>
          </w:tcPr>
          <w:p>
            <w:pPr>
              <w:spacing w:lineRule="auto" w:line="288" w:before="0" w:after="0"/>
              <w:jc w:val="left"/>
            </w:pPr>
            <w:r/>
            <w:r>
              <w:rPr>
                <w:b w:val="0"/>
                <w:i w:val="0"/>
                <w:color w:val="000000"/>
                <w:sz w:val="21"/>
                <w:rFonts w:eastAsia="宋体" w:ascii="Times New Roman" w:hAnsi="Times New Roman"/>
              </w:rPr>
              <w:t>默认 fragment error = 10 ppm</w:t>
            </w:r>
          </w:p>
        </w:tc>
        <w:tc>
          <w:tcPr>
            <w:tcW w:type="dxa" w:w="4422"/>
            <w:vAlign w:val="center"/>
          </w:tcPr>
          <w:p>
            <w:pPr>
              <w:spacing w:lineRule="auto" w:line="288" w:before="0" w:after="0"/>
              <w:jc w:val="left"/>
            </w:pPr>
            <w:r/>
            <w:r>
              <w:rPr>
                <w:b w:val="0"/>
                <w:i w:val="0"/>
                <w:color w:val="000000"/>
                <w:sz w:val="21"/>
                <w:rFonts w:eastAsia="宋体" w:ascii="Times New Roman" w:hAnsi="Times New Roman"/>
              </w:rPr>
              <w:t>候选生成后再对前 50 个碎片峰计算距离，并选择最佳目标或诱饵命中。</w:t>
            </w:r>
          </w:p>
        </w:tc>
      </w:tr>
    </w:tbl>
    <w:p/>
    <w:p>
      <w:pPr>
        <w:spacing w:lineRule="auto" w:line="360" w:before="0" w:after="0"/>
        <w:ind w:firstLine="420"/>
        <w:jc w:val="both"/>
      </w:pPr>
      <w:r>
        <w:rPr>
          <w:b w:val="0"/>
          <w:i w:val="0"/>
          <w:color w:val="000000"/>
          <w:sz w:val="24"/>
          <w:rFonts w:eastAsia="宋体" w:ascii="Times New Roman" w:hAnsi="Times New Roman"/>
        </w:rPr>
        <w:t>其中，候选过滤功能是本研究算法的核心。过滤阶段不改变谱图峰列表，也不直接判定最终簇，而是作为碎片峰相似度计算之前的候选压缩层。这样能够保持流程可解释，并且便于观察候选数量减少对后续聚类的影响。</w:t>
      </w:r>
    </w:p>
    <w:p>
      <w:pPr>
        <w:pStyle w:val="3"/>
        <w:jc w:val="left"/>
      </w:pPr>
      <w:r>
        <w:rPr>
          <w:b/>
          <w:i w:val="0"/>
          <w:color w:val="000000"/>
          <w:sz w:val="24"/>
          <w:rFonts w:eastAsia="黑体" w:ascii="Times New Roman" w:hAnsi="Times New Roman"/>
        </w:rPr>
        <w:t>3.3 总体流程设计</w:t>
      </w:r>
    </w:p>
    <w:p>
      <w:pPr>
        <w:spacing w:lineRule="auto" w:line="360" w:before="0" w:after="0"/>
        <w:ind w:firstLine="420"/>
        <w:jc w:val="both"/>
      </w:pPr>
      <w:r>
        <w:rPr>
          <w:b w:val="0"/>
          <w:i w:val="0"/>
          <w:color w:val="000000"/>
          <w:sz w:val="24"/>
          <w:rFonts w:eastAsia="宋体" w:ascii="Times New Roman" w:hAnsi="Times New Roman"/>
        </w:rPr>
        <w:t>系统总体流程包括公开数据获取与解析、数据库构建、候选过滤、碎片峰相似度计算、连通分量聚类、指标评价和结果记录。程序首先读取 PRIDE PXD019368 中的 msalign 谱图和 TopPIC 搜索输出表，生成参考标注组；随后将谱图元数据和前 50 个高强度碎片峰写入 SQLite；最后在数据库候选对上计算碎片峰相似度并输出实验结果。</w:t>
      </w:r>
    </w:p>
    <w:p>
      <w:pPr>
        <w:jc w:val="center"/>
      </w:pPr>
      <w:r>
        <w:drawing>
          <wp:inline xmlns:a="http://schemas.openxmlformats.org/drawingml/2006/main" xmlns:pic="http://schemas.openxmlformats.org/drawingml/2006/picture">
            <wp:extent cx="5472000" cy="2736000"/>
            <wp:docPr id="14" name="Picture 14"/>
            <wp:cNvGraphicFramePr>
              <a:graphicFrameLocks noChangeAspect="1"/>
            </wp:cNvGraphicFramePr>
            <a:graphic>
              <a:graphicData uri="http://schemas.openxmlformats.org/drawingml/2006/picture">
                <pic:pic>
                  <pic:nvPicPr>
                    <pic:cNvPr id="0" name="db_filter_algorithm_flow_imagegen.png"/>
                    <pic:cNvPicPr/>
                  </pic:nvPicPr>
                  <pic:blipFill>
                    <a:blip r:embed="rId19"/>
                    <a:stretch>
                      <a:fillRect/>
                    </a:stretch>
                  </pic:blipFill>
                  <pic:spPr>
                    <a:xfrm>
                      <a:off x="0" y="0"/>
                      <a:ext cx="5472000" cy="2736000"/>
                    </a:xfrm>
                    <a:prstGeom prst="rect"/>
                  </pic:spPr>
                </pic:pic>
              </a:graphicData>
            </a:graphic>
          </wp:inline>
        </w:drawing>
      </w:r>
    </w:p>
    <w:p>
      <w:pPr>
        <w:spacing w:after="120"/>
        <w:jc w:val="center"/>
      </w:pPr>
      <w:r>
        <w:rPr>
          <w:b w:val="0"/>
          <w:i w:val="0"/>
          <w:color w:val="000000"/>
          <w:sz w:val="21"/>
          <w:rFonts w:eastAsia="宋体" w:ascii="Times New Roman" w:hAnsi="Times New Roman"/>
        </w:rPr>
        <w:t>图5 数据库过滤谱图聚类算法总体流程图</w:t>
      </w:r>
    </w:p>
    <w:p>
      <w:pPr>
        <w:spacing w:lineRule="auto" w:line="360" w:before="0" w:after="0"/>
        <w:ind w:firstLine="420"/>
        <w:jc w:val="both"/>
      </w:pPr>
      <w:r>
        <w:rPr>
          <w:b w:val="0"/>
          <w:i w:val="0"/>
          <w:color w:val="000000"/>
          <w:sz w:val="24"/>
          <w:rFonts w:eastAsia="宋体" w:ascii="Times New Roman" w:hAnsi="Times New Roman"/>
        </w:rPr>
        <w:t>该流程与直接比较算法的区别在于候选压缩前置。输入谱图先进入数据库，系统利用 spectrum 表中的前体质量和荷电状态完成候选压缩；候选集合形成后，程序才读取峰列表并计算碎片峰余弦相似度，最后把达到阈值的候选对作为图边进行合并。</w:t>
      </w:r>
    </w:p>
    <w:p>
      <w:pPr>
        <w:tabs>
          <w:tab w:pos="4195" w:val="center"/>
          <w:tab w:pos="8617" w:val="right"/>
        </w:tabs>
        <w:spacing w:lineRule="auto" w:line="312" w:before="120" w:after="120"/>
        <w:jc w:val="left"/>
      </w:pPr>
      <w:r>
        <w:tab/>
      </w:r>
      <m:oMathPara>
        <m:oMathParaPr>
          <m:jc m:val="center"/>
        </m:oMathParaPr>
        <m:oMath>
          <m:sSub>
            <m:e>
              <m:r>
                <m:t>C</m:t>
              </m:r>
            </m:e>
            <m:sub>
              <m:r>
                <m:t>i</m:t>
              </m:r>
            </m:sub>
          </m:sSub>
          <m:r>
            <m:rPr>
              <m:sty m:val="p"/>
            </m:rPr>
            <m:t>=</m:t>
          </m:r>
          <m:r>
            <m:rPr>
              <m:sty m:val="p"/>
            </m:rPr>
            <m:t>{</m:t>
          </m:r>
          <m:sSub>
            <m:e>
              <m:r>
                <m:t>S</m:t>
              </m:r>
            </m:e>
            <m:sub>
              <m:r>
                <m:t>j</m:t>
              </m:r>
            </m:sub>
          </m:sSub>
          <m:r>
            <m:rPr>
              <m:sty m:val="p"/>
            </m:rPr>
            <m:t>∣</m:t>
          </m:r>
          <m:r>
            <m:rPr>
              <m:sty m:val="p"/>
            </m:rPr>
            <m:t>|</m:t>
          </m:r>
          <m:sSub>
            <m:e>
              <m:r>
                <m:t>m</m:t>
              </m:r>
            </m:e>
            <m:sub>
              <m:r>
                <m:t>i</m:t>
              </m:r>
            </m:sub>
          </m:sSub>
          <m:r>
            <m:rPr>
              <m:sty m:val="p"/>
            </m:rPr>
            <m:t>−</m:t>
          </m:r>
          <m:sSub>
            <m:e>
              <m:r>
                <m:t>m</m:t>
              </m:r>
            </m:e>
            <m:sub>
              <m:r>
                <m:t>j</m:t>
              </m:r>
            </m:sub>
          </m:sSub>
          <m:r>
            <m:rPr>
              <m:sty m:val="p"/>
            </m:rPr>
            <m:t>|</m:t>
          </m:r>
          <m:r>
            <m:rPr>
              <m:sty m:val="p"/>
            </m:rPr>
            <m:t>≤</m:t>
          </m:r>
          <m:sSub>
            <m:e>
              <m:r>
                <m:t>δ</m:t>
              </m:r>
            </m:e>
            <m:sub>
              <m:r>
                <m:t>m</m:t>
              </m:r>
            </m:sub>
          </m:sSub>
          <m:r>
            <m:rPr>
              <m:sty m:val="p"/>
            </m:rPr>
            <m:t>,</m:t>
          </m:r>
          <m:r>
            <m:t> </m:t>
          </m:r>
          <m:sSub>
            <m:e>
              <m:r>
                <m:t>z</m:t>
              </m:r>
            </m:e>
            <m:sub>
              <m:r>
                <m:t>i</m:t>
              </m:r>
            </m:sub>
          </m:sSub>
          <m:r>
            <m:rPr>
              <m:sty m:val="p"/>
            </m:rPr>
            <m:t>=</m:t>
          </m:r>
          <m:sSub>
            <m:e>
              <m:r>
                <m:t>z</m:t>
              </m:r>
            </m:e>
            <m:sub>
              <m:r>
                <m:t>j</m:t>
              </m:r>
            </m:sub>
          </m:sSub>
          <m:r>
            <m:rPr>
              <m:sty m:val="p"/>
            </m:rPr>
            <m:t>}</m:t>
          </m:r>
        </m:oMath>
      </m:oMathPara>
      <w:r>
        <w:rPr>
          <w:b w:val="0"/>
          <w:i w:val="0"/>
          <w:color w:val="000000"/>
          <w:sz w:val="24"/>
          <w:rFonts w:eastAsia="宋体" w:ascii="Times New Roman" w:hAnsi="Times New Roman"/>
        </w:rPr>
        <w:tab/>
        <w:t>（3.1）</w:t>
      </w:r>
    </w:p>
    <w:p>
      <w:pPr>
        <w:spacing w:lineRule="auto" w:line="360" w:before="0" w:after="0"/>
        <w:ind w:firstLine="420"/>
        <w:jc w:val="both"/>
      </w:pPr>
      <w:r>
        <w:rPr>
          <w:b w:val="0"/>
          <w:i w:val="0"/>
          <w:color w:val="000000"/>
          <w:sz w:val="24"/>
          <w:rFonts w:eastAsia="宋体" w:ascii="Times New Roman" w:hAnsi="Times New Roman"/>
        </w:rPr>
        <w:t>式（3.1）定义了单条谱图的候选集合。其中，前体质量差不能超过质量窗口，荷电状态需要一致。该定义把物理属性近邻关系放在相似度计算之前处理，后续碎片峰相似度只在候选集合内计算。</w:t>
      </w:r>
    </w:p>
    <w:p>
      <w:pPr>
        <w:pStyle w:val="2"/>
        <w:pageBreakBefore/>
        <w:jc w:val="center"/>
      </w:pPr>
      <w:r>
        <w:rPr>
          <w:b/>
          <w:i w:val="0"/>
          <w:color w:val="000000"/>
          <w:sz w:val="32"/>
          <w:rFonts w:eastAsia="黑体" w:ascii="Times New Roman" w:hAnsi="Times New Roman"/>
        </w:rPr>
        <w:t>第4章 数据库过滤谱图聚类算法设计</w:t>
      </w:r>
    </w:p>
    <w:p>
      <w:pPr>
        <w:pStyle w:val="3"/>
        <w:jc w:val="left"/>
      </w:pPr>
      <w:r>
        <w:rPr>
          <w:b/>
          <w:i w:val="0"/>
          <w:color w:val="000000"/>
          <w:sz w:val="24"/>
          <w:rFonts w:eastAsia="黑体" w:ascii="Times New Roman" w:hAnsi="Times New Roman"/>
        </w:rPr>
        <w:t>4.1 数据库结构设计</w:t>
      </w:r>
    </w:p>
    <w:p>
      <w:pPr>
        <w:spacing w:lineRule="auto" w:line="360" w:before="0" w:after="0"/>
        <w:ind w:firstLine="420"/>
        <w:jc w:val="both"/>
      </w:pPr>
      <w:r>
        <w:rPr>
          <w:b w:val="0"/>
          <w:i w:val="0"/>
          <w:color w:val="000000"/>
          <w:sz w:val="24"/>
          <w:rFonts w:eastAsia="宋体" w:ascii="Times New Roman" w:hAnsi="Times New Roman"/>
        </w:rPr>
        <w:t>数据库结构设计的目标不是简单保存谱图文件，而是把谱图元数据和碎片峰拆分为可查询、可扩展的层次。TopLib 官方数据库包含 projects、species、samples、methods、experiments、files、spectra、masses 等表，用于记录实验来源、仪器方法、原始文件、去卷积谱图和后续聚类编号。本研究实验程序保留其中与候选过滤最直接相关的 spectrum 与 peak 两类数据。</w:t>
      </w:r>
    </w:p>
    <w:p>
      <w:pPr>
        <w:spacing w:after="120"/>
        <w:jc w:val="center"/>
      </w:pPr>
      <w:r>
        <w:rPr>
          <w:b w:val="0"/>
          <w:i w:val="0"/>
          <w:color w:val="000000"/>
          <w:sz w:val="21"/>
          <w:rFonts w:eastAsia="宋体" w:ascii="Times New Roman" w:hAnsi="Times New Roman"/>
        </w:rPr>
        <w:t>表2 TopLib SQLite 核心数据表设计</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8" w:space="0" w:color="000000"/>
          <w:right w:val="nil" w:sz="8" w:space="0" w:color="000000"/>
          <w:insideV w:val="nil" w:sz="8" w:space="0" w:color="000000"/>
          <w:insideH w:val="nil" w:sz="8" w:space="0" w:color="000000"/>
        </w:tblBorders>
      </w:tblPr>
      <w:tblGrid>
        <w:gridCol w:w="1701"/>
        <w:gridCol w:w="3515"/>
        <w:gridCol w:w="3855"/>
      </w:tblGrid>
      <w:tr>
        <w:tc>
          <w:tcPr>
            <w:tcW w:type="dxa" w:w="2771"/>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数据表</w:t>
            </w:r>
          </w:p>
        </w:tc>
        <w:tc>
          <w:tcPr>
            <w:tcW w:type="dxa" w:w="2771"/>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关键字段</w:t>
            </w:r>
          </w:p>
        </w:tc>
        <w:tc>
          <w:tcPr>
            <w:tcW w:type="dxa" w:w="2771"/>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用途说明</w:t>
            </w:r>
          </w:p>
        </w:tc>
      </w:tr>
      <w:tr>
        <w:tc>
          <w:tcPr>
            <w:tcW w:type="dxa" w:w="1701"/>
            <w:vAlign w:val="center"/>
          </w:tcPr>
          <w:p>
            <w:pPr>
              <w:spacing w:lineRule="auto" w:line="288" w:before="0" w:after="0"/>
              <w:jc w:val="center"/>
            </w:pPr>
            <w:r/>
            <w:r>
              <w:rPr>
                <w:b w:val="0"/>
                <w:i w:val="0"/>
                <w:color w:val="000000"/>
                <w:sz w:val="21"/>
                <w:rFonts w:eastAsia="宋体" w:ascii="Times New Roman" w:hAnsi="Times New Roman"/>
              </w:rPr>
              <w:t>spectra</w:t>
            </w:r>
          </w:p>
        </w:tc>
        <w:tc>
          <w:tcPr>
            <w:tcW w:type="dxa" w:w="3515"/>
            <w:vAlign w:val="center"/>
          </w:tcPr>
          <w:p>
            <w:pPr>
              <w:spacing w:lineRule="auto" w:line="288" w:before="0" w:after="0"/>
              <w:jc w:val="left"/>
            </w:pPr>
            <w:r/>
            <w:r>
              <w:rPr>
                <w:b w:val="0"/>
                <w:i w:val="0"/>
                <w:color w:val="000000"/>
                <w:sz w:val="21"/>
                <w:rFonts w:eastAsia="宋体" w:ascii="Times New Roman" w:hAnsi="Times New Roman"/>
              </w:rPr>
              <w:t>spectrum_id、file_id、precursor_mass、precursor_charge、proteoform_id、cluster_id、protein_accession、e_value</w:t>
            </w:r>
          </w:p>
        </w:tc>
        <w:tc>
          <w:tcPr>
            <w:tcW w:type="dxa" w:w="3855"/>
            <w:vAlign w:val="center"/>
          </w:tcPr>
          <w:p>
            <w:pPr>
              <w:spacing w:lineRule="auto" w:line="288" w:before="0" w:after="0"/>
              <w:jc w:val="left"/>
            </w:pPr>
            <w:r/>
            <w:r>
              <w:rPr>
                <w:b w:val="0"/>
                <w:i w:val="0"/>
                <w:color w:val="000000"/>
                <w:sz w:val="21"/>
                <w:rFonts w:eastAsia="宋体" w:ascii="Times New Roman" w:hAnsi="Times New Roman"/>
              </w:rPr>
              <w:t>保存每条去卷积 MS/MS 谱图的前体信息、鉴定信息和聚类编号，是构建谱图库与代表谱图的主表。</w:t>
            </w:r>
          </w:p>
        </w:tc>
      </w:tr>
      <w:tr>
        <w:tc>
          <w:tcPr>
            <w:tcW w:type="dxa" w:w="1701"/>
            <w:vAlign w:val="center"/>
          </w:tcPr>
          <w:p>
            <w:pPr>
              <w:spacing w:lineRule="auto" w:line="288" w:before="0" w:after="0"/>
              <w:jc w:val="center"/>
            </w:pPr>
            <w:r/>
            <w:r>
              <w:rPr>
                <w:b w:val="0"/>
                <w:i w:val="0"/>
                <w:color w:val="000000"/>
                <w:sz w:val="21"/>
                <w:rFonts w:eastAsia="宋体" w:ascii="Times New Roman" w:hAnsi="Times New Roman"/>
              </w:rPr>
              <w:t>masses</w:t>
            </w:r>
          </w:p>
        </w:tc>
        <w:tc>
          <w:tcPr>
            <w:tcW w:type="dxa" w:w="3515"/>
            <w:vAlign w:val="center"/>
          </w:tcPr>
          <w:p>
            <w:pPr>
              <w:spacing w:lineRule="auto" w:line="288" w:before="0" w:after="0"/>
              <w:jc w:val="left"/>
            </w:pPr>
            <w:r/>
            <w:r>
              <w:rPr>
                <w:b w:val="0"/>
                <w:i w:val="0"/>
                <w:color w:val="000000"/>
                <w:sz w:val="21"/>
                <w:rFonts w:eastAsia="宋体" w:ascii="Times New Roman" w:hAnsi="Times New Roman"/>
              </w:rPr>
              <w:t>mass_id、spectrum_id、mass、intensity、charge</w:t>
            </w:r>
          </w:p>
        </w:tc>
        <w:tc>
          <w:tcPr>
            <w:tcW w:type="dxa" w:w="3855"/>
            <w:vAlign w:val="center"/>
          </w:tcPr>
          <w:p>
            <w:pPr>
              <w:spacing w:lineRule="auto" w:line="288" w:before="0" w:after="0"/>
              <w:jc w:val="left"/>
            </w:pPr>
            <w:r/>
            <w:r>
              <w:rPr>
                <w:b w:val="0"/>
                <w:i w:val="0"/>
                <w:color w:val="000000"/>
                <w:sz w:val="21"/>
                <w:rFonts w:eastAsia="宋体" w:ascii="Times New Roman" w:hAnsi="Times New Roman"/>
              </w:rPr>
              <w:t>保存谱图碎片峰的质量、强度和电荷信息，供距离计算、代表谱图生成和检索匹配使用。</w:t>
            </w:r>
          </w:p>
        </w:tc>
      </w:tr>
      <w:tr>
        <w:tc>
          <w:tcPr>
            <w:tcW w:type="dxa" w:w="1701"/>
            <w:vAlign w:val="center"/>
          </w:tcPr>
          <w:p>
            <w:pPr>
              <w:spacing w:lineRule="auto" w:line="288" w:before="0" w:after="0"/>
              <w:jc w:val="center"/>
            </w:pPr>
            <w:r/>
            <w:r>
              <w:rPr>
                <w:b w:val="0"/>
                <w:i w:val="0"/>
                <w:color w:val="000000"/>
                <w:sz w:val="21"/>
                <w:rFonts w:eastAsia="宋体" w:ascii="Times New Roman" w:hAnsi="Times New Roman"/>
              </w:rPr>
              <w:t>代表谱图表</w:t>
            </w:r>
          </w:p>
        </w:tc>
        <w:tc>
          <w:tcPr>
            <w:tcW w:type="dxa" w:w="3515"/>
            <w:vAlign w:val="center"/>
          </w:tcPr>
          <w:p>
            <w:pPr>
              <w:spacing w:lineRule="auto" w:line="288" w:before="0" w:after="0"/>
              <w:jc w:val="left"/>
            </w:pPr>
            <w:r/>
            <w:r>
              <w:rPr>
                <w:b w:val="0"/>
                <w:i w:val="0"/>
                <w:color w:val="000000"/>
                <w:sz w:val="21"/>
                <w:rFonts w:eastAsia="宋体" w:ascii="Times New Roman" w:hAnsi="Times New Roman"/>
              </w:rPr>
              <w:t>representative_id、precursor_mass、precursor_charge、mass_0 至 mass_49、norm_intensity_0 至 norm_intensity_49、flag</w:t>
            </w:r>
          </w:p>
        </w:tc>
        <w:tc>
          <w:tcPr>
            <w:tcW w:type="dxa" w:w="3855"/>
            <w:vAlign w:val="center"/>
          </w:tcPr>
          <w:p>
            <w:pPr>
              <w:spacing w:lineRule="auto" w:line="288" w:before="0" w:after="0"/>
              <w:jc w:val="left"/>
            </w:pPr>
            <w:r/>
            <w:r>
              <w:rPr>
                <w:b w:val="0"/>
                <w:i w:val="0"/>
                <w:color w:val="000000"/>
                <w:sz w:val="21"/>
                <w:rFonts w:eastAsia="宋体" w:ascii="Times New Roman" w:hAnsi="Times New Roman"/>
              </w:rPr>
              <w:t>对应官方 target_decoy_spectra_representatives 表，保存目标库与诱饵库代表谱图，支撑 谱图库检索 和目标-诱饵判定。</w:t>
            </w:r>
          </w:p>
        </w:tc>
      </w:tr>
    </w:tbl>
    <w:p/>
    <w:p>
      <w:pPr>
        <w:spacing w:lineRule="auto" w:line="360" w:before="0" w:after="0"/>
        <w:ind w:firstLine="420"/>
        <w:jc w:val="both"/>
      </w:pPr>
      <w:r>
        <w:rPr>
          <w:b w:val="0"/>
          <w:i w:val="0"/>
          <w:color w:val="000000"/>
          <w:sz w:val="24"/>
          <w:rFonts w:eastAsia="宋体" w:ascii="Times New Roman" w:hAnsi="Times New Roman"/>
        </w:rPr>
        <w:t>实验程序的 spectrum 表保存谱图级元数据，包括 id、参考簇标签、前体质量、荷电状态、峰数量和若干高强度峰桶；peak 表通过 spectrum_id 外键保存碎片峰质量与归一化强度。谱图级字段服务于候选过滤，峰级字段服务于向量构建和相似度计算。</w:t>
      </w:r>
    </w:p>
    <w:p>
      <w:pPr>
        <w:jc w:val="center"/>
      </w:pPr>
      <w:r>
        <w:drawing>
          <wp:inline xmlns:a="http://schemas.openxmlformats.org/drawingml/2006/main" xmlns:pic="http://schemas.openxmlformats.org/drawingml/2006/picture">
            <wp:extent cx="5472000" cy="3079636"/>
            <wp:docPr id="15" name="Picture 15"/>
            <wp:cNvGraphicFramePr>
              <a:graphicFrameLocks noChangeAspect="1"/>
            </wp:cNvGraphicFramePr>
            <a:graphic>
              <a:graphicData uri="http://schemas.openxmlformats.org/drawingml/2006/picture">
                <pic:pic>
                  <pic:nvPicPr>
                    <pic:cNvPr id="0" name="sqlite_schema_runtime_imagegen.png"/>
                    <pic:cNvPicPr/>
                  </pic:nvPicPr>
                  <pic:blipFill>
                    <a:blip r:embed="rId20"/>
                    <a:stretch>
                      <a:fillRect/>
                    </a:stretch>
                  </pic:blipFill>
                  <pic:spPr>
                    <a:xfrm>
                      <a:off x="0" y="0"/>
                      <a:ext cx="5472000" cy="3079636"/>
                    </a:xfrm>
                    <a:prstGeom prst="rect"/>
                  </pic:spPr>
                </pic:pic>
              </a:graphicData>
            </a:graphic>
          </wp:inline>
        </w:drawing>
      </w:r>
    </w:p>
    <w:p>
      <w:pPr>
        <w:spacing w:after="120"/>
        <w:jc w:val="center"/>
      </w:pPr>
      <w:r>
        <w:rPr>
          <w:b w:val="0"/>
          <w:i w:val="0"/>
          <w:color w:val="000000"/>
          <w:sz w:val="21"/>
          <w:rFonts w:eastAsia="宋体" w:ascii="Times New Roman" w:hAnsi="Times New Roman"/>
        </w:rPr>
        <w:t>图6 SQLite 数据结构与索引关系图</w:t>
      </w:r>
    </w:p>
    <w:p>
      <w:pPr>
        <w:spacing w:lineRule="auto" w:line="360" w:before="0" w:after="0"/>
        <w:ind w:firstLine="420"/>
        <w:jc w:val="both"/>
      </w:pPr>
      <w:r>
        <w:rPr>
          <w:b w:val="0"/>
          <w:i w:val="0"/>
          <w:color w:val="000000"/>
          <w:sz w:val="24"/>
          <w:rFonts w:eastAsia="宋体" w:ascii="Times New Roman" w:hAnsi="Times New Roman"/>
        </w:rPr>
        <w:t>两个核心表分别承担谱图级候选查询和峰级相似度计算。idx_spectrum_filter(charge, precursor_mass) 支持按荷电状态和前体质量范围快速查找候选谱图；idx_peak_spectrum(spectrum_id) 支持在需要计算向量或读取峰列表时快速定位碎片峰。top_bin 字段相当于轻量化的峰桶索引，用于判断两条谱图是否在主要碎片峰区域存在重叠。</w:t>
      </w:r>
    </w:p>
    <w:p>
      <w:pPr>
        <w:tabs>
          <w:tab w:pos="4195" w:val="center"/>
          <w:tab w:pos="8617" w:val="right"/>
        </w:tabs>
        <w:spacing w:lineRule="auto" w:line="312" w:before="120" w:after="120"/>
        <w:jc w:val="left"/>
      </w:pPr>
      <w:r>
        <w:tab/>
      </w:r>
      <m:oMathPara>
        <m:oMathParaPr>
          <m:jc m:val="center"/>
        </m:oMathParaPr>
        <m:oMath>
          <m:sSub>
            <m:e>
              <m:r>
                <m:t>B</m:t>
              </m:r>
            </m:e>
            <m:sub>
              <m:r>
                <m:t>i</m:t>
              </m:r>
            </m:sub>
          </m:sSub>
          <m:r>
            <m:rPr>
              <m:sty m:val="p"/>
            </m:rPr>
            <m:t>=</m:t>
          </m:r>
          <m:d>
            <m:dPr>
              <m:begChr m:val="{"/>
              <m:sepChr m:val="|"/>
              <m:endChr m:val="}"/>
              <m:grow/>
            </m:dPr>
            <m:e>
              <m:d>
                <m:dPr>
                  <m:begChr m:val="⌊"/>
                  <m:sepChr m:val=""/>
                  <m:endChr m:val="⌋"/>
                  <m:grow/>
                </m:dPr>
                <m:e>
                  <m:f>
                    <m:fPr>
                      <m:type m:val="bar"/>
                    </m:fPr>
                    <m:num>
                      <m:sSub>
                        <m:e>
                          <m:r>
                            <m:t>m</m:t>
                          </m:r>
                        </m:e>
                        <m:sub>
                          <m:r>
                            <m:t>i</m:t>
                          </m:r>
                          <m:r>
                            <m:t>k</m:t>
                          </m:r>
                        </m:sub>
                      </m:sSub>
                    </m:num>
                    <m:den>
                      <m:r>
                        <m:rPr>
                          <m:sty m:val="p"/>
                        </m:rPr>
                        <m:t>Δ</m:t>
                      </m:r>
                      <m:r>
                        <m:t>m</m:t>
                      </m:r>
                    </m:den>
                  </m:f>
                </m:e>
              </m:d>
              <m:r>
                <m:t> </m:t>
              </m:r>
            </m:e>
            <m:e>
              <m:r>
                <m:t> </m:t>
              </m:r>
              <m:r>
                <m:t>k</m:t>
              </m:r>
              <m:r>
                <m:rPr>
                  <m:sty m:val="p"/>
                </m:rPr>
                <m:t>∈</m:t>
              </m:r>
              <m:r>
                <m:rPr>
                  <m:sty m:val="p"/>
                </m:rPr>
                <m:t>TopK</m:t>
              </m:r>
              <m:r>
                <m:rPr>
                  <m:sty m:val="p"/>
                </m:rPr>
                <m:t>(</m:t>
              </m:r>
              <m:sSub>
                <m:e>
                  <m:r>
                    <m:t>S</m:t>
                  </m:r>
                </m:e>
                <m:sub>
                  <m:r>
                    <m:t>i</m:t>
                  </m:r>
                </m:sub>
              </m:sSub>
              <m:r>
                <m:rPr>
                  <m:sty m:val="p"/>
                </m:rPr>
                <m:t>)</m:t>
              </m:r>
            </m:e>
          </m:d>
        </m:oMath>
      </m:oMathPara>
      <w:r>
        <w:rPr>
          <w:b w:val="0"/>
          <w:i w:val="0"/>
          <w:color w:val="000000"/>
          <w:sz w:val="24"/>
          <w:rFonts w:eastAsia="宋体" w:ascii="Times New Roman" w:hAnsi="Times New Roman"/>
        </w:rPr>
        <w:tab/>
        <w:t>（4.1）</w:t>
      </w:r>
    </w:p>
    <w:p>
      <w:pPr>
        <w:spacing w:lineRule="auto" w:line="360" w:before="0" w:after="0"/>
        <w:ind w:firstLine="420"/>
        <w:jc w:val="both"/>
      </w:pPr>
      <w:r>
        <w:rPr>
          <w:b w:val="0"/>
          <w:i w:val="0"/>
          <w:color w:val="000000"/>
          <w:sz w:val="24"/>
          <w:rFonts w:eastAsia="宋体" w:ascii="Times New Roman" w:hAnsi="Times New Roman"/>
        </w:rPr>
        <w:t>式（4.1）定义单条谱图的高强度峰桶集合。程序仅取每条谱图中强度较高的一部分峰参与桶集合构造，用于快速判断两条谱图是否在主要碎片峰区域存在交集。</w:t>
      </w:r>
    </w:p>
    <w:p>
      <w:pPr>
        <w:spacing w:lineRule="auto" w:line="360" w:before="0" w:after="0"/>
        <w:ind w:firstLine="420"/>
        <w:jc w:val="both"/>
      </w:pPr>
      <w:r>
        <w:rPr>
          <w:b w:val="0"/>
          <w:i w:val="0"/>
          <w:color w:val="000000"/>
          <w:sz w:val="24"/>
          <w:rFonts w:eastAsia="宋体" w:ascii="Times New Roman" w:hAnsi="Times New Roman"/>
        </w:rPr>
        <w:t>与官方 TopLib 相比，本研究实验程序的表结构更轻量。这不是替代官方数据库，而是为了把候选空间压缩这一核心问题单独抽出来验证。实际工程中，若接入真实 TopLib 数据库，可将本文的 top_bin 条件扩展为碎片峰倒排索引，并保留官方的多级元数据表和代表谱图表，从而兼容多文件谱图库和目标-诱饵检索流程。</w:t>
      </w:r>
    </w:p>
    <w:p>
      <w:pPr>
        <w:pStyle w:val="3"/>
        <w:jc w:val="left"/>
      </w:pPr>
      <w:r>
        <w:rPr>
          <w:b/>
          <w:i w:val="0"/>
          <w:color w:val="000000"/>
          <w:sz w:val="24"/>
          <w:rFonts w:eastAsia="黑体" w:ascii="Times New Roman" w:hAnsi="Times New Roman"/>
        </w:rPr>
        <w:t>4.2 候选过滤算法设计</w:t>
      </w:r>
    </w:p>
    <w:p>
      <w:pPr>
        <w:spacing w:lineRule="auto" w:line="360" w:before="0" w:after="0"/>
        <w:ind w:firstLine="420"/>
        <w:jc w:val="both"/>
      </w:pPr>
      <w:r>
        <w:rPr>
          <w:b w:val="0"/>
          <w:i w:val="0"/>
          <w:color w:val="000000"/>
          <w:sz w:val="24"/>
          <w:rFonts w:eastAsia="宋体" w:ascii="Times New Roman" w:hAnsi="Times New Roman"/>
        </w:rPr>
        <w:t>候选过滤算法采用“先粗筛、再精算”的两阶段结构。第一阶段只使用数据库中可快速查询的字段，包括前体质量、前体电荷和高强度峰桶；第二阶段才读取候选谱图的向量或前 50 个碎片峰，计算余弦相似度或 fragment cosine。这样设计的核心原因是，谱图库规模扩大时，计算量较高的操作不是读取单条记录，而是对大量不可能同簇的谱图做高维相似度计算。</w:t>
      </w:r>
    </w:p>
    <w:p>
      <w:pPr>
        <w:spacing w:lineRule="auto" w:line="360" w:before="0" w:after="0"/>
        <w:ind w:firstLine="420"/>
        <w:jc w:val="both"/>
      </w:pPr>
      <w:r>
        <w:rPr>
          <w:b w:val="0"/>
          <w:i w:val="0"/>
          <w:color w:val="000000"/>
          <w:sz w:val="24"/>
          <w:rFonts w:eastAsia="宋体" w:ascii="Times New Roman" w:hAnsi="Times New Roman"/>
        </w:rPr>
        <w:t>TopLib 的 谱图库检索 流程提供了直接依据。其候选查询会根据查询谱图和代表谱图库的前体质量计算 ppm 或 Da 容差；当启用荷电状态匹配时，还要求查询谱图与库谱图的 precursor_charge 相同。相关实现同时保留 1.00235 Da 的同位素偏移判断，用于兼容去卷积过程中常见的一阶同位素质量误差。本研究在实验程序中将这一思想改写为 SQLite 条件查询。</w:t>
      </w:r>
    </w:p>
    <w:p>
      <w:pPr>
        <w:spacing w:lineRule="auto" w:line="360" w:before="0" w:after="0"/>
        <w:ind w:firstLine="420"/>
        <w:jc w:val="both"/>
      </w:pPr>
      <w:r>
        <w:rPr>
          <w:b w:val="0"/>
          <w:i w:val="0"/>
          <w:color w:val="000000"/>
          <w:sz w:val="24"/>
          <w:rFonts w:eastAsia="宋体" w:ascii="Times New Roman" w:hAnsi="Times New Roman"/>
        </w:rPr>
        <w:t>SQLite 候选过滤的关键在于把可索引字段放在相似度计算之前。前体质量窗口用于限制质量邻近关系，荷电状态范围用于排除明显不可能匹配的谱图，高强度峰桶重叠用于保证两条谱图至少在主要碎片峰区域存在交集。</w:t>
      </w:r>
    </w:p>
    <w:p>
      <w:pPr>
        <w:jc w:val="center"/>
      </w:pPr>
      <w:r>
        <w:drawing>
          <wp:inline xmlns:a="http://schemas.openxmlformats.org/drawingml/2006/main" xmlns:pic="http://schemas.openxmlformats.org/drawingml/2006/picture">
            <wp:extent cx="5472000" cy="3079636"/>
            <wp:docPr id="16" name="Picture 16"/>
            <wp:cNvGraphicFramePr>
              <a:graphicFrameLocks noChangeAspect="1"/>
            </wp:cNvGraphicFramePr>
            <a:graphic>
              <a:graphicData uri="http://schemas.openxmlformats.org/drawingml/2006/picture">
                <pic:pic>
                  <pic:nvPicPr>
                    <pic:cNvPr id="0" name="sqlite_candidate_filtering_imagegen.png"/>
                    <pic:cNvPicPr/>
                  </pic:nvPicPr>
                  <pic:blipFill>
                    <a:blip r:embed="rId21"/>
                    <a:stretch>
                      <a:fillRect/>
                    </a:stretch>
                  </pic:blipFill>
                  <pic:spPr>
                    <a:xfrm>
                      <a:off x="0" y="0"/>
                      <a:ext cx="5472000" cy="3079636"/>
                    </a:xfrm>
                    <a:prstGeom prst="rect"/>
                  </pic:spPr>
                </pic:pic>
              </a:graphicData>
            </a:graphic>
          </wp:inline>
        </w:drawing>
      </w:r>
    </w:p>
    <w:p>
      <w:pPr>
        <w:spacing w:after="120"/>
        <w:jc w:val="center"/>
      </w:pPr>
      <w:r>
        <w:rPr>
          <w:b w:val="0"/>
          <w:i w:val="0"/>
          <w:color w:val="000000"/>
          <w:sz w:val="21"/>
          <w:rFonts w:eastAsia="宋体" w:ascii="Times New Roman" w:hAnsi="Times New Roman"/>
        </w:rPr>
        <w:t>图7 SQLite 候选谱图对过滤机制示意图</w:t>
      </w:r>
    </w:p>
    <w:p>
      <w:pPr>
        <w:spacing w:lineRule="auto" w:line="360" w:before="0" w:after="0"/>
        <w:ind w:firstLine="420"/>
        <w:jc w:val="both"/>
      </w:pPr>
      <w:r>
        <w:rPr>
          <w:b w:val="0"/>
          <w:i w:val="0"/>
          <w:color w:val="000000"/>
          <w:sz w:val="24"/>
          <w:rFonts w:eastAsia="宋体" w:ascii="Times New Roman" w:hAnsi="Times New Roman"/>
        </w:rPr>
        <w:t>候选集合并不是从全部谱图对中直接计算出来，而是通过数据库条件逐步收缩。对于 n 条谱图，完整两两比较需要 n(n-1)/2 次相似度计算；过滤后只保留满足物理属性和峰型粗匹配条件的候选对，从而把主要计算量转移到更小的 Ec 集合上。</w:t>
      </w:r>
    </w:p>
    <w:p>
      <w:pPr>
        <w:spacing w:lineRule="auto" w:line="360" w:before="0" w:after="0"/>
        <w:ind w:firstLine="420"/>
        <w:jc w:val="both"/>
      </w:pPr>
      <w:r>
        <w:rPr>
          <w:b w:val="0"/>
          <w:i w:val="0"/>
          <w:color w:val="000000"/>
          <w:sz w:val="24"/>
          <w:rFonts w:eastAsia="宋体" w:ascii="Times New Roman" w:hAnsi="Times New Roman"/>
        </w:rPr>
        <w:t>候选过滤并不直接输出最终簇，而是输出候选谱图对集合 Ec。对于每一条谱图 Si，系统先查询满足 |mi-mj| 不超过质量窗口、荷电状态相近、且至少一个高强度峰桶重叠的谱图 Sj。只有进入 Ec 的谱图对才执行向量点积相似度判断。这样可以把“是否值得比较”与“比较后是否同簇”分开，便于调节质量窗口和相似度阈值。</w:t>
      </w:r>
    </w:p>
    <w:p>
      <w:pPr>
        <w:tabs>
          <w:tab w:pos="4195" w:val="center"/>
          <w:tab w:pos="8617" w:val="right"/>
        </w:tabs>
        <w:spacing w:lineRule="auto" w:line="312" w:before="120" w:after="120"/>
        <w:jc w:val="left"/>
      </w:pPr>
      <w:r>
        <w:tab/>
      </w:r>
      <m:oMathPara>
        <m:oMathParaPr>
          <m:jc m:val="center"/>
        </m:oMathParaPr>
        <m:oMath>
          <m:r>
            <m:t>E</m:t>
          </m:r>
          <m:r>
            <m:rPr>
              <m:sty m:val="p"/>
            </m:rPr>
            <m:t>=</m:t>
          </m:r>
          <m:r>
            <m:rPr>
              <m:sty m:val="p"/>
            </m:rPr>
            <m:t>{</m:t>
          </m:r>
          <m:r>
            <m:rPr>
              <m:sty m:val="p"/>
            </m:rPr>
            <m:t>(</m:t>
          </m:r>
          <m:r>
            <m:t>i</m:t>
          </m:r>
          <m:r>
            <m:rPr>
              <m:sty m:val="p"/>
            </m:rPr>
            <m:t>,</m:t>
          </m:r>
          <m:r>
            <m:t>j</m:t>
          </m:r>
          <m:r>
            <m:rPr>
              <m:sty m:val="p"/>
            </m:rPr>
            <m:t>)</m:t>
          </m:r>
          <m:r>
            <m:rPr>
              <m:sty m:val="p"/>
            </m:rPr>
            <m:t>∈</m:t>
          </m:r>
          <m:sSub>
            <m:e>
              <m:r>
                <m:t>E</m:t>
              </m:r>
            </m:e>
            <m:sub>
              <m:r>
                <m:t>c</m:t>
              </m:r>
            </m:sub>
          </m:sSub>
          <m:r>
            <m:rPr>
              <m:sty m:val="p"/>
            </m:rPr>
            <m:t>∣</m:t>
          </m:r>
          <m:r>
            <m:rPr>
              <m:sty m:val="p"/>
            </m:rPr>
            <m:t>sim</m:t>
          </m:r>
          <m:r>
            <m:rPr>
              <m:sty m:val="p"/>
            </m:rPr>
            <m:t>(</m:t>
          </m:r>
          <m:sSub>
            <m:e>
              <m:r>
                <m:t>S</m:t>
              </m:r>
            </m:e>
            <m:sub>
              <m:r>
                <m:t>i</m:t>
              </m:r>
            </m:sub>
          </m:sSub>
          <m:r>
            <m:rPr>
              <m:sty m:val="p"/>
            </m:rPr>
            <m:t>,</m:t>
          </m:r>
          <m:sSub>
            <m:e>
              <m:r>
                <m:t>S</m:t>
              </m:r>
            </m:e>
            <m:sub>
              <m:r>
                <m:t>j</m:t>
              </m:r>
            </m:sub>
          </m:sSub>
          <m:r>
            <m:rPr>
              <m:sty m:val="p"/>
            </m:rPr>
            <m:t>)</m:t>
          </m:r>
          <m:r>
            <m:rPr>
              <m:sty m:val="p"/>
            </m:rPr>
            <m:t>≥</m:t>
          </m:r>
          <m:r>
            <m:t>τ</m:t>
          </m:r>
          <m:r>
            <m:rPr>
              <m:sty m:val="p"/>
            </m:rPr>
            <m:t>}</m:t>
          </m:r>
        </m:oMath>
      </m:oMathPara>
      <w:r>
        <w:rPr>
          <w:b w:val="0"/>
          <w:i w:val="0"/>
          <w:color w:val="000000"/>
          <w:sz w:val="24"/>
          <w:rFonts w:eastAsia="宋体" w:ascii="Times New Roman" w:hAnsi="Times New Roman"/>
        </w:rPr>
        <w:tab/>
        <w:t>（4.2）</w:t>
      </w:r>
    </w:p>
    <w:p>
      <w:pPr>
        <w:spacing w:lineRule="auto" w:line="360" w:before="0" w:after="0"/>
        <w:ind w:firstLine="420"/>
        <w:jc w:val="both"/>
      </w:pPr>
      <w:r>
        <w:rPr>
          <w:b w:val="0"/>
          <w:i w:val="0"/>
          <w:color w:val="000000"/>
          <w:sz w:val="24"/>
          <w:rFonts w:eastAsia="宋体" w:ascii="Times New Roman" w:hAnsi="Times New Roman"/>
        </w:rPr>
        <w:t>式（4.2）表示从候选谱图对集合 Ec 中进一步筛出真正用于聚类合并的边集合 E。数据库条件负责控制候选范围，相似度阈值 τ 负责控制是否连边，两者共同决定最终图结构。</w:t>
      </w:r>
    </w:p>
    <w:p>
      <w:pPr>
        <w:spacing w:lineRule="auto" w:line="360" w:before="0" w:after="0"/>
        <w:ind w:firstLine="420"/>
        <w:jc w:val="both"/>
      </w:pPr>
      <w:r>
        <w:rPr>
          <w:b w:val="0"/>
          <w:i w:val="0"/>
          <w:color w:val="000000"/>
          <w:sz w:val="24"/>
          <w:rFonts w:eastAsia="宋体" w:ascii="Times New Roman" w:hAnsi="Times New Roman"/>
        </w:rPr>
        <w:t>在 TopLib 的检索流程中，候选代表谱图还会进入碎片峰距离计算阶段，对查询谱图前 50 个高强度碎片峰和库代表谱图的代表峰进行 fragment cosine 计算，并选择距离最小的目标或诱饵命中。本研究聚类任务没有目标-诱饵判定，但保留了“候选生成后再做精细碎片峰距离”的思想，因此数据库过滤并不是只依赖单一前体质量字段。</w:t>
      </w:r>
    </w:p>
    <w:p>
      <w:pPr>
        <w:pStyle w:val="3"/>
        <w:jc w:val="left"/>
      </w:pPr>
      <w:r>
        <w:rPr>
          <w:b/>
          <w:i w:val="0"/>
          <w:color w:val="000000"/>
          <w:sz w:val="24"/>
          <w:rFonts w:eastAsia="黑体" w:ascii="Times New Roman" w:hAnsi="Times New Roman"/>
        </w:rPr>
        <w:t>4.3 TopCluster 聚类策略</w:t>
      </w:r>
    </w:p>
    <w:p>
      <w:pPr>
        <w:spacing w:lineRule="auto" w:line="360" w:before="0" w:after="0"/>
        <w:ind w:firstLine="420"/>
        <w:jc w:val="both"/>
      </w:pPr>
      <w:r>
        <w:rPr>
          <w:b w:val="0"/>
          <w:i w:val="0"/>
          <w:color w:val="000000"/>
          <w:sz w:val="24"/>
          <w:rFonts w:eastAsia="宋体" w:ascii="Times New Roman" w:hAnsi="Times New Roman"/>
        </w:rPr>
        <w:t>TopLib 的谱图库构建流程将数据清洗、谱图预处理、分阶段聚类、代表谱图生成、诱饵库生成和数据库写入分开处理。首先，预处理会剔除异常谱图并按强度保留主要碎片峰；随后对碎片峰按质量排序，对强度进行变换和归一化。这个过程说明 TopCluster 的聚类并不是直接对原始峰表做粗糙比较，而是先把谱图压缩成稳定的代表峰表示。</w:t>
      </w:r>
    </w:p>
    <w:p>
      <w:pPr>
        <w:spacing w:lineRule="auto" w:line="360" w:before="0" w:after="0"/>
        <w:ind w:firstLine="420"/>
        <w:jc w:val="both"/>
      </w:pPr>
      <w:r>
        <w:rPr>
          <w:b w:val="0"/>
          <w:i w:val="0"/>
          <w:color w:val="000000"/>
          <w:sz w:val="24"/>
          <w:rFonts w:eastAsia="宋体" w:ascii="Times New Roman" w:hAnsi="Times New Roman"/>
        </w:rPr>
        <w:t>聚类阶段分两层完成。第一层按 precursor_charge 分组，保证初始候选具有一致或相近的前体电荷；第二层在每个荷电组内对 precursor_mass 做层次聚类。只有通过前体电荷和前体质量筛选的谱图，才进入碎片峰距离计算。本研究实现将这一思想简化为数据库候选过滤和相似度连边，便于在可控数据上观察候选压缩效果。</w:t>
      </w:r>
    </w:p>
    <w:p>
      <w:pPr>
        <w:spacing w:lineRule="auto" w:line="360" w:before="0" w:after="0"/>
        <w:ind w:firstLine="420"/>
        <w:jc w:val="both"/>
      </w:pPr>
      <w:r>
        <w:rPr>
          <w:b w:val="0"/>
          <w:i w:val="0"/>
          <w:color w:val="000000"/>
          <w:sz w:val="24"/>
          <w:rFonts w:eastAsia="宋体" w:ascii="Times New Roman" w:hAnsi="Times New Roman"/>
        </w:rPr>
        <w:t>在本研究实现中，候选谱图对通过相似度阈值后被看作图中的边，谱图本身是图节点。只要两个谱图之间存在一条保留边，Union-Find 就将它们合并到同一连通分量；若多个谱图经由中间节点间接连通，也会被划入同一簇。</w:t>
      </w:r>
    </w:p>
    <w:p>
      <w:pPr>
        <w:tabs>
          <w:tab w:pos="4195" w:val="center"/>
          <w:tab w:pos="8617" w:val="right"/>
        </w:tabs>
        <w:spacing w:lineRule="auto" w:line="312" w:before="120" w:after="120"/>
        <w:jc w:val="left"/>
      </w:pPr>
      <w:r>
        <w:tab/>
      </w:r>
      <m:oMathPara>
        <m:oMathParaPr>
          <m:jc m:val="center"/>
        </m:oMathParaPr>
        <m:oMath>
          <m:sSub>
            <m:e>
              <m:r>
                <m:t>y</m:t>
              </m:r>
            </m:e>
            <m:sub>
              <m:r>
                <m:t>i</m:t>
              </m:r>
            </m:sub>
          </m:sSub>
          <m:r>
            <m:rPr>
              <m:sty m:val="p"/>
            </m:rPr>
            <m:t>=</m:t>
          </m:r>
          <m:sSub>
            <m:e>
              <m:r>
                <m:t>y</m:t>
              </m:r>
            </m:e>
            <m:sub>
              <m:r>
                <m:t>j</m:t>
              </m:r>
            </m:sub>
          </m:sSub>
          <m:r>
            <m:rPr>
              <m:sty m:val="p"/>
            </m:rPr>
            <m:t>⇔</m:t>
          </m:r>
          <m:r>
            <m:rPr>
              <m:sty m:val="p"/>
            </m:rPr>
            <m:t>∃</m:t>
          </m:r>
          <m:r>
            <m:t> </m:t>
          </m:r>
          <m:r>
            <m:rPr>
              <m:nor/>
              <m:sty m:val="p"/>
            </m:rPr>
            <m:t>path</m:t>
          </m:r>
          <m:r>
            <m:rPr>
              <m:sty m:val="p"/>
            </m:rPr>
            <m:t>(</m:t>
          </m:r>
          <m:r>
            <m:t>i</m:t>
          </m:r>
          <m:r>
            <m:rPr>
              <m:sty m:val="p"/>
            </m:rPr>
            <m:t>,</m:t>
          </m:r>
          <m:r>
            <m:t>j</m:t>
          </m:r>
          <m:r>
            <m:rPr>
              <m:sty m:val="p"/>
            </m:rPr>
            <m:t>)</m:t>
          </m:r>
          <m:r>
            <m:t> </m:t>
          </m:r>
          <m:r>
            <m:rPr>
              <m:nor/>
              <m:sty m:val="p"/>
            </m:rPr>
            <m:t>in</m:t>
          </m:r>
          <m:r>
            <m:t> </m:t>
          </m:r>
          <m:r>
            <m:t>G</m:t>
          </m:r>
          <m:r>
            <m:rPr>
              <m:sty m:val="p"/>
            </m:rPr>
            <m:t>=</m:t>
          </m:r>
          <m:r>
            <m:rPr>
              <m:sty m:val="p"/>
            </m:rPr>
            <m:t>(</m:t>
          </m:r>
          <m:r>
            <m:t>V</m:t>
          </m:r>
          <m:r>
            <m:rPr>
              <m:sty m:val="p"/>
            </m:rPr>
            <m:t>,</m:t>
          </m:r>
          <m:r>
            <m:t>E</m:t>
          </m:r>
          <m:r>
            <m:rPr>
              <m:sty m:val="p"/>
            </m:rPr>
            <m:t>)</m:t>
          </m:r>
        </m:oMath>
      </m:oMathPara>
      <w:r>
        <w:rPr>
          <w:b w:val="0"/>
          <w:i w:val="0"/>
          <w:color w:val="000000"/>
          <w:sz w:val="24"/>
          <w:rFonts w:eastAsia="宋体" w:ascii="Times New Roman" w:hAnsi="Times New Roman"/>
        </w:rPr>
        <w:tab/>
        <w:t>（4.3）</w:t>
      </w:r>
    </w:p>
    <w:p>
      <w:pPr>
        <w:spacing w:lineRule="auto" w:line="360" w:before="0" w:after="0"/>
        <w:ind w:firstLine="420"/>
        <w:jc w:val="both"/>
      </w:pPr>
      <w:r>
        <w:rPr>
          <w:b w:val="0"/>
          <w:i w:val="0"/>
          <w:color w:val="000000"/>
          <w:sz w:val="24"/>
          <w:rFonts w:eastAsia="宋体" w:ascii="Times New Roman" w:hAnsi="Times New Roman"/>
        </w:rPr>
        <w:t>式（4.3）说明本研究算法的簇标签来自候选相似图的连通关系。只要两条谱图在图 G 中存在路径，它们就被划入同一簇；若不存在路径，则属于不同簇。</w:t>
      </w:r>
    </w:p>
    <w:p>
      <w:pPr>
        <w:jc w:val="center"/>
      </w:pPr>
      <w:r>
        <w:drawing>
          <wp:inline xmlns:a="http://schemas.openxmlformats.org/drawingml/2006/main" xmlns:pic="http://schemas.openxmlformats.org/drawingml/2006/picture">
            <wp:extent cx="5472000" cy="3079636"/>
            <wp:docPr id="17" name="Picture 17"/>
            <wp:cNvGraphicFramePr>
              <a:graphicFrameLocks noChangeAspect="1"/>
            </wp:cNvGraphicFramePr>
            <a:graphic>
              <a:graphicData uri="http://schemas.openxmlformats.org/drawingml/2006/picture">
                <pic:pic>
                  <pic:nvPicPr>
                    <pic:cNvPr id="0" name="candidate_graph_components_imagegen.png"/>
                    <pic:cNvPicPr/>
                  </pic:nvPicPr>
                  <pic:blipFill>
                    <a:blip r:embed="rId22"/>
                    <a:stretch>
                      <a:fillRect/>
                    </a:stretch>
                  </pic:blipFill>
                  <pic:spPr>
                    <a:xfrm>
                      <a:off x="0" y="0"/>
                      <a:ext cx="5472000" cy="3079636"/>
                    </a:xfrm>
                    <a:prstGeom prst="rect"/>
                  </pic:spPr>
                </pic:pic>
              </a:graphicData>
            </a:graphic>
          </wp:inline>
        </w:drawing>
      </w:r>
    </w:p>
    <w:p>
      <w:pPr>
        <w:spacing w:after="120"/>
        <w:jc w:val="center"/>
      </w:pPr>
      <w:r>
        <w:rPr>
          <w:b w:val="0"/>
          <w:i w:val="0"/>
          <w:color w:val="000000"/>
          <w:sz w:val="21"/>
          <w:rFonts w:eastAsia="宋体" w:ascii="Times New Roman" w:hAnsi="Times New Roman"/>
        </w:rPr>
        <w:t>图8 候选相似图与连通分量聚类示意图</w:t>
      </w:r>
    </w:p>
    <w:p>
      <w:pPr>
        <w:spacing w:lineRule="auto" w:line="360" w:before="0" w:after="0"/>
        <w:ind w:firstLine="420"/>
        <w:jc w:val="both"/>
      </w:pPr>
      <w:r>
        <w:rPr>
          <w:b w:val="0"/>
          <w:i w:val="0"/>
          <w:color w:val="000000"/>
          <w:sz w:val="24"/>
          <w:rFonts w:eastAsia="宋体" w:ascii="Times New Roman" w:hAnsi="Times New Roman"/>
        </w:rPr>
        <w:t>这种图式合并方式适合谱图聚类场景，因为同一谱图组内并非每两条谱图都必须高度相似。只要代表性谱图和边界谱图之间存在稳定连接，连通分量就能保留组内结构；同时，数据库过滤和相似度阈值共同限制跨组误连，降低不同真实组被错误合并的风险。</w:t>
      </w:r>
    </w:p>
    <w:p>
      <w:pPr>
        <w:spacing w:lineRule="auto" w:line="360" w:before="0" w:after="0"/>
        <w:ind w:firstLine="420"/>
        <w:jc w:val="both"/>
      </w:pPr>
      <w:r>
        <w:rPr>
          <w:b w:val="0"/>
          <w:i w:val="0"/>
          <w:color w:val="000000"/>
          <w:sz w:val="24"/>
          <w:rFonts w:eastAsia="宋体" w:ascii="Times New Roman" w:hAnsi="Times New Roman"/>
        </w:rPr>
        <w:t>代表谱图生成是 TopCluster 区别于普通聚类算法的重要步骤。若采用 平均代表谱图法，同簇谱图中电荷一致且质量差在 ppm 容差内的碎片峰会被合并，质量采用强度加权平均，强度采用累加后再选取主要峰；前体质量代表值则在同一整数质量偏移桶内按前体强度加权得到。若采用 single 代表法，系统会优先选择鉴定置信度较高的谱图作为代表。</w:t>
      </w:r>
    </w:p>
    <w:p>
      <w:pPr>
        <w:spacing w:lineRule="auto" w:line="360" w:before="0" w:after="0"/>
        <w:ind w:firstLine="420"/>
        <w:jc w:val="both"/>
      </w:pPr>
      <w:r>
        <w:rPr>
          <w:b w:val="0"/>
          <w:i w:val="0"/>
          <w:color w:val="000000"/>
          <w:sz w:val="24"/>
          <w:rFonts w:eastAsia="宋体" w:ascii="Times New Roman" w:hAnsi="Times New Roman"/>
        </w:rPr>
        <w:t>TopLib 还会将目标代表谱图与诱饵代表谱图拼接成 target_decoy_spectra_representatives 表。本研究实验程序没有完整实现诱饵库，但在方法章保留这一说明，是因为它揭示了 TopLib 的工程目标：聚类不是终点，代表谱图还要服务于后续谱图库检索、目标-诱饵判定和蛋白质形态鉴定。本研究算法因此定位为数据库过滤聚类实现，而不是完整 TopLib 的重新实现。</w:t>
      </w:r>
    </w:p>
    <w:p>
      <w:pPr>
        <w:pStyle w:val="3"/>
        <w:jc w:val="left"/>
      </w:pPr>
      <w:r>
        <w:rPr>
          <w:b/>
          <w:i w:val="0"/>
          <w:color w:val="000000"/>
          <w:sz w:val="24"/>
          <w:rFonts w:eastAsia="黑体" w:ascii="Times New Roman" w:hAnsi="Times New Roman"/>
        </w:rPr>
        <w:t>4.4 复杂度分析</w:t>
      </w:r>
    </w:p>
    <w:p>
      <w:pPr>
        <w:spacing w:lineRule="auto" w:line="360" w:before="0" w:after="0"/>
        <w:ind w:firstLine="420"/>
        <w:jc w:val="both"/>
      </w:pPr>
      <w:r>
        <w:rPr>
          <w:b w:val="0"/>
          <w:i w:val="0"/>
          <w:color w:val="000000"/>
          <w:sz w:val="24"/>
          <w:rFonts w:eastAsia="宋体" w:ascii="Times New Roman" w:hAnsi="Times New Roman"/>
        </w:rPr>
        <w:t>设谱图库包含 n 条谱图，每条谱图向量维度为 d，完整两两比较需要 n(n-1)/2 次相似度计算，时间复杂度约为 O(n^2d)。当 n 扩展到数万条时，相似度矩阵不仅计算量大，还会带来明显的内存压力。数据库过滤的目标是把相似度计算限制在候选集合 Ec 上，使主要计算量由完整谱图对数量转为候选谱图对数量。</w:t>
      </w:r>
    </w:p>
    <w:p>
      <w:pPr>
        <w:tabs>
          <w:tab w:pos="4195" w:val="center"/>
          <w:tab w:pos="8617" w:val="right"/>
        </w:tabs>
        <w:spacing w:lineRule="auto" w:line="312" w:before="120" w:after="120"/>
        <w:jc w:val="left"/>
      </w:pPr>
      <w:r>
        <w:tab/>
      </w:r>
      <m:oMathPara>
        <m:oMathParaPr>
          <m:jc m:val="center"/>
        </m:oMathParaPr>
        <m:oMath>
          <m:sSub>
            <m:e>
              <m:r>
                <m:t>T</m:t>
              </m:r>
            </m:e>
            <m:sub>
              <m:r>
                <m:t>f</m:t>
              </m:r>
              <m:r>
                <m:t>i</m:t>
              </m:r>
              <m:r>
                <m:t>l</m:t>
              </m:r>
              <m:r>
                <m:t>t</m:t>
              </m:r>
              <m:r>
                <m:t>e</m:t>
              </m:r>
              <m:r>
                <m:t>r</m:t>
              </m:r>
            </m:sub>
          </m:sSub>
          <m:r>
            <m:rPr>
              <m:sty m:val="p"/>
            </m:rPr>
            <m:t>=</m:t>
          </m:r>
          <m:r>
            <m:t>O</m:t>
          </m:r>
          <m:r>
            <m:rPr>
              <m:sty m:val="p"/>
            </m:rPr>
            <m:t>(</m:t>
          </m:r>
          <m:r>
            <m:t>n</m:t>
          </m:r>
          <m:r>
            <m:rPr>
              <m:sty m:val="p"/>
            </m:rPr>
            <m:t>log</m:t>
          </m:r>
          <m:r>
            <m:t>n</m:t>
          </m:r>
          <m:r>
            <m:rPr>
              <m:sty m:val="p"/>
            </m:rPr>
            <m:t>+</m:t>
          </m:r>
          <m:r>
            <m:rPr>
              <m:sty m:val="p"/>
            </m:rPr>
            <m:t>|</m:t>
          </m:r>
          <m:sSub>
            <m:e>
              <m:r>
                <m:t>E</m:t>
              </m:r>
            </m:e>
            <m:sub>
              <m:r>
                <m:t>c</m:t>
              </m:r>
            </m:sub>
          </m:sSub>
          <m:r>
            <m:rPr>
              <m:sty m:val="p"/>
            </m:rPr>
            <m:t>|</m:t>
          </m:r>
          <m:r>
            <m:t>d</m:t>
          </m:r>
          <m:r>
            <m:rPr>
              <m:sty m:val="p"/>
            </m:rPr>
            <m:t>)</m:t>
          </m:r>
          <m:r>
            <m:rPr>
              <m:sty m:val="p"/>
            </m:rPr>
            <m:t>,</m:t>
          </m:r>
          <m:r>
            <m:t> </m:t>
          </m:r>
          <m:sSub>
            <m:e>
              <m:r>
                <m:t>T</m:t>
              </m:r>
            </m:e>
            <m:sub>
              <m:r>
                <m:t>f</m:t>
              </m:r>
              <m:r>
                <m:t>u</m:t>
              </m:r>
              <m:r>
                <m:t>l</m:t>
              </m:r>
              <m:r>
                <m:t>l</m:t>
              </m:r>
            </m:sub>
          </m:sSub>
          <m:r>
            <m:rPr>
              <m:sty m:val="p"/>
            </m:rPr>
            <m:t>=</m:t>
          </m:r>
          <m:r>
            <m:t>O</m:t>
          </m:r>
          <m:d>
            <m:dPr>
              <m:begChr m:val="("/>
              <m:sepChr m:val=""/>
              <m:endChr m:val=")"/>
              <m:grow/>
            </m:dPr>
            <m:e>
              <m:f>
                <m:fPr>
                  <m:type m:val="bar"/>
                </m:fPr>
                <m:num>
                  <m:r>
                    <m:t>n</m:t>
                  </m:r>
                  <m:r>
                    <m:rPr>
                      <m:sty m:val="p"/>
                    </m:rPr>
                    <m:t>(</m:t>
                  </m:r>
                  <m:r>
                    <m:t>n</m:t>
                  </m:r>
                  <m:r>
                    <m:rPr>
                      <m:sty m:val="p"/>
                    </m:rPr>
                    <m:t>−</m:t>
                  </m:r>
                  <m:r>
                    <m:t>1</m:t>
                  </m:r>
                  <m:r>
                    <m:rPr>
                      <m:sty m:val="p"/>
                    </m:rPr>
                    <m:t>)</m:t>
                  </m:r>
                </m:num>
                <m:den>
                  <m:r>
                    <m:t>2</m:t>
                  </m:r>
                </m:den>
              </m:f>
              <m:r>
                <m:t>d</m:t>
              </m:r>
            </m:e>
          </m:d>
        </m:oMath>
      </m:oMathPara>
      <w:r>
        <w:rPr>
          <w:b w:val="0"/>
          <w:i w:val="0"/>
          <w:color w:val="000000"/>
          <w:sz w:val="24"/>
          <w:rFonts w:eastAsia="宋体" w:ascii="Times New Roman" w:hAnsi="Times New Roman"/>
        </w:rPr>
        <w:tab/>
        <w:t>（4.4）</w:t>
      </w:r>
    </w:p>
    <w:p>
      <w:pPr>
        <w:spacing w:lineRule="auto" w:line="360" w:before="0" w:after="0"/>
        <w:ind w:firstLine="420"/>
        <w:jc w:val="both"/>
      </w:pPr>
      <w:r>
        <w:rPr>
          <w:b w:val="0"/>
          <w:i w:val="0"/>
          <w:color w:val="000000"/>
          <w:sz w:val="24"/>
          <w:rFonts w:eastAsia="宋体" w:ascii="Times New Roman" w:hAnsi="Times New Roman"/>
        </w:rPr>
        <w:t>式（4.4）中，n log n 表示索引建立、排序或数据库检索带来的近似开销，|Ec|d 表示候选谱图对上的相似度计算。当过滤条件有效时，|Ec| 远小于 n(n-1)/2，算法的主要收益来自减少无效相似度计算，而不是减少单次相似度计算的成本。</w:t>
      </w:r>
    </w:p>
    <w:p>
      <w:pPr>
        <w:tabs>
          <w:tab w:pos="4195" w:val="center"/>
          <w:tab w:pos="8617" w:val="right"/>
        </w:tabs>
        <w:spacing w:lineRule="auto" w:line="312" w:before="120" w:after="120"/>
        <w:jc w:val="left"/>
      </w:pPr>
      <w:r>
        <w:tab/>
      </w:r>
      <m:oMathPara>
        <m:oMathParaPr>
          <m:jc m:val="center"/>
        </m:oMathParaPr>
        <m:oMath>
          <m:sSub>
            <m:e>
              <m:r>
                <m:t>M</m:t>
              </m:r>
            </m:e>
            <m:sub>
              <m:r>
                <m:t>f</m:t>
              </m:r>
              <m:r>
                <m:t>i</m:t>
              </m:r>
              <m:r>
                <m:t>l</m:t>
              </m:r>
              <m:r>
                <m:t>t</m:t>
              </m:r>
              <m:r>
                <m:t>e</m:t>
              </m:r>
              <m:r>
                <m:t>r</m:t>
              </m:r>
            </m:sub>
          </m:sSub>
          <m:r>
            <m:rPr>
              <m:sty m:val="p"/>
            </m:rPr>
            <m:t>=</m:t>
          </m:r>
          <m:r>
            <m:t>O</m:t>
          </m:r>
          <m:r>
            <m:rPr>
              <m:sty m:val="p"/>
            </m:rPr>
            <m:t>(</m:t>
          </m:r>
          <m:r>
            <m:t>n</m:t>
          </m:r>
          <m:r>
            <m:rPr>
              <m:sty m:val="p"/>
            </m:rPr>
            <m:t>+</m:t>
          </m:r>
          <m:r>
            <m:rPr>
              <m:sty m:val="p"/>
            </m:rPr>
            <m:t>|</m:t>
          </m:r>
          <m:sSub>
            <m:e>
              <m:r>
                <m:t>E</m:t>
              </m:r>
            </m:e>
            <m:sub>
              <m:r>
                <m:t>c</m:t>
              </m:r>
            </m:sub>
          </m:sSub>
          <m:r>
            <m:rPr>
              <m:sty m:val="p"/>
            </m:rPr>
            <m:t>|</m:t>
          </m:r>
          <m:r>
            <m:rPr>
              <m:sty m:val="p"/>
            </m:rPr>
            <m:t>)</m:t>
          </m:r>
          <m:r>
            <m:rPr>
              <m:sty m:val="p"/>
            </m:rPr>
            <m:t>,</m:t>
          </m:r>
          <m:r>
            <m:t> </m:t>
          </m:r>
          <m:sSub>
            <m:e>
              <m:r>
                <m:t>M</m:t>
              </m:r>
            </m:e>
            <m:sub>
              <m:r>
                <m:t>f</m:t>
              </m:r>
              <m:r>
                <m:t>u</m:t>
              </m:r>
              <m:r>
                <m:t>l</m:t>
              </m:r>
              <m:r>
                <m:t>l</m:t>
              </m:r>
            </m:sub>
          </m:sSub>
          <m:r>
            <m:rPr>
              <m:sty m:val="p"/>
            </m:rPr>
            <m:t>=</m:t>
          </m:r>
          <m:r>
            <m:t>O</m:t>
          </m:r>
          <m:r>
            <m:rPr>
              <m:sty m:val="p"/>
            </m:rPr>
            <m:t>(</m:t>
          </m:r>
          <m:sSup>
            <m:e>
              <m:r>
                <m:t>n</m:t>
              </m:r>
            </m:e>
            <m:sup>
              <m:r>
                <m:t>2</m:t>
              </m:r>
            </m:sup>
          </m:sSup>
          <m:r>
            <m:rPr>
              <m:sty m:val="p"/>
            </m:rPr>
            <m:t>)</m:t>
          </m:r>
        </m:oMath>
      </m:oMathPara>
      <w:r>
        <w:rPr>
          <w:b w:val="0"/>
          <w:i w:val="0"/>
          <w:color w:val="000000"/>
          <w:sz w:val="24"/>
          <w:rFonts w:eastAsia="宋体" w:ascii="Times New Roman" w:hAnsi="Times New Roman"/>
        </w:rPr>
        <w:tab/>
        <w:t>（4.5）</w:t>
      </w:r>
    </w:p>
    <w:p>
      <w:pPr>
        <w:spacing w:lineRule="auto" w:line="360" w:before="0" w:after="0"/>
        <w:ind w:firstLine="420"/>
        <w:jc w:val="both"/>
      </w:pPr>
      <w:r>
        <w:rPr>
          <w:b w:val="0"/>
          <w:i w:val="0"/>
          <w:color w:val="000000"/>
          <w:sz w:val="24"/>
          <w:rFonts w:eastAsia="宋体" w:ascii="Times New Roman" w:hAnsi="Times New Roman"/>
        </w:rPr>
        <w:t>式（4.5）从空间角度说明候选过滤的作用。完整相似度矩阵需要保存近似 n² 级关系，而数据库过滤聚类只需保存谱图节点、候选边和必要查询结果，因此更适合后续向较大谱图库扩展。</w:t>
      </w:r>
    </w:p>
    <w:p>
      <w:pPr>
        <w:spacing w:lineRule="auto" w:line="360" w:before="0" w:after="0"/>
        <w:ind w:firstLine="420"/>
        <w:jc w:val="both"/>
      </w:pPr>
      <w:r>
        <w:rPr>
          <w:b w:val="0"/>
          <w:i w:val="0"/>
          <w:color w:val="000000"/>
          <w:sz w:val="24"/>
          <w:rFonts w:eastAsia="宋体" w:ascii="Times New Roman" w:hAnsi="Times New Roman"/>
        </w:rPr>
        <w:t>TopCluster 的官方流程也体现了同样思想。按 precursor_charge 分组和按 precursor_mass 完全链接聚类，相当于先把全局谱图库拆成多个较小候选块；随后只在前体质量簇内计算前 50 个碎片峰距离。本研究实验程序虽然使用更轻量的 SQL 候选查询和连通分量合并，但复杂度优势来源一致：把“全部谱图两两相似”转化为“候选谱图局部相似”。</w:t>
      </w:r>
    </w:p>
    <w:p>
      <w:pPr>
        <w:spacing w:lineRule="auto" w:line="360" w:before="0" w:after="0"/>
        <w:ind w:firstLine="420"/>
        <w:jc w:val="both"/>
      </w:pPr>
      <w:r>
        <w:rPr>
          <w:b w:val="0"/>
          <w:i w:val="0"/>
          <w:color w:val="000000"/>
          <w:sz w:val="24"/>
          <w:rFonts w:eastAsia="宋体" w:ascii="Times New Roman" w:hAnsi="Times New Roman"/>
        </w:rPr>
        <w:t>数据库查询本身并非没有成本。当前实验使用 SQLite，在小规模数据上固定查询开销可能使绝对运行时间不一定最低；但在谱图库扩展场景中，前体质量、荷电状态和峰桶字段都可以建立索引或倒排表，候选数量增长速度通常低于完整两两比较。在完整 TopLib 数据库场景中，可进一步把代表谱图表中的 mass_0 至 mass_49 展开为碎片峰倒排索引，以降低候选查询阶段的扫描成本。</w:t>
      </w:r>
    </w:p>
    <w:p>
      <w:pPr>
        <w:pStyle w:val="2"/>
        <w:pageBreakBefore/>
        <w:jc w:val="center"/>
      </w:pPr>
      <w:r>
        <w:rPr>
          <w:b/>
          <w:i w:val="0"/>
          <w:color w:val="000000"/>
          <w:sz w:val="32"/>
          <w:rFonts w:eastAsia="黑体" w:ascii="Times New Roman" w:hAnsi="Times New Roman"/>
        </w:rPr>
        <w:t>第5章 系统实现</w:t>
      </w:r>
    </w:p>
    <w:p>
      <w:pPr>
        <w:pStyle w:val="3"/>
        <w:jc w:val="left"/>
      </w:pPr>
      <w:r>
        <w:rPr>
          <w:b/>
          <w:i w:val="0"/>
          <w:color w:val="000000"/>
          <w:sz w:val="24"/>
          <w:rFonts w:eastAsia="黑体" w:ascii="Times New Roman" w:hAnsi="Times New Roman"/>
        </w:rPr>
        <w:t>5.1 实验程序结构</w:t>
      </w:r>
    </w:p>
    <w:p>
      <w:pPr>
        <w:spacing w:lineRule="auto" w:line="360" w:before="0" w:after="0"/>
        <w:ind w:firstLine="420"/>
        <w:jc w:val="both"/>
      </w:pPr>
      <w:r>
        <w:rPr>
          <w:b w:val="0"/>
          <w:i w:val="0"/>
          <w:color w:val="000000"/>
          <w:sz w:val="24"/>
          <w:rFonts w:eastAsia="宋体" w:ascii="Times New Roman" w:hAnsi="Times New Roman"/>
        </w:rPr>
        <w:t>本研究实验程序围绕 TopLib 论文数据可用性声明中的 PRIDE 数据展开，主要包括公开数据校验、msalign 解析、TopPIC 标注读取、SQLite 入库、数据库候选过滤、碎片峰相似度计算、连通分量聚类和结果核对等模块。程序入口为 run_experiment.py，运行后读取 PXD019368 的谱图文件，并完成谱图读取、标注匹配、候选过滤、聚类合并和指标计算。</w:t>
      </w:r>
    </w:p>
    <w:p>
      <w:pPr>
        <w:spacing w:lineRule="auto" w:line="360" w:before="0" w:after="0"/>
        <w:ind w:firstLine="420"/>
        <w:jc w:val="both"/>
      </w:pPr>
      <w:r>
        <w:rPr>
          <w:b w:val="0"/>
          <w:i w:val="0"/>
          <w:color w:val="000000"/>
          <w:sz w:val="24"/>
          <w:rFonts w:eastAsia="宋体" w:ascii="Times New Roman" w:hAnsi="Times New Roman"/>
        </w:rPr>
        <w:t>实验过程中保留候选对数量、保留边数量、聚类标签和评价指标等中间结果，便于复核第六章中的质量分析和效率分析。</w:t>
      </w:r>
    </w:p>
    <w:p>
      <w:pPr>
        <w:pStyle w:val="3"/>
        <w:jc w:val="left"/>
      </w:pPr>
      <w:r>
        <w:rPr>
          <w:b/>
          <w:i w:val="0"/>
          <w:color w:val="000000"/>
          <w:sz w:val="24"/>
          <w:rFonts w:eastAsia="黑体" w:ascii="Times New Roman" w:hAnsi="Times New Roman"/>
        </w:rPr>
        <w:t>5.2 谱图读取与入库实现</w:t>
      </w:r>
    </w:p>
    <w:p>
      <w:pPr>
        <w:spacing w:lineRule="auto" w:line="360" w:before="0" w:after="0"/>
        <w:ind w:firstLine="420"/>
        <w:jc w:val="both"/>
      </w:pPr>
      <w:r>
        <w:rPr>
          <w:b w:val="0"/>
          <w:i w:val="0"/>
          <w:color w:val="000000"/>
          <w:sz w:val="24"/>
          <w:rFonts w:eastAsia="宋体" w:ascii="Times New Roman" w:hAnsi="Times New Roman"/>
        </w:rPr>
        <w:t>实验数据来自 PRIDE PXD019368。程序共读取 31 个 msalign 文件和 31 个 TopPIC 输出表。msalign 文件提供谱图编号、扫描号、前体质量、荷电状态和碎片峰列表；OUTPUT_TABLE 文件提供蛋白名称、残基范围、调整前体质量、荷电状态和蛋白质形态标注。二者通过文件名和 Spectrum ID 对齐后，得到 4,480 条可用于评价的谱图。</w:t>
      </w:r>
    </w:p>
    <w:p>
      <w:pPr>
        <w:tabs>
          <w:tab w:pos="4195" w:val="center"/>
          <w:tab w:pos="8617" w:val="right"/>
        </w:tabs>
        <w:spacing w:lineRule="auto" w:line="312" w:before="120" w:after="120"/>
        <w:jc w:val="left"/>
      </w:pPr>
      <w:r>
        <w:tab/>
      </w:r>
      <m:oMathPara>
        <m:oMathParaPr>
          <m:jc m:val="center"/>
        </m:oMathParaPr>
        <m:oMath>
          <m:sSub>
            <m:e>
              <m:r>
                <m:t>g</m:t>
              </m:r>
            </m:e>
            <m:sub>
              <m:r>
                <m:t>i</m:t>
              </m:r>
            </m:sub>
          </m:sSub>
          <m:r>
            <m:rPr>
              <m:sty m:val="p"/>
            </m:rPr>
            <m:t>=</m:t>
          </m:r>
          <m:d>
            <m:dPr>
              <m:begChr m:val="("/>
              <m:sepChr m:val=""/>
              <m:endChr m:val=")"/>
              <m:grow/>
            </m:dPr>
            <m:e>
              <m:sSub>
                <m:e>
                  <m:r>
                    <m:t>p</m:t>
                  </m:r>
                </m:e>
                <m:sub>
                  <m:r>
                    <m:t>i</m:t>
                  </m:r>
                </m:sub>
              </m:sSub>
              <m:r>
                <m:rPr>
                  <m:sty m:val="p"/>
                </m:rPr>
                <m:t>,</m:t>
              </m:r>
              <m:sSubSup>
                <m:e>
                  <m:r>
                    <m:t>r</m:t>
                  </m:r>
                </m:e>
                <m:sub>
                  <m:r>
                    <m:t>i</m:t>
                  </m:r>
                </m:sub>
                <m:sup>
                  <m:r>
                    <m:t>s</m:t>
                  </m:r>
                  <m:r>
                    <m:t>t</m:t>
                  </m:r>
                  <m:r>
                    <m:t>a</m:t>
                  </m:r>
                  <m:r>
                    <m:t>r</m:t>
                  </m:r>
                  <m:r>
                    <m:t>t</m:t>
                  </m:r>
                </m:sup>
              </m:sSubSup>
              <m:r>
                <m:rPr>
                  <m:sty m:val="p"/>
                </m:rPr>
                <m:t>,</m:t>
              </m:r>
              <m:sSubSup>
                <m:e>
                  <m:r>
                    <m:t>r</m:t>
                  </m:r>
                </m:e>
                <m:sub>
                  <m:r>
                    <m:t>i</m:t>
                  </m:r>
                </m:sub>
                <m:sup>
                  <m:r>
                    <m:t>e</m:t>
                  </m:r>
                  <m:r>
                    <m:t>n</m:t>
                  </m:r>
                  <m:r>
                    <m:t>d</m:t>
                  </m:r>
                </m:sup>
              </m:sSubSup>
              <m:r>
                <m:rPr>
                  <m:sty m:val="p"/>
                </m:rPr>
                <m:t>,</m:t>
              </m:r>
              <m:r>
                <m:rPr>
                  <m:sty m:val="p"/>
                </m:rPr>
                <m:t>round</m:t>
              </m:r>
              <m:d>
                <m:dPr>
                  <m:begChr m:val="("/>
                  <m:sepChr m:val=""/>
                  <m:endChr m:val=")"/>
                  <m:grow/>
                </m:dPr>
                <m:e>
                  <m:f>
                    <m:fPr>
                      <m:type m:val="bar"/>
                    </m:fPr>
                    <m:num>
                      <m:sSub>
                        <m:e>
                          <m:acc>
                            <m:accPr>
                              <m:chr m:val="̃"/>
                            </m:accPr>
                            <m:e>
                              <m:r>
                                <m:t>m</m:t>
                              </m:r>
                            </m:e>
                          </m:acc>
                        </m:e>
                        <m:sub>
                          <m:r>
                            <m:t>i</m:t>
                          </m:r>
                        </m:sub>
                      </m:sSub>
                    </m:num>
                    <m:den>
                      <m:r>
                        <m:t>2.2</m:t>
                      </m:r>
                    </m:den>
                  </m:f>
                </m:e>
              </m:d>
              <m:r>
                <m:rPr>
                  <m:sty m:val="p"/>
                </m:rPr>
                <m:t>,</m:t>
              </m:r>
              <m:sSub>
                <m:e>
                  <m:r>
                    <m:t>z</m:t>
                  </m:r>
                </m:e>
                <m:sub>
                  <m:r>
                    <m:t>i</m:t>
                  </m:r>
                </m:sub>
              </m:sSub>
            </m:e>
          </m:d>
        </m:oMath>
      </m:oMathPara>
      <w:r>
        <w:rPr>
          <w:b w:val="0"/>
          <w:i w:val="0"/>
          <w:color w:val="000000"/>
          <w:sz w:val="24"/>
          <w:rFonts w:eastAsia="宋体" w:ascii="Times New Roman" w:hAnsi="Times New Roman"/>
        </w:rPr>
        <w:tab/>
        <w:t>（5.1）</w:t>
      </w:r>
    </w:p>
    <w:p>
      <w:pPr>
        <w:spacing w:lineRule="auto" w:line="360" w:before="0" w:after="0"/>
        <w:ind w:firstLine="420"/>
        <w:jc w:val="both"/>
      </w:pPr>
      <w:r>
        <w:rPr>
          <w:b w:val="0"/>
          <w:i w:val="0"/>
          <w:color w:val="000000"/>
          <w:sz w:val="24"/>
          <w:rFonts w:eastAsia="宋体" w:ascii="Times New Roman" w:hAnsi="Times New Roman"/>
        </w:rPr>
        <w:t>式（5.1）给出了参考标注组的构造方式。程序使用蛋白标识、起止残基、调整前体质量所在 2.2 Da 区间和荷电状态共同定义标注组。这样做与 TopLib 对前体质量误差和荷电状态的处理逻辑一致，也能避免只按蛋白名称分组导致不同蛋白质形态被误合并。</w:t>
      </w:r>
    </w:p>
    <w:p>
      <w:pPr>
        <w:spacing w:lineRule="auto" w:line="360" w:before="0" w:after="0"/>
        <w:ind w:firstLine="420"/>
        <w:jc w:val="both"/>
      </w:pPr>
      <w:r>
        <w:rPr>
          <w:b w:val="0"/>
          <w:i w:val="0"/>
          <w:color w:val="000000"/>
          <w:sz w:val="24"/>
          <w:rFonts w:eastAsia="宋体" w:ascii="Times New Roman" w:hAnsi="Times New Roman"/>
        </w:rPr>
        <w:t>入库阶段创建 spectrum 与 peak 两类核心表。spectrum 表保存谱图来源文件、谱图编号、扫描号、前体质量、前体荷电状态、蛋白标识和标注组；peak 表保存每条谱图前 50 个高强度碎片峰的质量、归一化强度和碎片电荷。程序同时建立 idx_spectrum_precursor 与 idx_peak_row 索引，使候选过滤和峰列表读取都能被复查。</w:t>
      </w:r>
    </w:p>
    <w:p>
      <w:pPr>
        <w:pStyle w:val="3"/>
        <w:jc w:val="left"/>
      </w:pPr>
      <w:r>
        <w:rPr>
          <w:b/>
          <w:i w:val="0"/>
          <w:color w:val="000000"/>
          <w:sz w:val="24"/>
          <w:rFonts w:eastAsia="黑体" w:ascii="Times New Roman" w:hAnsi="Times New Roman"/>
        </w:rPr>
        <w:t>5.3 算法模块实现</w:t>
      </w:r>
    </w:p>
    <w:p>
      <w:pPr>
        <w:spacing w:lineRule="auto" w:line="360" w:before="0" w:after="0"/>
        <w:ind w:firstLine="420"/>
        <w:jc w:val="both"/>
      </w:pPr>
      <w:r>
        <w:rPr>
          <w:b w:val="0"/>
          <w:i w:val="0"/>
          <w:color w:val="000000"/>
          <w:sz w:val="24"/>
          <w:rFonts w:eastAsia="宋体" w:ascii="Times New Roman" w:hAnsi="Times New Roman"/>
        </w:rPr>
        <w:t>候选过滤模块按荷电状态对谱图分组，并在同一荷电状态内按照前体质量排序。对每条谱图，程序只向后扫描前体质量差不超过 2.2 Da 的谱图，从而生成候选谱图对。该步骤等价于在数据库层面对前体质量和荷电状态建立局部候选块，避免在全部谱图对上计算碎片峰相似度。</w:t>
      </w:r>
    </w:p>
    <w:p>
      <w:pPr>
        <w:spacing w:lineRule="auto" w:line="360" w:before="0" w:after="0"/>
        <w:ind w:firstLine="420"/>
        <w:jc w:val="both"/>
      </w:pPr>
      <w:r>
        <w:rPr>
          <w:b w:val="0"/>
          <w:i w:val="0"/>
          <w:color w:val="000000"/>
          <w:sz w:val="24"/>
          <w:rFonts w:eastAsia="宋体" w:ascii="Times New Roman" w:hAnsi="Times New Roman"/>
        </w:rPr>
        <w:t>碎片峰相似度模块对每条谱图保留前 50 个高强度峰，并对强度进行对数变换和 L2 归一化。两条候选谱图比较时，程序在 10 ppm 质量容差内匹配碎片峰，并要求碎片峰电荷一致。匹配峰的归一化强度乘积累加后得到余弦相似度；相似度达到阈值的候选对被视为图中的边。</w:t>
      </w:r>
    </w:p>
    <w:p>
      <w:pPr>
        <w:spacing w:lineRule="auto" w:line="360" w:before="0" w:after="0"/>
        <w:ind w:firstLine="420"/>
        <w:jc w:val="both"/>
      </w:pPr>
      <w:r>
        <w:rPr>
          <w:b w:val="0"/>
          <w:i w:val="0"/>
          <w:color w:val="000000"/>
          <w:sz w:val="24"/>
          <w:rFonts w:eastAsia="宋体" w:ascii="Times New Roman" w:hAnsi="Times New Roman"/>
        </w:rPr>
        <w:t>聚类模块使用 Union-Find 维护连通分量。若两条谱图之间存在保留边，则它们被合并到同一连通分量；若多条谱图通过中间节点间接连通，也会被归为同一簇。该策略与谱图库去冗余任务相匹配，因为同一蛋白质形态的谱图可能并非两两都强相似，但通常可以通过若干高质量谱图建立连接。</w:t>
      </w:r>
    </w:p>
    <w:p>
      <w:pPr>
        <w:pStyle w:val="3"/>
        <w:jc w:val="left"/>
      </w:pPr>
      <w:r>
        <w:rPr>
          <w:b/>
          <w:i w:val="0"/>
          <w:color w:val="000000"/>
          <w:sz w:val="24"/>
          <w:rFonts w:eastAsia="黑体" w:ascii="Times New Roman" w:hAnsi="Times New Roman"/>
        </w:rPr>
        <w:t>5.4 结果记录实现</w:t>
      </w:r>
    </w:p>
    <w:p>
      <w:pPr>
        <w:spacing w:lineRule="auto" w:line="360" w:before="0" w:after="0"/>
        <w:ind w:firstLine="420"/>
        <w:jc w:val="both"/>
      </w:pPr>
      <w:r>
        <w:rPr>
          <w:b w:val="0"/>
          <w:i w:val="0"/>
          <w:color w:val="000000"/>
          <w:sz w:val="24"/>
          <w:rFonts w:eastAsia="宋体" w:ascii="Times New Roman" w:hAnsi="Times New Roman"/>
        </w:rPr>
        <w:t>结果记录分为数据集统计、聚类指标和参数敏感性三类。数据集统计记录谱图总数、评价谱图数和参考标注组数；聚类指标记录不同算法设置下的 ARI、NMI、错误聚类率和保留边数量；参数敏感性记录不同碎片峰相似度阈值对候选边和聚类质量的影响。</w:t>
      </w:r>
    </w:p>
    <w:p>
      <w:pPr>
        <w:spacing w:lineRule="auto" w:line="360" w:before="0" w:after="0"/>
        <w:ind w:firstLine="420"/>
        <w:jc w:val="both"/>
      </w:pPr>
      <w:r>
        <w:rPr>
          <w:b w:val="0"/>
          <w:i w:val="0"/>
          <w:color w:val="000000"/>
          <w:sz w:val="24"/>
          <w:rFonts w:eastAsia="宋体" w:ascii="Times New Roman" w:hAnsi="Times New Roman"/>
        </w:rPr>
        <w:t>这些记录用于比较聚类质量、候选空间压缩、运行开销、阈值敏感性、簇规模分布、候选对相似度分布以及前体质量-荷电状态分布。</w:t>
      </w:r>
    </w:p>
    <w:p>
      <w:pPr>
        <w:spacing w:lineRule="auto" w:line="360" w:before="0" w:after="0"/>
        <w:ind w:firstLine="420"/>
        <w:jc w:val="both"/>
      </w:pPr>
      <w:r>
        <w:rPr>
          <w:b w:val="0"/>
          <w:i w:val="0"/>
          <w:color w:val="000000"/>
          <w:sz w:val="24"/>
          <w:rFonts w:eastAsia="宋体" w:ascii="Times New Roman" w:hAnsi="Times New Roman"/>
        </w:rPr>
        <w:t>PXD029703 的完整 SW480 数据在 PRIDE 中以 RAW 文件公开，单个文件数百 MB，总量约 70 GB。该数据需要先完成 RAW 转换、去卷积和 TopPIC 搜索，才能获得可用于聚类评价的 msalign 谱图和鉴定表。本研究因此采用同一 TopLib 数据可用性声明中的 PXD019368 预处理数据进行实验，并保留 PXD029703 的 SW480 RAW 样本用于来源核对。</w:t>
      </w:r>
    </w:p>
    <w:p>
      <w:pPr>
        <w:pStyle w:val="2"/>
        <w:pageBreakBefore/>
        <w:jc w:val="center"/>
      </w:pPr>
      <w:r>
        <w:rPr>
          <w:b/>
          <w:i w:val="0"/>
          <w:color w:val="000000"/>
          <w:sz w:val="32"/>
          <w:rFonts w:eastAsia="黑体" w:ascii="Times New Roman" w:hAnsi="Times New Roman"/>
        </w:rPr>
        <w:t>第6章 实验测试与结果分析</w:t>
      </w:r>
    </w:p>
    <w:p>
      <w:pPr>
        <w:pStyle w:val="3"/>
        <w:jc w:val="left"/>
      </w:pPr>
      <w:r>
        <w:rPr>
          <w:b/>
          <w:i w:val="0"/>
          <w:color w:val="000000"/>
          <w:sz w:val="24"/>
          <w:rFonts w:eastAsia="黑体" w:ascii="Times New Roman" w:hAnsi="Times New Roman"/>
        </w:rPr>
        <w:t>6.1 实验环境与数据设置</w:t>
      </w:r>
    </w:p>
    <w:p>
      <w:pPr>
        <w:spacing w:lineRule="auto" w:line="360" w:before="0" w:after="0"/>
        <w:ind w:firstLine="420"/>
        <w:jc w:val="both"/>
      </w:pPr>
      <w:r>
        <w:rPr>
          <w:b w:val="0"/>
          <w:i w:val="0"/>
          <w:color w:val="000000"/>
          <w:sz w:val="24"/>
          <w:rFonts w:eastAsia="宋体" w:ascii="Times New Roman" w:hAnsi="Times New Roman"/>
        </w:rPr>
        <w:t>实验在本地 Python 环境中完成，主要使用 SQLite、标准库和 PIL 完成数据解析、候选过滤、聚类评价和结果可视化。数据集来自 PRIDE PXD019368，共包含 31 个 msalign 文件、27,475 条谱图和 31 个 TopPIC 输出表。经谱图编号和搜索结果对齐后，本研究使用 4,480 条具有鉴定标注的谱图作为评价对象，对应 2,505 个标注组。</w:t>
      </w:r>
    </w:p>
    <w:p>
      <w:pPr>
        <w:spacing w:after="120"/>
        <w:jc w:val="center"/>
      </w:pPr>
      <w:r>
        <w:rPr>
          <w:b w:val="0"/>
          <w:i w:val="0"/>
          <w:color w:val="000000"/>
          <w:sz w:val="21"/>
          <w:rFonts w:eastAsia="宋体" w:ascii="Times New Roman" w:hAnsi="Times New Roman"/>
        </w:rPr>
        <w:t>表3 实验数据与参数设置</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8" w:space="0" w:color="000000"/>
          <w:right w:val="nil" w:sz="8" w:space="0" w:color="000000"/>
          <w:insideV w:val="nil" w:sz="8" w:space="0" w:color="000000"/>
          <w:insideH w:val="nil" w:sz="8" w:space="0" w:color="000000"/>
        </w:tblBorders>
      </w:tblPr>
      <w:tblGrid>
        <w:gridCol w:w="2551"/>
        <w:gridCol w:w="6236"/>
      </w:tblGrid>
      <w:tr>
        <w:tc>
          <w:tcPr>
            <w:tcW w:type="dxa" w:w="4156"/>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项目</w:t>
            </w:r>
          </w:p>
        </w:tc>
        <w:tc>
          <w:tcPr>
            <w:tcW w:type="dxa" w:w="4156"/>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设置</w:t>
            </w:r>
          </w:p>
        </w:tc>
      </w:tr>
      <w:tr>
        <w:tc>
          <w:tcPr>
            <w:tcW w:type="dxa" w:w="2551"/>
            <w:vAlign w:val="center"/>
          </w:tcPr>
          <w:p>
            <w:pPr>
              <w:spacing w:lineRule="auto" w:line="288" w:before="0" w:after="0"/>
              <w:jc w:val="center"/>
            </w:pPr>
            <w:r/>
            <w:r>
              <w:rPr>
                <w:b w:val="0"/>
                <w:i w:val="0"/>
                <w:color w:val="000000"/>
                <w:sz w:val="21"/>
                <w:rFonts w:eastAsia="宋体" w:ascii="Times New Roman" w:hAnsi="Times New Roman"/>
              </w:rPr>
              <w:t>数据来源</w:t>
            </w:r>
          </w:p>
        </w:tc>
        <w:tc>
          <w:tcPr>
            <w:tcW w:type="dxa" w:w="6236"/>
            <w:vAlign w:val="center"/>
          </w:tcPr>
          <w:p>
            <w:pPr>
              <w:spacing w:lineRule="auto" w:line="288" w:before="0" w:after="0"/>
              <w:jc w:val="left"/>
            </w:pPr>
            <w:r/>
            <w:r>
              <w:rPr>
                <w:b w:val="0"/>
                <w:i w:val="0"/>
                <w:color w:val="000000"/>
                <w:sz w:val="21"/>
                <w:rFonts w:eastAsia="宋体" w:ascii="Times New Roman" w:hAnsi="Times New Roman"/>
              </w:rPr>
              <w:t>PRIDE PXD019368（TopLib 论文数据可用性声明中的公开数据集）</w:t>
            </w:r>
          </w:p>
        </w:tc>
      </w:tr>
      <w:tr>
        <w:tc>
          <w:tcPr>
            <w:tcW w:type="dxa" w:w="2551"/>
            <w:vAlign w:val="center"/>
          </w:tcPr>
          <w:p>
            <w:pPr>
              <w:spacing w:lineRule="auto" w:line="288" w:before="0" w:after="0"/>
              <w:jc w:val="center"/>
            </w:pPr>
            <w:r/>
            <w:r>
              <w:rPr>
                <w:b w:val="0"/>
                <w:i w:val="0"/>
                <w:color w:val="000000"/>
                <w:sz w:val="21"/>
                <w:rFonts w:eastAsia="宋体" w:ascii="Times New Roman" w:hAnsi="Times New Roman"/>
              </w:rPr>
              <w:t>已归档 SW480 样本</w:t>
            </w:r>
          </w:p>
        </w:tc>
        <w:tc>
          <w:tcPr>
            <w:tcW w:type="dxa" w:w="6236"/>
            <w:vAlign w:val="center"/>
          </w:tcPr>
          <w:p>
            <w:pPr>
              <w:spacing w:lineRule="auto" w:line="288" w:before="0" w:after="0"/>
              <w:jc w:val="left"/>
            </w:pPr>
            <w:r/>
            <w:r>
              <w:rPr>
                <w:b w:val="0"/>
                <w:i w:val="0"/>
                <w:color w:val="000000"/>
                <w:sz w:val="21"/>
                <w:rFonts w:eastAsia="宋体" w:ascii="Times New Roman" w:hAnsi="Times New Roman"/>
              </w:rPr>
              <w:t>PXD029703/CRC_SW480_SEC4_RPLC1.raw</w:t>
            </w:r>
          </w:p>
        </w:tc>
      </w:tr>
      <w:tr>
        <w:tc>
          <w:tcPr>
            <w:tcW w:type="dxa" w:w="2551"/>
            <w:vAlign w:val="center"/>
          </w:tcPr>
          <w:p>
            <w:pPr>
              <w:spacing w:lineRule="auto" w:line="288" w:before="0" w:after="0"/>
              <w:jc w:val="center"/>
            </w:pPr>
            <w:r/>
            <w:r>
              <w:rPr>
                <w:b w:val="0"/>
                <w:i w:val="0"/>
                <w:color w:val="000000"/>
                <w:sz w:val="21"/>
                <w:rFonts w:eastAsia="宋体" w:ascii="Times New Roman" w:hAnsi="Times New Roman"/>
              </w:rPr>
              <w:t>msalign 文件数</w:t>
            </w:r>
          </w:p>
        </w:tc>
        <w:tc>
          <w:tcPr>
            <w:tcW w:type="dxa" w:w="6236"/>
            <w:vAlign w:val="center"/>
          </w:tcPr>
          <w:p>
            <w:pPr>
              <w:spacing w:lineRule="auto" w:line="288" w:before="0" w:after="0"/>
              <w:jc w:val="left"/>
            </w:pPr>
            <w:r/>
            <w:r>
              <w:rPr>
                <w:b w:val="0"/>
                <w:i w:val="0"/>
                <w:color w:val="000000"/>
                <w:sz w:val="21"/>
                <w:rFonts w:eastAsia="宋体" w:ascii="Times New Roman" w:hAnsi="Times New Roman"/>
              </w:rPr>
              <w:t>31 个</w:t>
            </w:r>
          </w:p>
        </w:tc>
      </w:tr>
      <w:tr>
        <w:tc>
          <w:tcPr>
            <w:tcW w:type="dxa" w:w="2551"/>
            <w:vAlign w:val="center"/>
          </w:tcPr>
          <w:p>
            <w:pPr>
              <w:spacing w:lineRule="auto" w:line="288" w:before="0" w:after="0"/>
              <w:jc w:val="center"/>
            </w:pPr>
            <w:r/>
            <w:r>
              <w:rPr>
                <w:b w:val="0"/>
                <w:i w:val="0"/>
                <w:color w:val="000000"/>
                <w:sz w:val="21"/>
                <w:rFonts w:eastAsia="宋体" w:ascii="Times New Roman" w:hAnsi="Times New Roman"/>
              </w:rPr>
              <w:t>TopPIC 输出表数</w:t>
            </w:r>
          </w:p>
        </w:tc>
        <w:tc>
          <w:tcPr>
            <w:tcW w:type="dxa" w:w="6236"/>
            <w:vAlign w:val="center"/>
          </w:tcPr>
          <w:p>
            <w:pPr>
              <w:spacing w:lineRule="auto" w:line="288" w:before="0" w:after="0"/>
              <w:jc w:val="left"/>
            </w:pPr>
            <w:r/>
            <w:r>
              <w:rPr>
                <w:b w:val="0"/>
                <w:i w:val="0"/>
                <w:color w:val="000000"/>
                <w:sz w:val="21"/>
                <w:rFonts w:eastAsia="宋体" w:ascii="Times New Roman" w:hAnsi="Times New Roman"/>
              </w:rPr>
              <w:t>31 个</w:t>
            </w:r>
          </w:p>
        </w:tc>
      </w:tr>
      <w:tr>
        <w:tc>
          <w:tcPr>
            <w:tcW w:type="dxa" w:w="2551"/>
            <w:vAlign w:val="center"/>
          </w:tcPr>
          <w:p>
            <w:pPr>
              <w:spacing w:lineRule="auto" w:line="288" w:before="0" w:after="0"/>
              <w:jc w:val="center"/>
            </w:pPr>
            <w:r/>
            <w:r>
              <w:rPr>
                <w:b w:val="0"/>
                <w:i w:val="0"/>
                <w:color w:val="000000"/>
                <w:sz w:val="21"/>
                <w:rFonts w:eastAsia="宋体" w:ascii="Times New Roman" w:hAnsi="Times New Roman"/>
              </w:rPr>
              <w:t>msalign 谱图总数</w:t>
            </w:r>
          </w:p>
        </w:tc>
        <w:tc>
          <w:tcPr>
            <w:tcW w:type="dxa" w:w="6236"/>
            <w:vAlign w:val="center"/>
          </w:tcPr>
          <w:p>
            <w:pPr>
              <w:spacing w:lineRule="auto" w:line="288" w:before="0" w:after="0"/>
              <w:jc w:val="left"/>
            </w:pPr>
            <w:r/>
            <w:r>
              <w:rPr>
                <w:b w:val="0"/>
                <w:i w:val="0"/>
                <w:color w:val="000000"/>
                <w:sz w:val="21"/>
                <w:rFonts w:eastAsia="宋体" w:ascii="Times New Roman" w:hAnsi="Times New Roman"/>
              </w:rPr>
              <w:t>27,475 条</w:t>
            </w:r>
          </w:p>
        </w:tc>
      </w:tr>
      <w:tr>
        <w:tc>
          <w:tcPr>
            <w:tcW w:type="dxa" w:w="2551"/>
            <w:vAlign w:val="center"/>
          </w:tcPr>
          <w:p>
            <w:pPr>
              <w:spacing w:lineRule="auto" w:line="288" w:before="0" w:after="0"/>
              <w:jc w:val="center"/>
            </w:pPr>
            <w:r/>
            <w:r>
              <w:rPr>
                <w:b w:val="0"/>
                <w:i w:val="0"/>
                <w:color w:val="000000"/>
                <w:sz w:val="21"/>
                <w:rFonts w:eastAsia="宋体" w:ascii="Times New Roman" w:hAnsi="Times New Roman"/>
              </w:rPr>
              <w:t>参与评价谱图数</w:t>
            </w:r>
          </w:p>
        </w:tc>
        <w:tc>
          <w:tcPr>
            <w:tcW w:type="dxa" w:w="6236"/>
            <w:vAlign w:val="center"/>
          </w:tcPr>
          <w:p>
            <w:pPr>
              <w:spacing w:lineRule="auto" w:line="288" w:before="0" w:after="0"/>
              <w:jc w:val="left"/>
            </w:pPr>
            <w:r/>
            <w:r>
              <w:rPr>
                <w:b w:val="0"/>
                <w:i w:val="0"/>
                <w:color w:val="000000"/>
                <w:sz w:val="21"/>
                <w:rFonts w:eastAsia="宋体" w:ascii="Times New Roman" w:hAnsi="Times New Roman"/>
              </w:rPr>
              <w:t>4,480 条</w:t>
            </w:r>
          </w:p>
        </w:tc>
      </w:tr>
      <w:tr>
        <w:tc>
          <w:tcPr>
            <w:tcW w:type="dxa" w:w="2551"/>
            <w:vAlign w:val="center"/>
          </w:tcPr>
          <w:p>
            <w:pPr>
              <w:spacing w:lineRule="auto" w:line="288" w:before="0" w:after="0"/>
              <w:jc w:val="center"/>
            </w:pPr>
            <w:r/>
            <w:r>
              <w:rPr>
                <w:b w:val="0"/>
                <w:i w:val="0"/>
                <w:color w:val="000000"/>
                <w:sz w:val="21"/>
                <w:rFonts w:eastAsia="宋体" w:ascii="Times New Roman" w:hAnsi="Times New Roman"/>
              </w:rPr>
              <w:t>参考标注组数</w:t>
            </w:r>
          </w:p>
        </w:tc>
        <w:tc>
          <w:tcPr>
            <w:tcW w:type="dxa" w:w="6236"/>
            <w:vAlign w:val="center"/>
          </w:tcPr>
          <w:p>
            <w:pPr>
              <w:spacing w:lineRule="auto" w:line="288" w:before="0" w:after="0"/>
              <w:jc w:val="left"/>
            </w:pPr>
            <w:r/>
            <w:r>
              <w:rPr>
                <w:b w:val="0"/>
                <w:i w:val="0"/>
                <w:color w:val="000000"/>
                <w:sz w:val="21"/>
                <w:rFonts w:eastAsia="宋体" w:ascii="Times New Roman" w:hAnsi="Times New Roman"/>
              </w:rPr>
              <w:t>2,505 个</w:t>
            </w:r>
          </w:p>
        </w:tc>
      </w:tr>
      <w:tr>
        <w:tc>
          <w:tcPr>
            <w:tcW w:type="dxa" w:w="2551"/>
            <w:vAlign w:val="center"/>
          </w:tcPr>
          <w:p>
            <w:pPr>
              <w:spacing w:lineRule="auto" w:line="288" w:before="0" w:after="0"/>
              <w:jc w:val="center"/>
            </w:pPr>
            <w:r/>
            <w:r>
              <w:rPr>
                <w:b w:val="0"/>
                <w:i w:val="0"/>
                <w:color w:val="000000"/>
                <w:sz w:val="21"/>
                <w:rFonts w:eastAsia="宋体" w:ascii="Times New Roman" w:hAnsi="Times New Roman"/>
              </w:rPr>
              <w:t>每条谱图保留峰数</w:t>
            </w:r>
          </w:p>
        </w:tc>
        <w:tc>
          <w:tcPr>
            <w:tcW w:type="dxa" w:w="6236"/>
            <w:vAlign w:val="center"/>
          </w:tcPr>
          <w:p>
            <w:pPr>
              <w:spacing w:lineRule="auto" w:line="288" w:before="0" w:after="0"/>
              <w:jc w:val="left"/>
            </w:pPr>
            <w:r/>
            <w:r>
              <w:rPr>
                <w:b w:val="0"/>
                <w:i w:val="0"/>
                <w:color w:val="000000"/>
                <w:sz w:val="21"/>
                <w:rFonts w:eastAsia="宋体" w:ascii="Times New Roman" w:hAnsi="Times New Roman"/>
              </w:rPr>
              <w:t>50 个高强度碎片峰</w:t>
            </w:r>
          </w:p>
        </w:tc>
      </w:tr>
      <w:tr>
        <w:tc>
          <w:tcPr>
            <w:tcW w:type="dxa" w:w="2551"/>
            <w:vAlign w:val="center"/>
          </w:tcPr>
          <w:p>
            <w:pPr>
              <w:spacing w:lineRule="auto" w:line="288" w:before="0" w:after="0"/>
              <w:jc w:val="center"/>
            </w:pPr>
            <w:r/>
            <w:r>
              <w:rPr>
                <w:b w:val="0"/>
                <w:i w:val="0"/>
                <w:color w:val="000000"/>
                <w:sz w:val="21"/>
                <w:rFonts w:eastAsia="宋体" w:ascii="Times New Roman" w:hAnsi="Times New Roman"/>
              </w:rPr>
              <w:t>前体质量窗口</w:t>
            </w:r>
          </w:p>
        </w:tc>
        <w:tc>
          <w:tcPr>
            <w:tcW w:type="dxa" w:w="6236"/>
            <w:vAlign w:val="center"/>
          </w:tcPr>
          <w:p>
            <w:pPr>
              <w:spacing w:lineRule="auto" w:line="288" w:before="0" w:after="0"/>
              <w:jc w:val="left"/>
            </w:pPr>
            <w:r/>
            <w:r>
              <w:rPr>
                <w:b w:val="0"/>
                <w:i w:val="0"/>
                <w:color w:val="000000"/>
                <w:sz w:val="21"/>
                <w:rFonts w:eastAsia="宋体" w:ascii="Times New Roman" w:hAnsi="Times New Roman"/>
              </w:rPr>
              <w:t>2.2 Da</w:t>
            </w:r>
          </w:p>
        </w:tc>
      </w:tr>
      <w:tr>
        <w:tc>
          <w:tcPr>
            <w:tcW w:type="dxa" w:w="2551"/>
            <w:vAlign w:val="center"/>
          </w:tcPr>
          <w:p>
            <w:pPr>
              <w:spacing w:lineRule="auto" w:line="288" w:before="0" w:after="0"/>
              <w:jc w:val="center"/>
            </w:pPr>
            <w:r/>
            <w:r>
              <w:rPr>
                <w:b w:val="0"/>
                <w:i w:val="0"/>
                <w:color w:val="000000"/>
                <w:sz w:val="21"/>
                <w:rFonts w:eastAsia="宋体" w:ascii="Times New Roman" w:hAnsi="Times New Roman"/>
              </w:rPr>
              <w:t>碎片峰容差</w:t>
            </w:r>
          </w:p>
        </w:tc>
        <w:tc>
          <w:tcPr>
            <w:tcW w:type="dxa" w:w="6236"/>
            <w:vAlign w:val="center"/>
          </w:tcPr>
          <w:p>
            <w:pPr>
              <w:spacing w:lineRule="auto" w:line="288" w:before="0" w:after="0"/>
              <w:jc w:val="left"/>
            </w:pPr>
            <w:r/>
            <w:r>
              <w:rPr>
                <w:b w:val="0"/>
                <w:i w:val="0"/>
                <w:color w:val="000000"/>
                <w:sz w:val="21"/>
                <w:rFonts w:eastAsia="宋体" w:ascii="Times New Roman" w:hAnsi="Times New Roman"/>
              </w:rPr>
              <w:t>10 ppm</w:t>
            </w:r>
          </w:p>
        </w:tc>
      </w:tr>
      <w:tr>
        <w:tc>
          <w:tcPr>
            <w:tcW w:type="dxa" w:w="2551"/>
            <w:vAlign w:val="center"/>
          </w:tcPr>
          <w:p>
            <w:pPr>
              <w:spacing w:lineRule="auto" w:line="288" w:before="0" w:after="0"/>
              <w:jc w:val="center"/>
            </w:pPr>
            <w:r/>
            <w:r>
              <w:rPr>
                <w:b w:val="0"/>
                <w:i w:val="0"/>
                <w:color w:val="000000"/>
                <w:sz w:val="21"/>
                <w:rFonts w:eastAsia="宋体" w:ascii="Times New Roman" w:hAnsi="Times New Roman"/>
              </w:rPr>
              <w:t>数据库</w:t>
            </w:r>
          </w:p>
        </w:tc>
        <w:tc>
          <w:tcPr>
            <w:tcW w:type="dxa" w:w="6236"/>
            <w:vAlign w:val="center"/>
          </w:tcPr>
          <w:p>
            <w:pPr>
              <w:spacing w:lineRule="auto" w:line="288" w:before="0" w:after="0"/>
              <w:jc w:val="left"/>
            </w:pPr>
            <w:r/>
            <w:r>
              <w:rPr>
                <w:b w:val="0"/>
                <w:i w:val="0"/>
                <w:color w:val="000000"/>
                <w:sz w:val="21"/>
                <w:rFonts w:eastAsia="宋体" w:ascii="Times New Roman" w:hAnsi="Times New Roman"/>
              </w:rPr>
              <w:t>SQLite，包含 spectrum 与 peak 两类核心表</w:t>
            </w:r>
          </w:p>
        </w:tc>
      </w:tr>
      <w:tr>
        <w:tc>
          <w:tcPr>
            <w:tcW w:type="dxa" w:w="2551"/>
            <w:vAlign w:val="center"/>
          </w:tcPr>
          <w:p>
            <w:pPr>
              <w:spacing w:lineRule="auto" w:line="288" w:before="0" w:after="0"/>
              <w:jc w:val="center"/>
            </w:pPr>
            <w:r/>
            <w:r>
              <w:rPr>
                <w:b w:val="0"/>
                <w:i w:val="0"/>
                <w:color w:val="000000"/>
                <w:sz w:val="21"/>
                <w:rFonts w:eastAsia="宋体" w:ascii="Times New Roman" w:hAnsi="Times New Roman"/>
              </w:rPr>
              <w:t>评价指标</w:t>
            </w:r>
          </w:p>
        </w:tc>
        <w:tc>
          <w:tcPr>
            <w:tcW w:type="dxa" w:w="6236"/>
            <w:vAlign w:val="center"/>
          </w:tcPr>
          <w:p>
            <w:pPr>
              <w:spacing w:lineRule="auto" w:line="288" w:before="0" w:after="0"/>
              <w:jc w:val="left"/>
            </w:pPr>
            <w:r/>
            <w:r>
              <w:rPr>
                <w:b w:val="0"/>
                <w:i w:val="0"/>
                <w:color w:val="000000"/>
                <w:sz w:val="21"/>
                <w:rFonts w:eastAsia="宋体" w:ascii="Times New Roman" w:hAnsi="Times New Roman"/>
              </w:rPr>
              <w:t>ARI、NMI、错误聚类率、成簇谱图比例、候选过滤率、运行时间</w:t>
            </w:r>
          </w:p>
        </w:tc>
      </w:tr>
    </w:tbl>
    <w:p/>
    <w:p>
      <w:pPr>
        <w:spacing w:lineRule="auto" w:line="360" w:before="0" w:after="0"/>
        <w:ind w:firstLine="420"/>
        <w:jc w:val="both"/>
      </w:pPr>
      <w:r>
        <w:rPr>
          <w:b w:val="0"/>
          <w:i w:val="0"/>
          <w:color w:val="000000"/>
          <w:sz w:val="24"/>
          <w:rFonts w:eastAsia="宋体" w:ascii="Times New Roman" w:hAnsi="Times New Roman"/>
        </w:rPr>
        <w:t>PXD019368 的 msalign 文件已经包含去卷积后的自上而下 MS/MS 谱图，可直接读取前体质量、荷电状态和碎片峰；OUTPUT_TABLE 文件来自 TopPIC 搜索结果，用于构造参考标注组。PXD029703 是 TopLib 论文 SW480 主数据来源，本文已下载其中一个 RAW 样本用于归档和来源核对，但完整 RAW 复现需要额外的 TopFD/TopPIC 运行环境。</w:t>
      </w:r>
    </w:p>
    <w:p>
      <w:pPr>
        <w:spacing w:lineRule="auto" w:line="360" w:before="0" w:after="0"/>
        <w:ind w:firstLine="420"/>
        <w:jc w:val="both"/>
      </w:pPr>
      <w:r>
        <w:rPr>
          <w:b w:val="0"/>
          <w:i w:val="0"/>
          <w:color w:val="000000"/>
          <w:sz w:val="24"/>
          <w:rFonts w:eastAsia="宋体" w:ascii="Times New Roman" w:hAnsi="Times New Roman"/>
        </w:rPr>
        <w:t>本研究在每条谱图中保留前 50 个高强度碎片峰，前体候选窗口设为 2.2 Da，碎片峰匹配容差设为 10 ppm。完整两两比较需要 10,032,960 个谱图对；数据库过滤后，前体候选对为 14,614 个。</w:t>
      </w:r>
    </w:p>
    <w:p>
      <w:pPr>
        <w:pStyle w:val="3"/>
        <w:jc w:val="left"/>
      </w:pPr>
      <w:r>
        <w:rPr>
          <w:b/>
          <w:i w:val="0"/>
          <w:color w:val="000000"/>
          <w:sz w:val="24"/>
          <w:rFonts w:eastAsia="黑体" w:ascii="Times New Roman" w:hAnsi="Times New Roman"/>
        </w:rPr>
        <w:t>6.2 评价指标</w:t>
      </w:r>
    </w:p>
    <w:p>
      <w:pPr>
        <w:spacing w:lineRule="auto" w:line="360" w:before="0" w:after="0"/>
        <w:ind w:firstLine="420"/>
        <w:jc w:val="both"/>
      </w:pPr>
      <w:r>
        <w:rPr>
          <w:b w:val="0"/>
          <w:i w:val="0"/>
          <w:color w:val="000000"/>
          <w:sz w:val="24"/>
          <w:rFonts w:eastAsia="宋体" w:ascii="Times New Roman" w:hAnsi="Times New Roman"/>
        </w:rPr>
        <w:t>本研究从聚类一致性、错误合并程度和候选压缩效果三个角度评价算法。聚类一致性使用 ARI 和 NMI。ARI 关注样本对在参考标注和预测标签中是否同时同簇或同时异簇，并对随机一致性进行校正；NMI 衡量参考标注与聚类结果之间共享的信息比例。</w:t>
      </w:r>
    </w:p>
    <w:p>
      <w:pPr>
        <w:tabs>
          <w:tab w:pos="4195" w:val="center"/>
          <w:tab w:pos="8617" w:val="right"/>
        </w:tabs>
        <w:spacing w:lineRule="auto" w:line="312" w:before="120" w:after="120"/>
        <w:jc w:val="left"/>
      </w:pPr>
      <w:r>
        <w:tab/>
      </w:r>
      <m:oMathPara>
        <m:oMathParaPr>
          <m:jc m:val="center"/>
        </m:oMathParaPr>
        <m:oMath>
          <m:r>
            <m:rPr>
              <m:sty m:val="p"/>
            </m:rPr>
            <m:t>ARI</m:t>
          </m:r>
          <m:r>
            <m:rPr>
              <m:sty m:val="p"/>
            </m:rPr>
            <m:t>=</m:t>
          </m:r>
          <m:f>
            <m:fPr>
              <m:type m:val="bar"/>
            </m:fPr>
            <m:num>
              <m:r>
                <m:t>R</m:t>
              </m:r>
              <m:r>
                <m:t>I</m:t>
              </m:r>
              <m:r>
                <m:rPr>
                  <m:sty m:val="p"/>
                </m:rPr>
                <m:t>−</m:t>
              </m:r>
              <m:r>
                <m:rPr>
                  <m:scr m:val="double-struck"/>
                  <m:sty m:val="p"/>
                </m:rPr>
                <m:t>E</m:t>
              </m:r>
              <m:r>
                <m:rPr>
                  <m:sty m:val="p"/>
                </m:rPr>
                <m:t>[</m:t>
              </m:r>
              <m:r>
                <m:t>R</m:t>
              </m:r>
              <m:r>
                <m:t>I</m:t>
              </m:r>
              <m:r>
                <m:rPr>
                  <m:sty m:val="p"/>
                </m:rPr>
                <m:t>]</m:t>
              </m:r>
            </m:num>
            <m:den>
              <m:r>
                <m:rPr>
                  <m:sty m:val="p"/>
                </m:rPr>
                <m:t>max</m:t>
              </m:r>
              <m:r>
                <m:rPr>
                  <m:sty m:val="p"/>
                </m:rPr>
                <m:t>(</m:t>
              </m:r>
              <m:r>
                <m:t>R</m:t>
              </m:r>
              <m:r>
                <m:t>I</m:t>
              </m:r>
              <m:r>
                <m:rPr>
                  <m:sty m:val="p"/>
                </m:rPr>
                <m:t>)</m:t>
              </m:r>
              <m:r>
                <m:rPr>
                  <m:sty m:val="p"/>
                </m:rPr>
                <m:t>−</m:t>
              </m:r>
              <m:r>
                <m:rPr>
                  <m:scr m:val="double-struck"/>
                  <m:sty m:val="p"/>
                </m:rPr>
                <m:t>E</m:t>
              </m:r>
              <m:r>
                <m:rPr>
                  <m:sty m:val="p"/>
                </m:rPr>
                <m:t>[</m:t>
              </m:r>
              <m:r>
                <m:t>R</m:t>
              </m:r>
              <m:r>
                <m:t>I</m:t>
              </m:r>
              <m:r>
                <m:rPr>
                  <m:sty m:val="p"/>
                </m:rPr>
                <m:t>]</m:t>
              </m:r>
            </m:den>
          </m:f>
        </m:oMath>
      </m:oMathPara>
      <w:r>
        <w:rPr>
          <w:b w:val="0"/>
          <w:i w:val="0"/>
          <w:color w:val="000000"/>
          <w:sz w:val="24"/>
          <w:rFonts w:eastAsia="宋体" w:ascii="Times New Roman" w:hAnsi="Times New Roman"/>
        </w:rPr>
        <w:tab/>
        <w:t>（6.1）</w:t>
      </w:r>
    </w:p>
    <w:p>
      <w:pPr>
        <w:spacing w:lineRule="auto" w:line="360" w:before="0" w:after="0"/>
        <w:ind w:firstLine="420"/>
        <w:jc w:val="both"/>
      </w:pPr>
      <w:r>
        <w:rPr>
          <w:b w:val="0"/>
          <w:i w:val="0"/>
          <w:color w:val="000000"/>
          <w:sz w:val="24"/>
          <w:rFonts w:eastAsia="宋体" w:ascii="Times New Roman" w:hAnsi="Times New Roman"/>
        </w:rPr>
        <w:t>式（6.1）为调整兰德指数。ARI 越接近 1，说明聚类结果与参考标注组越一致；若聚类结果接近随机划分，ARI 会接近 0。</w:t>
      </w:r>
    </w:p>
    <w:p>
      <w:pPr>
        <w:tabs>
          <w:tab w:pos="4195" w:val="center"/>
          <w:tab w:pos="8617" w:val="right"/>
        </w:tabs>
        <w:spacing w:lineRule="auto" w:line="312" w:before="120" w:after="120"/>
        <w:jc w:val="left"/>
      </w:pPr>
      <w:r>
        <w:tab/>
      </w:r>
      <m:oMathPara>
        <m:oMathParaPr>
          <m:jc m:val="center"/>
        </m:oMathParaPr>
        <m:oMath>
          <m:r>
            <m:rPr>
              <m:sty m:val="p"/>
            </m:rPr>
            <m:t>NMI</m:t>
          </m:r>
          <m:r>
            <m:rPr>
              <m:sty m:val="p"/>
            </m:rPr>
            <m:t>(</m:t>
          </m:r>
          <m:r>
            <m:t>Y</m:t>
          </m:r>
          <m:r>
            <m:rPr>
              <m:sty m:val="p"/>
            </m:rPr>
            <m:t>,</m:t>
          </m:r>
          <m:acc>
            <m:accPr>
              <m:chr m:val="̂"/>
            </m:accPr>
            <m:e>
              <m:r>
                <m:t>Y</m:t>
              </m:r>
            </m:e>
          </m:acc>
          <m:r>
            <m:rPr>
              <m:sty m:val="p"/>
            </m:rPr>
            <m:t>)</m:t>
          </m:r>
          <m:r>
            <m:rPr>
              <m:sty m:val="p"/>
            </m:rPr>
            <m:t>=</m:t>
          </m:r>
          <m:f>
            <m:fPr>
              <m:type m:val="bar"/>
            </m:fPr>
            <m:num>
              <m:r>
                <m:t>I</m:t>
              </m:r>
              <m:r>
                <m:rPr>
                  <m:sty m:val="p"/>
                </m:rPr>
                <m:t>(</m:t>
              </m:r>
              <m:r>
                <m:t>Y</m:t>
              </m:r>
              <m:r>
                <m:rPr>
                  <m:sty m:val="p"/>
                </m:rPr>
                <m:t>;</m:t>
              </m:r>
              <m:acc>
                <m:accPr>
                  <m:chr m:val="̂"/>
                </m:accPr>
                <m:e>
                  <m:r>
                    <m:t>Y</m:t>
                  </m:r>
                </m:e>
              </m:acc>
              <m:r>
                <m:rPr>
                  <m:sty m:val="p"/>
                </m:rPr>
                <m:t>)</m:t>
              </m:r>
            </m:num>
            <m:den>
              <m:rad>
                <m:radPr>
                  <m:degHide m:val="on"/>
                </m:radPr>
                <m:deg/>
                <m:e>
                  <m:r>
                    <m:t>H</m:t>
                  </m:r>
                  <m:r>
                    <m:rPr>
                      <m:sty m:val="p"/>
                    </m:rPr>
                    <m:t>(</m:t>
                  </m:r>
                  <m:r>
                    <m:t>Y</m:t>
                  </m:r>
                  <m:r>
                    <m:rPr>
                      <m:sty m:val="p"/>
                    </m:rPr>
                    <m:t>)</m:t>
                  </m:r>
                  <m:r>
                    <m:t>H</m:t>
                  </m:r>
                  <m:r>
                    <m:rPr>
                      <m:sty m:val="p"/>
                    </m:rPr>
                    <m:t>(</m:t>
                  </m:r>
                  <m:acc>
                    <m:accPr>
                      <m:chr m:val="̂"/>
                    </m:accPr>
                    <m:e>
                      <m:r>
                        <m:t>Y</m:t>
                      </m:r>
                    </m:e>
                  </m:acc>
                  <m:r>
                    <m:rPr>
                      <m:sty m:val="p"/>
                    </m:rPr>
                    <m:t>)</m:t>
                  </m:r>
                </m:e>
              </m:rad>
            </m:den>
          </m:f>
        </m:oMath>
      </m:oMathPara>
      <w:r>
        <w:rPr>
          <w:b w:val="0"/>
          <w:i w:val="0"/>
          <w:color w:val="000000"/>
          <w:sz w:val="24"/>
          <w:rFonts w:eastAsia="宋体" w:ascii="Times New Roman" w:hAnsi="Times New Roman"/>
        </w:rPr>
        <w:tab/>
        <w:t>（6.2）</w:t>
      </w:r>
    </w:p>
    <w:p>
      <w:pPr>
        <w:spacing w:lineRule="auto" w:line="360" w:before="0" w:after="0"/>
        <w:ind w:firstLine="420"/>
        <w:jc w:val="both"/>
      </w:pPr>
      <w:r>
        <w:rPr>
          <w:b w:val="0"/>
          <w:i w:val="0"/>
          <w:color w:val="000000"/>
          <w:sz w:val="24"/>
          <w:rFonts w:eastAsia="宋体" w:ascii="Times New Roman" w:hAnsi="Times New Roman"/>
        </w:rPr>
        <w:t>式（6.2）为标准化互信息，其中 Y 表示参考标注，预测聚类标签用带帽变量表示。NMI 越高，说明聚类结果保留的参考标注信息越多。</w:t>
      </w:r>
    </w:p>
    <w:p>
      <w:pPr>
        <w:tabs>
          <w:tab w:pos="4195" w:val="center"/>
          <w:tab w:pos="8617" w:val="right"/>
        </w:tabs>
        <w:spacing w:lineRule="auto" w:line="312" w:before="120" w:after="120"/>
        <w:jc w:val="left"/>
      </w:pPr>
      <w:r>
        <w:tab/>
      </w:r>
      <m:oMathPara>
        <m:oMathParaPr>
          <m:jc m:val="center"/>
        </m:oMathParaPr>
        <m:oMath>
          <m:sSub>
            <m:e>
              <m:r>
                <m:t>e</m:t>
              </m:r>
            </m:e>
            <m:sub>
              <m:r>
                <m:t>w</m:t>
              </m:r>
              <m:r>
                <m:t>r</m:t>
              </m:r>
              <m:r>
                <m:t>o</m:t>
              </m:r>
              <m:r>
                <m:t>n</m:t>
              </m:r>
              <m:r>
                <m:t>g</m:t>
              </m:r>
            </m:sub>
          </m:sSub>
          <m:r>
            <m:rPr>
              <m:sty m:val="p"/>
            </m:rPr>
            <m:t>=</m:t>
          </m:r>
          <m:f>
            <m:fPr>
              <m:type m:val="bar"/>
            </m:fPr>
            <m:num>
              <m:nary>
                <m:naryPr>
                  <m:chr m:val="∑"/>
                  <m:limLoc m:val="undOvr"/>
                  <m:subHide m:val="off"/>
                  <m:supHide m:val="on"/>
                </m:naryPr>
                <m:sub>
                  <m:r>
                    <m:t>k</m:t>
                  </m:r>
                  <m:r>
                    <m:rPr>
                      <m:sty m:val="p"/>
                    </m:rPr>
                    <m:t>:</m:t>
                  </m:r>
                  <m:r>
                    <m:rPr>
                      <m:sty m:val="p"/>
                    </m:rPr>
                    <m:t>|</m:t>
                  </m:r>
                  <m:sSub>
                    <m:e>
                      <m:r>
                        <m:t>P</m:t>
                      </m:r>
                    </m:e>
                    <m:sub>
                      <m:r>
                        <m:t>k</m:t>
                      </m:r>
                    </m:sub>
                  </m:sSub>
                  <m:r>
                    <m:rPr>
                      <m:sty m:val="p"/>
                    </m:rPr>
                    <m:t>|</m:t>
                  </m:r>
                  <m:r>
                    <m:rPr>
                      <m:sty m:val="p"/>
                    </m:rPr>
                    <m:t>&gt;</m:t>
                  </m:r>
                  <m:r>
                    <m:t>1</m:t>
                  </m:r>
                </m:sub>
                <m:sup>
                  <m:r>
                    <m:t>​</m:t>
                  </m:r>
                </m:sup>
                <m:e>
                  <m:d>
                    <m:dPr>
                      <m:begChr m:val="("/>
                      <m:sepChr m:val=""/>
                      <m:endChr m:val=")"/>
                      <m:grow/>
                    </m:dPr>
                    <m:e>
                      <m:r>
                        <m:rPr>
                          <m:sty m:val="p"/>
                        </m:rPr>
                        <m:t>|</m:t>
                      </m:r>
                      <m:sSub>
                        <m:e>
                          <m:r>
                            <m:t>P</m:t>
                          </m:r>
                        </m:e>
                        <m:sub>
                          <m:r>
                            <m:t>k</m:t>
                          </m:r>
                        </m:sub>
                      </m:sSub>
                      <m:r>
                        <m:rPr>
                          <m:sty m:val="p"/>
                        </m:rPr>
                        <m:t>|</m:t>
                      </m:r>
                      <m:r>
                        <m:rPr>
                          <m:sty m:val="p"/>
                        </m:rPr>
                        <m:t>−</m:t>
                      </m:r>
                      <m:limLow>
                        <m:e>
                          <m:r>
                            <m:rPr>
                              <m:sty m:val="p"/>
                            </m:rPr>
                            <m:t>max</m:t>
                          </m:r>
                        </m:e>
                        <m:lim>
                          <m:r>
                            <m:t>g</m:t>
                          </m:r>
                        </m:lim>
                      </m:limLow>
                      <m:r>
                        <m:rPr>
                          <m:sty m:val="p"/>
                        </m:rPr>
                        <m:t>|</m:t>
                      </m:r>
                      <m:sSub>
                        <m:e>
                          <m:r>
                            <m:t>P</m:t>
                          </m:r>
                        </m:e>
                        <m:sub>
                          <m:r>
                            <m:t>k</m:t>
                          </m:r>
                        </m:sub>
                      </m:sSub>
                      <m:r>
                        <m:rPr>
                          <m:sty m:val="p"/>
                        </m:rPr>
                        <m:t>∩</m:t>
                      </m:r>
                      <m:sSub>
                        <m:e>
                          <m:r>
                            <m:t>G</m:t>
                          </m:r>
                        </m:e>
                        <m:sub>
                          <m:r>
                            <m:t>g</m:t>
                          </m:r>
                        </m:sub>
                      </m:sSub>
                      <m:r>
                        <m:rPr>
                          <m:sty m:val="p"/>
                        </m:rPr>
                        <m:t>|</m:t>
                      </m:r>
                    </m:e>
                  </m:d>
                </m:e>
              </m:nary>
            </m:num>
            <m:den>
              <m:nary>
                <m:naryPr>
                  <m:chr m:val="∑"/>
                  <m:limLoc m:val="undOvr"/>
                  <m:subHide m:val="off"/>
                  <m:supHide m:val="on"/>
                </m:naryPr>
                <m:sub>
                  <m:r>
                    <m:t>k</m:t>
                  </m:r>
                  <m:r>
                    <m:rPr>
                      <m:sty m:val="p"/>
                    </m:rPr>
                    <m:t>:</m:t>
                  </m:r>
                  <m:r>
                    <m:rPr>
                      <m:sty m:val="p"/>
                    </m:rPr>
                    <m:t>|</m:t>
                  </m:r>
                  <m:sSub>
                    <m:e>
                      <m:r>
                        <m:t>P</m:t>
                      </m:r>
                    </m:e>
                    <m:sub>
                      <m:r>
                        <m:t>k</m:t>
                      </m:r>
                    </m:sub>
                  </m:sSub>
                  <m:r>
                    <m:rPr>
                      <m:sty m:val="p"/>
                    </m:rPr>
                    <m:t>|</m:t>
                  </m:r>
                  <m:r>
                    <m:rPr>
                      <m:sty m:val="p"/>
                    </m:rPr>
                    <m:t>&gt;</m:t>
                  </m:r>
                  <m:r>
                    <m:t>1</m:t>
                  </m:r>
                </m:sub>
                <m:sup>
                  <m:r>
                    <m:t>​</m:t>
                  </m:r>
                </m:sup>
                <m:e>
                  <m:r>
                    <m:rPr>
                      <m:sty m:val="p"/>
                    </m:rPr>
                    <m:t>|</m:t>
                  </m:r>
                </m:e>
              </m:nary>
              <m:sSub>
                <m:e>
                  <m:r>
                    <m:t>P</m:t>
                  </m:r>
                </m:e>
                <m:sub>
                  <m:r>
                    <m:t>k</m:t>
                  </m:r>
                </m:sub>
              </m:sSub>
              <m:r>
                <m:rPr>
                  <m:sty m:val="p"/>
                </m:rPr>
                <m:t>|</m:t>
              </m:r>
            </m:den>
          </m:f>
        </m:oMath>
      </m:oMathPara>
      <w:r>
        <w:rPr>
          <w:b w:val="0"/>
          <w:i w:val="0"/>
          <w:color w:val="000000"/>
          <w:sz w:val="24"/>
          <w:rFonts w:eastAsia="宋体" w:ascii="Times New Roman" w:hAnsi="Times New Roman"/>
        </w:rPr>
        <w:tab/>
        <w:t>（6.3）</w:t>
      </w:r>
    </w:p>
    <w:p>
      <w:pPr>
        <w:spacing w:lineRule="auto" w:line="360" w:before="0" w:after="0"/>
        <w:ind w:firstLine="420"/>
        <w:jc w:val="both"/>
      </w:pPr>
      <w:r>
        <w:rPr>
          <w:b w:val="0"/>
          <w:i w:val="0"/>
          <w:color w:val="000000"/>
          <w:sz w:val="24"/>
          <w:rFonts w:eastAsia="宋体" w:ascii="Times New Roman" w:hAnsi="Times New Roman"/>
        </w:rPr>
        <w:t>式（6.3）定义错误聚类率。只统计非单例预测簇，并把每个预测簇中非多数参考标注的谱图视为错误合并。该指标能直接反映谱图库去冗余场景中错误合并的风险。</w:t>
      </w:r>
    </w:p>
    <w:p>
      <w:pPr>
        <w:tabs>
          <w:tab w:pos="4195" w:val="center"/>
          <w:tab w:pos="8617" w:val="right"/>
        </w:tabs>
        <w:spacing w:lineRule="auto" w:line="312" w:before="120" w:after="120"/>
        <w:jc w:val="left"/>
      </w:pPr>
      <w:r>
        <w:tab/>
      </w:r>
      <m:oMathPara>
        <m:oMathParaPr>
          <m:jc m:val="center"/>
        </m:oMathParaPr>
        <m:oMath>
          <m:r>
            <m:t>η</m:t>
          </m:r>
          <m:r>
            <m:rPr>
              <m:sty m:val="p"/>
            </m:rPr>
            <m:t>=</m:t>
          </m:r>
          <m:r>
            <m:t>1</m:t>
          </m:r>
          <m:r>
            <m:rPr>
              <m:sty m:val="p"/>
            </m:rPr>
            <m:t>−</m:t>
          </m:r>
          <m:f>
            <m:fPr>
              <m:type m:val="bar"/>
            </m:fPr>
            <m:num>
              <m:sSub>
                <m:e>
                  <m:r>
                    <m:t>N</m:t>
                  </m:r>
                </m:e>
                <m:sub>
                  <m:r>
                    <m:t>c</m:t>
                  </m:r>
                  <m:r>
                    <m:t>a</m:t>
                  </m:r>
                  <m:r>
                    <m:t>n</m:t>
                  </m:r>
                  <m:r>
                    <m:t>d</m:t>
                  </m:r>
                  <m:r>
                    <m:t>i</m:t>
                  </m:r>
                  <m:r>
                    <m:t>d</m:t>
                  </m:r>
                  <m:r>
                    <m:t>a</m:t>
                  </m:r>
                  <m:r>
                    <m:t>t</m:t>
                  </m:r>
                  <m:r>
                    <m:t>e</m:t>
                  </m:r>
                </m:sub>
              </m:sSub>
            </m:num>
            <m:den>
              <m:sSub>
                <m:e>
                  <m:r>
                    <m:t>N</m:t>
                  </m:r>
                </m:e>
                <m:sub>
                  <m:r>
                    <m:t>a</m:t>
                  </m:r>
                  <m:r>
                    <m:t>l</m:t>
                  </m:r>
                  <m:r>
                    <m:t>l</m:t>
                  </m:r>
                </m:sub>
              </m:sSub>
            </m:den>
          </m:f>
        </m:oMath>
      </m:oMathPara>
      <w:r>
        <w:rPr>
          <w:b w:val="0"/>
          <w:i w:val="0"/>
          <w:color w:val="000000"/>
          <w:sz w:val="24"/>
          <w:rFonts w:eastAsia="宋体" w:ascii="Times New Roman" w:hAnsi="Times New Roman"/>
        </w:rPr>
        <w:tab/>
        <w:t>（6.4）</w:t>
      </w:r>
    </w:p>
    <w:p>
      <w:pPr>
        <w:spacing w:lineRule="auto" w:line="360" w:before="0" w:after="0"/>
        <w:ind w:firstLine="420"/>
        <w:jc w:val="both"/>
      </w:pPr>
      <w:r>
        <w:rPr>
          <w:b w:val="0"/>
          <w:i w:val="0"/>
          <w:color w:val="000000"/>
          <w:sz w:val="24"/>
          <w:rFonts w:eastAsia="宋体" w:ascii="Times New Roman" w:hAnsi="Times New Roman"/>
        </w:rPr>
        <w:t>式（6.4）为候选过滤率，其中候选数量表示数据库过滤后需要进入碎片峰比较的谱图对数量，完整数量表示所有谱图的两两组合数。本文把该指标作为效率评价的核心依据。</w:t>
      </w:r>
    </w:p>
    <w:p>
      <w:pPr>
        <w:pStyle w:val="3"/>
        <w:jc w:val="left"/>
      </w:pPr>
      <w:r>
        <w:rPr>
          <w:b/>
          <w:i w:val="0"/>
          <w:color w:val="000000"/>
          <w:sz w:val="24"/>
          <w:rFonts w:eastAsia="黑体" w:ascii="Times New Roman" w:hAnsi="Times New Roman"/>
        </w:rPr>
        <w:t>6.3 聚类质量对比</w:t>
      </w:r>
    </w:p>
    <w:p>
      <w:pPr>
        <w:jc w:val="center"/>
      </w:pPr>
      <w:r>
        <w:drawing>
          <wp:inline xmlns:a="http://schemas.openxmlformats.org/drawingml/2006/main" xmlns:pic="http://schemas.openxmlformats.org/drawingml/2006/picture">
            <wp:extent cx="5112000" cy="3103714"/>
            <wp:docPr id="18" name="Picture 18"/>
            <wp:cNvGraphicFramePr>
              <a:graphicFrameLocks noChangeAspect="1"/>
            </wp:cNvGraphicFramePr>
            <a:graphic>
              <a:graphicData uri="http://schemas.openxmlformats.org/drawingml/2006/picture">
                <pic:pic>
                  <pic:nvPicPr>
                    <pic:cNvPr id="0" name="algorithm_metrics.png"/>
                    <pic:cNvPicPr/>
                  </pic:nvPicPr>
                  <pic:blipFill>
                    <a:blip r:embed="rId23"/>
                    <a:stretch>
                      <a:fillRect/>
                    </a:stretch>
                  </pic:blipFill>
                  <pic:spPr>
                    <a:xfrm>
                      <a:off x="0" y="0"/>
                      <a:ext cx="5112000" cy="3103714"/>
                    </a:xfrm>
                    <a:prstGeom prst="rect"/>
                  </pic:spPr>
                </pic:pic>
              </a:graphicData>
            </a:graphic>
          </wp:inline>
        </w:drawing>
      </w:r>
    </w:p>
    <w:p>
      <w:pPr>
        <w:spacing w:after="120"/>
        <w:jc w:val="center"/>
      </w:pPr>
      <w:r>
        <w:rPr>
          <w:b w:val="0"/>
          <w:i w:val="0"/>
          <w:color w:val="000000"/>
          <w:sz w:val="21"/>
          <w:rFonts w:eastAsia="宋体" w:ascii="Times New Roman" w:hAnsi="Times New Roman"/>
        </w:rPr>
        <w:t>图9 谱图聚类质量指标对比</w:t>
      </w:r>
    </w:p>
    <w:p>
      <w:pPr>
        <w:spacing w:after="120"/>
        <w:jc w:val="center"/>
      </w:pPr>
      <w:r>
        <w:rPr>
          <w:b w:val="0"/>
          <w:i w:val="0"/>
          <w:color w:val="000000"/>
          <w:sz w:val="21"/>
          <w:rFonts w:eastAsia="宋体" w:ascii="Times New Roman" w:hAnsi="Times New Roman"/>
        </w:rPr>
        <w:t>表4 谱图聚类质量结果对比</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8" w:space="0" w:color="000000"/>
          <w:right w:val="nil" w:sz="8" w:space="0" w:color="000000"/>
          <w:insideV w:val="nil" w:sz="8" w:space="0" w:color="000000"/>
          <w:insideH w:val="nil" w:sz="8" w:space="0" w:color="000000"/>
        </w:tblBorders>
      </w:tblPr>
      <w:tblGrid>
        <w:gridCol w:w="2608"/>
        <w:gridCol w:w="1134"/>
        <w:gridCol w:w="1020"/>
        <w:gridCol w:w="1020"/>
        <w:gridCol w:w="1191"/>
        <w:gridCol w:w="1247"/>
      </w:tblGrid>
      <w:tr>
        <w:tc>
          <w:tcPr>
            <w:tcW w:type="dxa" w:w="1385"/>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设置</w:t>
            </w:r>
          </w:p>
        </w:tc>
        <w:tc>
          <w:tcPr>
            <w:tcW w:type="dxa" w:w="1385"/>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簇数</w:t>
            </w:r>
          </w:p>
        </w:tc>
        <w:tc>
          <w:tcPr>
            <w:tcW w:type="dxa" w:w="1385"/>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ARI</w:t>
            </w:r>
          </w:p>
        </w:tc>
        <w:tc>
          <w:tcPr>
            <w:tcW w:type="dxa" w:w="1385"/>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NMI</w:t>
            </w:r>
          </w:p>
        </w:tc>
        <w:tc>
          <w:tcPr>
            <w:tcW w:type="dxa" w:w="1385"/>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错误率</w:t>
            </w:r>
          </w:p>
        </w:tc>
        <w:tc>
          <w:tcPr>
            <w:tcW w:type="dxa" w:w="1385"/>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保留边数</w:t>
            </w:r>
          </w:p>
        </w:tc>
      </w:tr>
      <w:tr>
        <w:tc>
          <w:tcPr>
            <w:tcW w:type="dxa" w:w="2608"/>
            <w:vAlign w:val="center"/>
          </w:tcPr>
          <w:p>
            <w:pPr>
              <w:spacing w:lineRule="auto" w:line="288" w:before="0" w:after="0"/>
              <w:jc w:val="center"/>
            </w:pPr>
            <w:r/>
            <w:r>
              <w:rPr>
                <w:b w:val="0"/>
                <w:i w:val="0"/>
                <w:color w:val="000000"/>
                <w:sz w:val="21"/>
                <w:rFonts w:eastAsia="宋体" w:ascii="Times New Roman" w:hAnsi="Times New Roman"/>
              </w:rPr>
              <w:t>单谱图基线</w:t>
            </w:r>
          </w:p>
        </w:tc>
        <w:tc>
          <w:tcPr>
            <w:tcW w:type="dxa" w:w="1134"/>
            <w:vAlign w:val="center"/>
          </w:tcPr>
          <w:p>
            <w:pPr>
              <w:spacing w:lineRule="auto" w:line="288" w:before="0" w:after="0"/>
              <w:jc w:val="left"/>
            </w:pPr>
            <w:r/>
            <w:r>
              <w:rPr>
                <w:b w:val="0"/>
                <w:i w:val="0"/>
                <w:color w:val="000000"/>
                <w:sz w:val="21"/>
                <w:rFonts w:eastAsia="宋体" w:ascii="Times New Roman" w:hAnsi="Times New Roman"/>
              </w:rPr>
              <w:t>4480</w:t>
            </w:r>
          </w:p>
        </w:tc>
        <w:tc>
          <w:tcPr>
            <w:tcW w:type="dxa" w:w="1020"/>
            <w:vAlign w:val="center"/>
          </w:tcPr>
          <w:p>
            <w:pPr>
              <w:spacing w:lineRule="auto" w:line="288" w:before="0" w:after="0"/>
              <w:jc w:val="left"/>
            </w:pPr>
            <w:r/>
            <w:r>
              <w:rPr>
                <w:b w:val="0"/>
                <w:i w:val="0"/>
                <w:color w:val="000000"/>
                <w:sz w:val="21"/>
                <w:rFonts w:eastAsia="宋体" w:ascii="Times New Roman" w:hAnsi="Times New Roman"/>
              </w:rPr>
              <w:t>0.0000</w:t>
            </w:r>
          </w:p>
        </w:tc>
        <w:tc>
          <w:tcPr>
            <w:tcW w:type="dxa" w:w="1020"/>
            <w:vAlign w:val="center"/>
          </w:tcPr>
          <w:p>
            <w:pPr>
              <w:spacing w:lineRule="auto" w:line="288" w:before="0" w:after="0"/>
              <w:jc w:val="left"/>
            </w:pPr>
            <w:r/>
            <w:r>
              <w:rPr>
                <w:b w:val="0"/>
                <w:i w:val="0"/>
                <w:color w:val="000000"/>
                <w:sz w:val="21"/>
                <w:rFonts w:eastAsia="宋体" w:ascii="Times New Roman" w:hAnsi="Times New Roman"/>
              </w:rPr>
              <w:t>0.9374</w:t>
            </w:r>
          </w:p>
        </w:tc>
        <w:tc>
          <w:tcPr>
            <w:tcW w:type="dxa" w:w="1191"/>
            <w:vAlign w:val="center"/>
          </w:tcPr>
          <w:p>
            <w:pPr>
              <w:spacing w:lineRule="auto" w:line="288" w:before="0" w:after="0"/>
              <w:jc w:val="left"/>
            </w:pPr>
            <w:r/>
            <w:r>
              <w:rPr>
                <w:b w:val="0"/>
                <w:i w:val="0"/>
                <w:color w:val="000000"/>
                <w:sz w:val="21"/>
                <w:rFonts w:eastAsia="宋体" w:ascii="Times New Roman" w:hAnsi="Times New Roman"/>
              </w:rPr>
              <w:t>0.00%</w:t>
            </w:r>
          </w:p>
        </w:tc>
        <w:tc>
          <w:tcPr>
            <w:tcW w:type="dxa" w:w="1247"/>
            <w:vAlign w:val="center"/>
          </w:tcPr>
          <w:p>
            <w:pPr>
              <w:spacing w:lineRule="auto" w:line="288" w:before="0" w:after="0"/>
              <w:jc w:val="left"/>
            </w:pPr>
            <w:r/>
            <w:r>
              <w:rPr>
                <w:b w:val="0"/>
                <w:i w:val="0"/>
                <w:color w:val="000000"/>
                <w:sz w:val="21"/>
                <w:rFonts w:eastAsia="宋体" w:ascii="Times New Roman" w:hAnsi="Times New Roman"/>
              </w:rPr>
              <w:t>0</w:t>
            </w:r>
          </w:p>
        </w:tc>
      </w:tr>
      <w:tr>
        <w:tc>
          <w:tcPr>
            <w:tcW w:type="dxa" w:w="2608"/>
            <w:vAlign w:val="center"/>
          </w:tcPr>
          <w:p>
            <w:pPr>
              <w:spacing w:lineRule="auto" w:line="288" w:before="0" w:after="0"/>
              <w:jc w:val="center"/>
            </w:pPr>
            <w:r/>
            <w:r>
              <w:rPr>
                <w:b w:val="0"/>
                <w:i w:val="0"/>
                <w:color w:val="000000"/>
                <w:sz w:val="21"/>
                <w:rFonts w:eastAsia="宋体" w:ascii="Times New Roman" w:hAnsi="Times New Roman"/>
              </w:rPr>
              <w:t>前体过滤</w:t>
            </w:r>
          </w:p>
        </w:tc>
        <w:tc>
          <w:tcPr>
            <w:tcW w:type="dxa" w:w="1134"/>
            <w:vAlign w:val="center"/>
          </w:tcPr>
          <w:p>
            <w:pPr>
              <w:spacing w:lineRule="auto" w:line="288" w:before="0" w:after="0"/>
              <w:jc w:val="left"/>
            </w:pPr>
            <w:r/>
            <w:r>
              <w:rPr>
                <w:b w:val="0"/>
                <w:i w:val="0"/>
                <w:color w:val="000000"/>
                <w:sz w:val="21"/>
                <w:rFonts w:eastAsia="宋体" w:ascii="Times New Roman" w:hAnsi="Times New Roman"/>
              </w:rPr>
              <w:t>2220</w:t>
            </w:r>
          </w:p>
        </w:tc>
        <w:tc>
          <w:tcPr>
            <w:tcW w:type="dxa" w:w="1020"/>
            <w:vAlign w:val="center"/>
          </w:tcPr>
          <w:p>
            <w:pPr>
              <w:spacing w:lineRule="auto" w:line="288" w:before="0" w:after="0"/>
              <w:jc w:val="left"/>
            </w:pPr>
            <w:r/>
            <w:r>
              <w:rPr>
                <w:b w:val="0"/>
                <w:i w:val="0"/>
                <w:color w:val="000000"/>
                <w:sz w:val="21"/>
                <w:rFonts w:eastAsia="宋体" w:ascii="Times New Roman" w:hAnsi="Times New Roman"/>
              </w:rPr>
              <w:t>0.8659</w:t>
            </w:r>
          </w:p>
        </w:tc>
        <w:tc>
          <w:tcPr>
            <w:tcW w:type="dxa" w:w="1020"/>
            <w:vAlign w:val="center"/>
          </w:tcPr>
          <w:p>
            <w:pPr>
              <w:spacing w:lineRule="auto" w:line="288" w:before="0" w:after="0"/>
              <w:jc w:val="left"/>
            </w:pPr>
            <w:r/>
            <w:r>
              <w:rPr>
                <w:b w:val="0"/>
                <w:i w:val="0"/>
                <w:color w:val="000000"/>
                <w:sz w:val="21"/>
                <w:rFonts w:eastAsia="宋体" w:ascii="Times New Roman" w:hAnsi="Times New Roman"/>
              </w:rPr>
              <w:t>0.9874</w:t>
            </w:r>
          </w:p>
        </w:tc>
        <w:tc>
          <w:tcPr>
            <w:tcW w:type="dxa" w:w="1191"/>
            <w:vAlign w:val="center"/>
          </w:tcPr>
          <w:p>
            <w:pPr>
              <w:spacing w:lineRule="auto" w:line="288" w:before="0" w:after="0"/>
              <w:jc w:val="left"/>
            </w:pPr>
            <w:r/>
            <w:r>
              <w:rPr>
                <w:b w:val="0"/>
                <w:i w:val="0"/>
                <w:color w:val="000000"/>
                <w:sz w:val="21"/>
                <w:rFonts w:eastAsia="宋体" w:ascii="Times New Roman" w:hAnsi="Times New Roman"/>
              </w:rPr>
              <w:t>13.22%</w:t>
            </w:r>
          </w:p>
        </w:tc>
        <w:tc>
          <w:tcPr>
            <w:tcW w:type="dxa" w:w="1247"/>
            <w:vAlign w:val="center"/>
          </w:tcPr>
          <w:p>
            <w:pPr>
              <w:spacing w:lineRule="auto" w:line="288" w:before="0" w:after="0"/>
              <w:jc w:val="left"/>
            </w:pPr>
            <w:r/>
            <w:r>
              <w:rPr>
                <w:b w:val="0"/>
                <w:i w:val="0"/>
                <w:color w:val="000000"/>
                <w:sz w:val="21"/>
                <w:rFonts w:eastAsia="宋体" w:ascii="Times New Roman" w:hAnsi="Times New Roman"/>
              </w:rPr>
              <w:t>14614</w:t>
            </w:r>
          </w:p>
        </w:tc>
      </w:tr>
      <w:tr>
        <w:tc>
          <w:tcPr>
            <w:tcW w:type="dxa" w:w="2608"/>
            <w:vAlign w:val="center"/>
          </w:tcPr>
          <w:p>
            <w:pPr>
              <w:spacing w:lineRule="auto" w:line="288" w:before="0" w:after="0"/>
              <w:jc w:val="center"/>
            </w:pPr>
            <w:r/>
            <w:r>
              <w:rPr>
                <w:b w:val="0"/>
                <w:i w:val="0"/>
                <w:color w:val="000000"/>
                <w:sz w:val="21"/>
                <w:rFonts w:eastAsia="宋体" w:ascii="Times New Roman" w:hAnsi="Times New Roman"/>
              </w:rPr>
              <w:t>过滤+相似度0.30</w:t>
            </w:r>
          </w:p>
        </w:tc>
        <w:tc>
          <w:tcPr>
            <w:tcW w:type="dxa" w:w="1134"/>
            <w:vAlign w:val="center"/>
          </w:tcPr>
          <w:p>
            <w:pPr>
              <w:spacing w:lineRule="auto" w:line="288" w:before="0" w:after="0"/>
              <w:jc w:val="left"/>
            </w:pPr>
            <w:r/>
            <w:r>
              <w:rPr>
                <w:b w:val="0"/>
                <w:i w:val="0"/>
                <w:color w:val="000000"/>
                <w:sz w:val="21"/>
                <w:rFonts w:eastAsia="宋体" w:ascii="Times New Roman" w:hAnsi="Times New Roman"/>
              </w:rPr>
              <w:t>2565</w:t>
            </w:r>
          </w:p>
        </w:tc>
        <w:tc>
          <w:tcPr>
            <w:tcW w:type="dxa" w:w="1020"/>
            <w:vAlign w:val="center"/>
          </w:tcPr>
          <w:p>
            <w:pPr>
              <w:spacing w:lineRule="auto" w:line="288" w:before="0" w:after="0"/>
              <w:jc w:val="left"/>
            </w:pPr>
            <w:r/>
            <w:r>
              <w:rPr>
                <w:b w:val="0"/>
                <w:i w:val="0"/>
                <w:color w:val="000000"/>
                <w:sz w:val="21"/>
                <w:rFonts w:eastAsia="宋体" w:ascii="Times New Roman" w:hAnsi="Times New Roman"/>
              </w:rPr>
              <w:t>0.8435</w:t>
            </w:r>
          </w:p>
        </w:tc>
        <w:tc>
          <w:tcPr>
            <w:tcW w:type="dxa" w:w="1020"/>
            <w:vAlign w:val="center"/>
          </w:tcPr>
          <w:p>
            <w:pPr>
              <w:spacing w:lineRule="auto" w:line="288" w:before="0" w:after="0"/>
              <w:jc w:val="left"/>
            </w:pPr>
            <w:r/>
            <w:r>
              <w:rPr>
                <w:b w:val="0"/>
                <w:i w:val="0"/>
                <w:color w:val="000000"/>
                <w:sz w:val="21"/>
                <w:rFonts w:eastAsia="宋体" w:ascii="Times New Roman" w:hAnsi="Times New Roman"/>
              </w:rPr>
              <w:t>0.9837</w:t>
            </w:r>
          </w:p>
        </w:tc>
        <w:tc>
          <w:tcPr>
            <w:tcW w:type="dxa" w:w="1191"/>
            <w:vAlign w:val="center"/>
          </w:tcPr>
          <w:p>
            <w:pPr>
              <w:spacing w:lineRule="auto" w:line="288" w:before="0" w:after="0"/>
              <w:jc w:val="left"/>
            </w:pPr>
            <w:r/>
            <w:r>
              <w:rPr>
                <w:b w:val="0"/>
                <w:i w:val="0"/>
                <w:color w:val="000000"/>
                <w:sz w:val="21"/>
                <w:rFonts w:eastAsia="宋体" w:ascii="Times New Roman" w:hAnsi="Times New Roman"/>
              </w:rPr>
              <w:t>10.98%</w:t>
            </w:r>
          </w:p>
        </w:tc>
        <w:tc>
          <w:tcPr>
            <w:tcW w:type="dxa" w:w="1247"/>
            <w:vAlign w:val="center"/>
          </w:tcPr>
          <w:p>
            <w:pPr>
              <w:spacing w:lineRule="auto" w:line="288" w:before="0" w:after="0"/>
              <w:jc w:val="left"/>
            </w:pPr>
            <w:r/>
            <w:r>
              <w:rPr>
                <w:b w:val="0"/>
                <w:i w:val="0"/>
                <w:color w:val="000000"/>
                <w:sz w:val="21"/>
                <w:rFonts w:eastAsia="宋体" w:ascii="Times New Roman" w:hAnsi="Times New Roman"/>
              </w:rPr>
              <w:t>10872</w:t>
            </w:r>
          </w:p>
        </w:tc>
      </w:tr>
      <w:tr>
        <w:tc>
          <w:tcPr>
            <w:tcW w:type="dxa" w:w="2608"/>
            <w:vAlign w:val="center"/>
          </w:tcPr>
          <w:p>
            <w:pPr>
              <w:spacing w:lineRule="auto" w:line="288" w:before="0" w:after="0"/>
              <w:jc w:val="center"/>
            </w:pPr>
            <w:r/>
            <w:r>
              <w:rPr>
                <w:b w:val="0"/>
                <w:i w:val="0"/>
                <w:color w:val="000000"/>
                <w:sz w:val="21"/>
                <w:rFonts w:eastAsia="宋体" w:ascii="Times New Roman" w:hAnsi="Times New Roman"/>
              </w:rPr>
              <w:t>过滤+相似度0.50</w:t>
            </w:r>
          </w:p>
        </w:tc>
        <w:tc>
          <w:tcPr>
            <w:tcW w:type="dxa" w:w="1134"/>
            <w:vAlign w:val="center"/>
          </w:tcPr>
          <w:p>
            <w:pPr>
              <w:spacing w:lineRule="auto" w:line="288" w:before="0" w:after="0"/>
              <w:jc w:val="left"/>
            </w:pPr>
            <w:r/>
            <w:r>
              <w:rPr>
                <w:b w:val="0"/>
                <w:i w:val="0"/>
                <w:color w:val="000000"/>
                <w:sz w:val="21"/>
                <w:rFonts w:eastAsia="宋体" w:ascii="Times New Roman" w:hAnsi="Times New Roman"/>
              </w:rPr>
              <w:t>3400</w:t>
            </w:r>
          </w:p>
        </w:tc>
        <w:tc>
          <w:tcPr>
            <w:tcW w:type="dxa" w:w="1020"/>
            <w:vAlign w:val="center"/>
          </w:tcPr>
          <w:p>
            <w:pPr>
              <w:spacing w:lineRule="auto" w:line="288" w:before="0" w:after="0"/>
              <w:jc w:val="left"/>
            </w:pPr>
            <w:r/>
            <w:r>
              <w:rPr>
                <w:b w:val="0"/>
                <w:i w:val="0"/>
                <w:color w:val="000000"/>
                <w:sz w:val="21"/>
                <w:rFonts w:eastAsia="宋体" w:ascii="Times New Roman" w:hAnsi="Times New Roman"/>
              </w:rPr>
              <w:t>0.6876</w:t>
            </w:r>
          </w:p>
        </w:tc>
        <w:tc>
          <w:tcPr>
            <w:tcW w:type="dxa" w:w="1020"/>
            <w:vAlign w:val="center"/>
          </w:tcPr>
          <w:p>
            <w:pPr>
              <w:spacing w:lineRule="auto" w:line="288" w:before="0" w:after="0"/>
              <w:jc w:val="left"/>
            </w:pPr>
            <w:r/>
            <w:r>
              <w:rPr>
                <w:b w:val="0"/>
                <w:i w:val="0"/>
                <w:color w:val="000000"/>
                <w:sz w:val="21"/>
                <w:rFonts w:eastAsia="宋体" w:ascii="Times New Roman" w:hAnsi="Times New Roman"/>
              </w:rPr>
              <w:t>0.9653</w:t>
            </w:r>
          </w:p>
        </w:tc>
        <w:tc>
          <w:tcPr>
            <w:tcW w:type="dxa" w:w="1191"/>
            <w:vAlign w:val="center"/>
          </w:tcPr>
          <w:p>
            <w:pPr>
              <w:spacing w:lineRule="auto" w:line="288" w:before="0" w:after="0"/>
              <w:jc w:val="left"/>
            </w:pPr>
            <w:r/>
            <w:r>
              <w:rPr>
                <w:b w:val="0"/>
                <w:i w:val="0"/>
                <w:color w:val="000000"/>
                <w:sz w:val="21"/>
                <w:rFonts w:eastAsia="宋体" w:ascii="Times New Roman" w:hAnsi="Times New Roman"/>
              </w:rPr>
              <w:t>9.01%</w:t>
            </w:r>
          </w:p>
        </w:tc>
        <w:tc>
          <w:tcPr>
            <w:tcW w:type="dxa" w:w="1247"/>
            <w:vAlign w:val="center"/>
          </w:tcPr>
          <w:p>
            <w:pPr>
              <w:spacing w:lineRule="auto" w:line="288" w:before="0" w:after="0"/>
              <w:jc w:val="left"/>
            </w:pPr>
            <w:r/>
            <w:r>
              <w:rPr>
                <w:b w:val="0"/>
                <w:i w:val="0"/>
                <w:color w:val="000000"/>
                <w:sz w:val="21"/>
                <w:rFonts w:eastAsia="宋体" w:ascii="Times New Roman" w:hAnsi="Times New Roman"/>
              </w:rPr>
              <w:t>4963</w:t>
            </w:r>
          </w:p>
        </w:tc>
      </w:tr>
      <w:tr>
        <w:tc>
          <w:tcPr>
            <w:tcW w:type="dxa" w:w="2608"/>
            <w:vAlign w:val="center"/>
          </w:tcPr>
          <w:p>
            <w:pPr>
              <w:spacing w:lineRule="auto" w:line="288" w:before="0" w:after="0"/>
              <w:jc w:val="center"/>
            </w:pPr>
            <w:r/>
            <w:r>
              <w:rPr>
                <w:b w:val="0"/>
                <w:i w:val="0"/>
                <w:color w:val="000000"/>
                <w:sz w:val="21"/>
                <w:rFonts w:eastAsia="宋体" w:ascii="Times New Roman" w:hAnsi="Times New Roman"/>
              </w:rPr>
              <w:t>过滤+相似度0.70</w:t>
            </w:r>
          </w:p>
        </w:tc>
        <w:tc>
          <w:tcPr>
            <w:tcW w:type="dxa" w:w="1134"/>
            <w:vAlign w:val="center"/>
          </w:tcPr>
          <w:p>
            <w:pPr>
              <w:spacing w:lineRule="auto" w:line="288" w:before="0" w:after="0"/>
              <w:jc w:val="left"/>
            </w:pPr>
            <w:r/>
            <w:r>
              <w:rPr>
                <w:b w:val="0"/>
                <w:i w:val="0"/>
                <w:color w:val="000000"/>
                <w:sz w:val="21"/>
                <w:rFonts w:eastAsia="宋体" w:ascii="Times New Roman" w:hAnsi="Times New Roman"/>
              </w:rPr>
              <w:t>4139</w:t>
            </w:r>
          </w:p>
        </w:tc>
        <w:tc>
          <w:tcPr>
            <w:tcW w:type="dxa" w:w="1020"/>
            <w:vAlign w:val="center"/>
          </w:tcPr>
          <w:p>
            <w:pPr>
              <w:spacing w:lineRule="auto" w:line="288" w:before="0" w:after="0"/>
              <w:jc w:val="left"/>
            </w:pPr>
            <w:r/>
            <w:r>
              <w:rPr>
                <w:b w:val="0"/>
                <w:i w:val="0"/>
                <w:color w:val="000000"/>
                <w:sz w:val="21"/>
                <w:rFonts w:eastAsia="宋体" w:ascii="Times New Roman" w:hAnsi="Times New Roman"/>
              </w:rPr>
              <w:t>0.2701</w:t>
            </w:r>
          </w:p>
        </w:tc>
        <w:tc>
          <w:tcPr>
            <w:tcW w:type="dxa" w:w="1020"/>
            <w:vAlign w:val="center"/>
          </w:tcPr>
          <w:p>
            <w:pPr>
              <w:spacing w:lineRule="auto" w:line="288" w:before="0" w:after="0"/>
              <w:jc w:val="left"/>
            </w:pPr>
            <w:r/>
            <w:r>
              <w:rPr>
                <w:b w:val="0"/>
                <w:i w:val="0"/>
                <w:color w:val="000000"/>
                <w:sz w:val="21"/>
                <w:rFonts w:eastAsia="宋体" w:ascii="Times New Roman" w:hAnsi="Times New Roman"/>
              </w:rPr>
              <w:t>0.9466</w:t>
            </w:r>
          </w:p>
        </w:tc>
        <w:tc>
          <w:tcPr>
            <w:tcW w:type="dxa" w:w="1191"/>
            <w:vAlign w:val="center"/>
          </w:tcPr>
          <w:p>
            <w:pPr>
              <w:spacing w:lineRule="auto" w:line="288" w:before="0" w:after="0"/>
              <w:jc w:val="left"/>
            </w:pPr>
            <w:r/>
            <w:r>
              <w:rPr>
                <w:b w:val="0"/>
                <w:i w:val="0"/>
                <w:color w:val="000000"/>
                <w:sz w:val="21"/>
                <w:rFonts w:eastAsia="宋体" w:ascii="Times New Roman" w:hAnsi="Times New Roman"/>
              </w:rPr>
              <w:t>5.75%</w:t>
            </w:r>
          </w:p>
        </w:tc>
        <w:tc>
          <w:tcPr>
            <w:tcW w:type="dxa" w:w="1247"/>
            <w:vAlign w:val="center"/>
          </w:tcPr>
          <w:p>
            <w:pPr>
              <w:spacing w:lineRule="auto" w:line="288" w:before="0" w:after="0"/>
              <w:jc w:val="left"/>
            </w:pPr>
            <w:r/>
            <w:r>
              <w:rPr>
                <w:b w:val="0"/>
                <w:i w:val="0"/>
                <w:color w:val="000000"/>
                <w:sz w:val="21"/>
                <w:rFonts w:eastAsia="宋体" w:ascii="Times New Roman" w:hAnsi="Times New Roman"/>
              </w:rPr>
              <w:t>1028</w:t>
            </w:r>
          </w:p>
        </w:tc>
      </w:tr>
    </w:tbl>
    <w:p/>
    <w:p>
      <w:pPr>
        <w:spacing w:lineRule="auto" w:line="360" w:before="0" w:after="0"/>
        <w:ind w:firstLine="420"/>
        <w:jc w:val="both"/>
      </w:pPr>
      <w:r>
        <w:rPr>
          <w:b w:val="0"/>
          <w:i w:val="0"/>
          <w:color w:val="000000"/>
          <w:sz w:val="24"/>
          <w:rFonts w:eastAsia="宋体" w:ascii="Times New Roman" w:hAnsi="Times New Roman"/>
        </w:rPr>
        <w:t>从聚类一致性看，前体质量-荷电过滤的 ARI 为 0.8659、NMI 为 0.9874，说明公开数据中许多蛋白质形态已经能被前体属性较好地区分。加入碎片峰相似度阈值 0.30 后，ARI 为 0.8435、NMI 为 0.9837，略低于只按前体属性连通的结果，但错误聚类率从 13.22% 降至 10.98%。这说明碎片峰相似度会拆开一部分弱证据连接，从而降低错误合并风险。</w:t>
      </w:r>
    </w:p>
    <w:p>
      <w:pPr>
        <w:spacing w:lineRule="auto" w:line="360" w:before="0" w:after="0"/>
        <w:ind w:firstLine="420"/>
        <w:jc w:val="both"/>
      </w:pPr>
      <w:r>
        <w:rPr>
          <w:b w:val="0"/>
          <w:i w:val="0"/>
          <w:color w:val="000000"/>
          <w:sz w:val="24"/>
          <w:rFonts w:eastAsia="宋体" w:ascii="Times New Roman" w:hAnsi="Times New Roman"/>
        </w:rPr>
        <w:t>阈值继续提高到 0.50 和 0.70 时，保留边数量明显下降，预测簇数量增加，ARI 也随之下降。这一结果符合谱图库聚类的实际特点：过严的碎片峰阈值虽然可以降低错误合并，但会把同一标注组拆成多个小簇，影响聚类完整性。</w:t>
      </w:r>
    </w:p>
    <w:p>
      <w:pPr>
        <w:spacing w:lineRule="auto" w:line="360" w:before="0" w:after="0"/>
        <w:ind w:firstLine="420"/>
        <w:jc w:val="both"/>
      </w:pPr>
      <w:r>
        <w:rPr>
          <w:b w:val="0"/>
          <w:i w:val="0"/>
          <w:color w:val="000000"/>
          <w:sz w:val="24"/>
          <w:rFonts w:eastAsia="宋体" w:ascii="Times New Roman" w:hAnsi="Times New Roman"/>
        </w:rPr>
        <w:t>全部单谱图基线的 ARI 为 0，说明只保留单例无法完成去冗余；但其 NMI 仍较高，这是因为参考标注组数量较多，单例划分保留了大量样本身份信息。本研究因此不单独使用 NMI 下结论，而是结合 ARI、错误聚类率和成簇谱图比例分析。</w:t>
      </w:r>
    </w:p>
    <w:p>
      <w:pPr>
        <w:jc w:val="center"/>
      </w:pPr>
      <w:r>
        <w:drawing>
          <wp:inline xmlns:a="http://schemas.openxmlformats.org/drawingml/2006/main" xmlns:pic="http://schemas.openxmlformats.org/drawingml/2006/picture">
            <wp:extent cx="5112000" cy="3103714"/>
            <wp:docPr id="19" name="Picture 19"/>
            <wp:cNvGraphicFramePr>
              <a:graphicFrameLocks noChangeAspect="1"/>
            </wp:cNvGraphicFramePr>
            <a:graphic>
              <a:graphicData uri="http://schemas.openxmlformats.org/drawingml/2006/picture">
                <pic:pic>
                  <pic:nvPicPr>
                    <pic:cNvPr id="0" name="cluster_size_distribution.png"/>
                    <pic:cNvPicPr/>
                  </pic:nvPicPr>
                  <pic:blipFill>
                    <a:blip r:embed="rId24"/>
                    <a:stretch>
                      <a:fillRect/>
                    </a:stretch>
                  </pic:blipFill>
                  <pic:spPr>
                    <a:xfrm>
                      <a:off x="0" y="0"/>
                      <a:ext cx="5112000" cy="3103714"/>
                    </a:xfrm>
                    <a:prstGeom prst="rect"/>
                  </pic:spPr>
                </pic:pic>
              </a:graphicData>
            </a:graphic>
          </wp:inline>
        </w:drawing>
      </w:r>
    </w:p>
    <w:p>
      <w:pPr>
        <w:spacing w:after="120"/>
        <w:jc w:val="center"/>
      </w:pPr>
      <w:r>
        <w:rPr>
          <w:b w:val="0"/>
          <w:i w:val="0"/>
          <w:color w:val="000000"/>
          <w:sz w:val="21"/>
          <w:rFonts w:eastAsia="宋体" w:ascii="Times New Roman" w:hAnsi="Times New Roman"/>
        </w:rPr>
        <w:t>图10 参考标注组与聚类簇规模分布</w:t>
      </w:r>
    </w:p>
    <w:p>
      <w:pPr>
        <w:spacing w:lineRule="auto" w:line="360" w:before="0" w:after="0"/>
        <w:ind w:firstLine="420"/>
        <w:jc w:val="both"/>
      </w:pPr>
      <w:r>
        <w:rPr>
          <w:b w:val="0"/>
          <w:i w:val="0"/>
          <w:color w:val="000000"/>
          <w:sz w:val="24"/>
          <w:rFonts w:eastAsia="宋体" w:ascii="Times New Roman" w:hAnsi="Times New Roman"/>
        </w:rPr>
        <w:t>簇规模分布显示，参考标注组和预测簇都呈现明显长尾结构。较大的标注组主要来自重复鉴定或相近前体质量的谱图，小簇则反映了top-down 数据中蛋白质形态多、谱图重复度不均衡的特点。</w:t>
      </w:r>
    </w:p>
    <w:p>
      <w:pPr>
        <w:pStyle w:val="3"/>
        <w:jc w:val="left"/>
      </w:pPr>
      <w:r>
        <w:rPr>
          <w:b/>
          <w:i w:val="0"/>
          <w:color w:val="000000"/>
          <w:sz w:val="24"/>
          <w:rFonts w:eastAsia="黑体" w:ascii="Times New Roman" w:hAnsi="Times New Roman"/>
        </w:rPr>
        <w:t>6.4 效率与候选过滤效果</w:t>
      </w:r>
    </w:p>
    <w:p>
      <w:pPr>
        <w:jc w:val="center"/>
      </w:pPr>
      <w:r>
        <w:drawing>
          <wp:inline xmlns:a="http://schemas.openxmlformats.org/drawingml/2006/main" xmlns:pic="http://schemas.openxmlformats.org/drawingml/2006/picture">
            <wp:extent cx="5112000" cy="3103714"/>
            <wp:docPr id="20" name="Picture 20"/>
            <wp:cNvGraphicFramePr>
              <a:graphicFrameLocks noChangeAspect="1"/>
            </wp:cNvGraphicFramePr>
            <a:graphic>
              <a:graphicData uri="http://schemas.openxmlformats.org/drawingml/2006/picture">
                <pic:pic>
                  <pic:nvPicPr>
                    <pic:cNvPr id="0" name="candidate_reduction.png"/>
                    <pic:cNvPicPr/>
                  </pic:nvPicPr>
                  <pic:blipFill>
                    <a:blip r:embed="rId25"/>
                    <a:stretch>
                      <a:fillRect/>
                    </a:stretch>
                  </pic:blipFill>
                  <pic:spPr>
                    <a:xfrm>
                      <a:off x="0" y="0"/>
                      <a:ext cx="5112000" cy="3103714"/>
                    </a:xfrm>
                    <a:prstGeom prst="rect"/>
                  </pic:spPr>
                </pic:pic>
              </a:graphicData>
            </a:graphic>
          </wp:inline>
        </w:drawing>
      </w:r>
    </w:p>
    <w:p>
      <w:pPr>
        <w:spacing w:after="120"/>
        <w:jc w:val="center"/>
      </w:pPr>
      <w:r>
        <w:rPr>
          <w:b w:val="0"/>
          <w:i w:val="0"/>
          <w:color w:val="000000"/>
          <w:sz w:val="21"/>
          <w:rFonts w:eastAsia="宋体" w:ascii="Times New Roman" w:hAnsi="Times New Roman"/>
        </w:rPr>
        <w:t>图11 公开数据候选谱图对过滤效果</w:t>
      </w:r>
    </w:p>
    <w:p>
      <w:pPr>
        <w:spacing w:lineRule="auto" w:line="360" w:before="0" w:after="0"/>
        <w:ind w:firstLine="420"/>
        <w:jc w:val="both"/>
      </w:pPr>
      <w:r>
        <w:rPr>
          <w:b w:val="0"/>
          <w:i w:val="0"/>
          <w:color w:val="000000"/>
          <w:sz w:val="24"/>
          <w:rFonts w:eastAsia="宋体" w:ascii="Times New Roman" w:hAnsi="Times New Roman"/>
        </w:rPr>
        <w:t>候选过滤效果是本文实验中最直接的结果。对于 4,480 条谱图，完整两两比较需要 10,032,960 个谱图对；数据库过滤后只保留 14,614 个前体候选对，过滤率达到 99.85%。在相似度阈值 0.30 下，最终保留边数量为 10,872 条。</w:t>
      </w:r>
    </w:p>
    <w:p>
      <w:pPr>
        <w:jc w:val="center"/>
      </w:pPr>
      <w:r>
        <w:drawing>
          <wp:inline xmlns:a="http://schemas.openxmlformats.org/drawingml/2006/main" xmlns:pic="http://schemas.openxmlformats.org/drawingml/2006/picture">
            <wp:extent cx="5112000" cy="3103714"/>
            <wp:docPr id="21" name="Picture 21"/>
            <wp:cNvGraphicFramePr>
              <a:graphicFrameLocks noChangeAspect="1"/>
            </wp:cNvGraphicFramePr>
            <a:graphic>
              <a:graphicData uri="http://schemas.openxmlformats.org/drawingml/2006/picture">
                <pic:pic>
                  <pic:nvPicPr>
                    <pic:cNvPr id="0" name="runtime_comparison.png"/>
                    <pic:cNvPicPr/>
                  </pic:nvPicPr>
                  <pic:blipFill>
                    <a:blip r:embed="rId26"/>
                    <a:stretch>
                      <a:fillRect/>
                    </a:stretch>
                  </pic:blipFill>
                  <pic:spPr>
                    <a:xfrm>
                      <a:off x="0" y="0"/>
                      <a:ext cx="5112000" cy="3103714"/>
                    </a:xfrm>
                    <a:prstGeom prst="rect"/>
                  </pic:spPr>
                </pic:pic>
              </a:graphicData>
            </a:graphic>
          </wp:inline>
        </w:drawing>
      </w:r>
    </w:p>
    <w:p>
      <w:pPr>
        <w:spacing w:after="120"/>
        <w:jc w:val="center"/>
      </w:pPr>
      <w:r>
        <w:rPr>
          <w:b w:val="0"/>
          <w:i w:val="0"/>
          <w:color w:val="000000"/>
          <w:sz w:val="21"/>
          <w:rFonts w:eastAsia="宋体" w:ascii="Times New Roman" w:hAnsi="Times New Roman"/>
        </w:rPr>
        <w:t>图12 实验运行时间与保留边数量</w:t>
      </w:r>
    </w:p>
    <w:p>
      <w:pPr>
        <w:spacing w:lineRule="auto" w:line="360" w:before="0" w:after="0"/>
        <w:ind w:firstLine="420"/>
        <w:jc w:val="both"/>
      </w:pPr>
      <w:r>
        <w:rPr>
          <w:b w:val="0"/>
          <w:i w:val="0"/>
          <w:color w:val="000000"/>
          <w:sz w:val="24"/>
          <w:rFonts w:eastAsia="宋体" w:ascii="Times New Roman" w:hAnsi="Times New Roman"/>
        </w:rPr>
        <w:t>运行时间需要和保留边数量一起理解。公开数据规模下，候选生成和 Union-Find 合并的耗时都很低；相似度阈值越高，保留边越少，连通合并阶段也越轻。由于本研究没有在全部 10,032,960 个谱图对上计算碎片峰相似度，主要计算量被限制在数据库候选集合内。</w:t>
      </w:r>
    </w:p>
    <w:p>
      <w:pPr>
        <w:jc w:val="center"/>
      </w:pPr>
      <w:r>
        <w:drawing>
          <wp:inline xmlns:a="http://schemas.openxmlformats.org/drawingml/2006/main" xmlns:pic="http://schemas.openxmlformats.org/drawingml/2006/picture">
            <wp:extent cx="5112000" cy="3103714"/>
            <wp:docPr id="22" name="Picture 22"/>
            <wp:cNvGraphicFramePr>
              <a:graphicFrameLocks noChangeAspect="1"/>
            </wp:cNvGraphicFramePr>
            <a:graphic>
              <a:graphicData uri="http://schemas.openxmlformats.org/drawingml/2006/picture">
                <pic:pic>
                  <pic:nvPicPr>
                    <pic:cNvPr id="0" name="memory_comparison.png"/>
                    <pic:cNvPicPr/>
                  </pic:nvPicPr>
                  <pic:blipFill>
                    <a:blip r:embed="rId27"/>
                    <a:stretch>
                      <a:fillRect/>
                    </a:stretch>
                  </pic:blipFill>
                  <pic:spPr>
                    <a:xfrm>
                      <a:off x="0" y="0"/>
                      <a:ext cx="5112000" cy="3103714"/>
                    </a:xfrm>
                    <a:prstGeom prst="rect"/>
                  </pic:spPr>
                </pic:pic>
              </a:graphicData>
            </a:graphic>
          </wp:inline>
        </w:drawing>
      </w:r>
    </w:p>
    <w:p>
      <w:pPr>
        <w:spacing w:after="120"/>
        <w:jc w:val="center"/>
      </w:pPr>
      <w:r>
        <w:rPr>
          <w:b w:val="0"/>
          <w:i w:val="0"/>
          <w:color w:val="000000"/>
          <w:sz w:val="21"/>
          <w:rFonts w:eastAsia="宋体" w:ascii="Times New Roman" w:hAnsi="Times New Roman"/>
        </w:rPr>
        <w:t>图13 算法阶段峰值内存占用对比</w:t>
      </w:r>
    </w:p>
    <w:p>
      <w:pPr>
        <w:spacing w:lineRule="auto" w:line="360" w:before="0" w:after="0"/>
        <w:ind w:firstLine="420"/>
        <w:jc w:val="both"/>
      </w:pPr>
      <w:r>
        <w:rPr>
          <w:b w:val="0"/>
          <w:i w:val="0"/>
          <w:color w:val="000000"/>
          <w:sz w:val="24"/>
          <w:rFonts w:eastAsia="宋体" w:ascii="Times New Roman" w:hAnsi="Times New Roman"/>
        </w:rPr>
        <w:t>峰值内存结果显示，各算法设置的内存开销都保持在较低水平。原因在于程序不保存完整相似度矩阵，只保存候选边和必要的谱图峰列表。对于更大的谱图库，避免完整矩阵通常比优化单次相似度计算更重要。</w:t>
      </w:r>
    </w:p>
    <w:p>
      <w:pPr>
        <w:pStyle w:val="3"/>
        <w:jc w:val="left"/>
      </w:pPr>
      <w:r>
        <w:rPr>
          <w:b/>
          <w:i w:val="0"/>
          <w:color w:val="000000"/>
          <w:sz w:val="24"/>
          <w:rFonts w:eastAsia="黑体" w:ascii="Times New Roman" w:hAnsi="Times New Roman"/>
        </w:rPr>
        <w:t>6.5 候选过滤参数敏感性分析</w:t>
      </w:r>
    </w:p>
    <w:p>
      <w:pPr>
        <w:jc w:val="center"/>
      </w:pPr>
      <w:r>
        <w:drawing>
          <wp:inline xmlns:a="http://schemas.openxmlformats.org/drawingml/2006/main" xmlns:pic="http://schemas.openxmlformats.org/drawingml/2006/picture">
            <wp:extent cx="5112000" cy="3103714"/>
            <wp:docPr id="23" name="Picture 23"/>
            <wp:cNvGraphicFramePr>
              <a:graphicFrameLocks noChangeAspect="1"/>
            </wp:cNvGraphicFramePr>
            <a:graphic>
              <a:graphicData uri="http://schemas.openxmlformats.org/drawingml/2006/picture">
                <pic:pic>
                  <pic:nvPicPr>
                    <pic:cNvPr id="0" name="filter_sensitivity.png"/>
                    <pic:cNvPicPr/>
                  </pic:nvPicPr>
                  <pic:blipFill>
                    <a:blip r:embed="rId28"/>
                    <a:stretch>
                      <a:fillRect/>
                    </a:stretch>
                  </pic:blipFill>
                  <pic:spPr>
                    <a:xfrm>
                      <a:off x="0" y="0"/>
                      <a:ext cx="5112000" cy="3103714"/>
                    </a:xfrm>
                    <a:prstGeom prst="rect"/>
                  </pic:spPr>
                </pic:pic>
              </a:graphicData>
            </a:graphic>
          </wp:inline>
        </w:drawing>
      </w:r>
    </w:p>
    <w:p>
      <w:pPr>
        <w:spacing w:after="120"/>
        <w:jc w:val="center"/>
      </w:pPr>
      <w:r>
        <w:rPr>
          <w:b w:val="0"/>
          <w:i w:val="0"/>
          <w:color w:val="000000"/>
          <w:sz w:val="21"/>
          <w:rFonts w:eastAsia="宋体" w:ascii="Times New Roman" w:hAnsi="Times New Roman"/>
        </w:rPr>
        <w:t>图14 碎片峰相似度阈值敏感性分析</w:t>
      </w:r>
    </w:p>
    <w:p>
      <w:pPr>
        <w:spacing w:after="120"/>
        <w:jc w:val="center"/>
      </w:pPr>
      <w:r>
        <w:rPr>
          <w:b w:val="0"/>
          <w:i w:val="0"/>
          <w:color w:val="000000"/>
          <w:sz w:val="21"/>
          <w:rFonts w:eastAsia="宋体" w:ascii="Times New Roman" w:hAnsi="Times New Roman"/>
        </w:rPr>
        <w:t>表5 碎片峰相似度阈值敏感性分析</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8" w:space="0" w:color="000000"/>
          <w:right w:val="nil" w:sz="8" w:space="0" w:color="000000"/>
          <w:insideV w:val="nil" w:sz="8" w:space="0" w:color="000000"/>
          <w:insideH w:val="nil" w:sz="8" w:space="0" w:color="000000"/>
        </w:tblBorders>
      </w:tblPr>
      <w:tblGrid>
        <w:gridCol w:w="1134"/>
        <w:gridCol w:w="1361"/>
        <w:gridCol w:w="1134"/>
        <w:gridCol w:w="1134"/>
        <w:gridCol w:w="1134"/>
        <w:gridCol w:w="1474"/>
      </w:tblGrid>
      <w:tr>
        <w:tc>
          <w:tcPr>
            <w:tcW w:type="dxa" w:w="1385"/>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阈值</w:t>
            </w:r>
          </w:p>
        </w:tc>
        <w:tc>
          <w:tcPr>
            <w:tcW w:type="dxa" w:w="1385"/>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保留边数</w:t>
            </w:r>
          </w:p>
        </w:tc>
        <w:tc>
          <w:tcPr>
            <w:tcW w:type="dxa" w:w="1385"/>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聚类数</w:t>
            </w:r>
          </w:p>
        </w:tc>
        <w:tc>
          <w:tcPr>
            <w:tcW w:type="dxa" w:w="1385"/>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ARI</w:t>
            </w:r>
          </w:p>
        </w:tc>
        <w:tc>
          <w:tcPr>
            <w:tcW w:type="dxa" w:w="1385"/>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NMI</w:t>
            </w:r>
          </w:p>
        </w:tc>
        <w:tc>
          <w:tcPr>
            <w:tcW w:type="dxa" w:w="1385"/>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错误聚类率</w:t>
            </w:r>
          </w:p>
        </w:tc>
      </w:tr>
      <w:tr>
        <w:tc>
          <w:tcPr>
            <w:tcW w:type="dxa" w:w="1134"/>
            <w:vAlign w:val="center"/>
          </w:tcPr>
          <w:p>
            <w:pPr>
              <w:spacing w:lineRule="auto" w:line="288" w:before="0" w:after="0"/>
              <w:jc w:val="center"/>
            </w:pPr>
            <w:r/>
            <w:r>
              <w:rPr>
                <w:b w:val="0"/>
                <w:i w:val="0"/>
                <w:color w:val="000000"/>
                <w:sz w:val="21"/>
                <w:rFonts w:eastAsia="宋体" w:ascii="Times New Roman" w:hAnsi="Times New Roman"/>
              </w:rPr>
              <w:t>0.10</w:t>
            </w:r>
          </w:p>
        </w:tc>
        <w:tc>
          <w:tcPr>
            <w:tcW w:type="dxa" w:w="1361"/>
            <w:vAlign w:val="center"/>
          </w:tcPr>
          <w:p>
            <w:pPr>
              <w:spacing w:lineRule="auto" w:line="288" w:before="0" w:after="0"/>
              <w:jc w:val="left"/>
            </w:pPr>
            <w:r/>
            <w:r>
              <w:rPr>
                <w:b w:val="0"/>
                <w:i w:val="0"/>
                <w:color w:val="000000"/>
                <w:sz w:val="21"/>
                <w:rFonts w:eastAsia="宋体" w:ascii="Times New Roman" w:hAnsi="Times New Roman"/>
              </w:rPr>
              <w:t>14,244</w:t>
            </w:r>
          </w:p>
        </w:tc>
        <w:tc>
          <w:tcPr>
            <w:tcW w:type="dxa" w:w="1134"/>
            <w:vAlign w:val="center"/>
          </w:tcPr>
          <w:p>
            <w:pPr>
              <w:spacing w:lineRule="auto" w:line="288" w:before="0" w:after="0"/>
              <w:jc w:val="left"/>
            </w:pPr>
            <w:r/>
            <w:r>
              <w:rPr>
                <w:b w:val="0"/>
                <w:i w:val="0"/>
                <w:color w:val="000000"/>
                <w:sz w:val="21"/>
                <w:rFonts w:eastAsia="宋体" w:ascii="Times New Roman" w:hAnsi="Times New Roman"/>
              </w:rPr>
              <w:t>2257</w:t>
            </w:r>
          </w:p>
        </w:tc>
        <w:tc>
          <w:tcPr>
            <w:tcW w:type="dxa" w:w="1134"/>
            <w:vAlign w:val="center"/>
          </w:tcPr>
          <w:p>
            <w:pPr>
              <w:spacing w:lineRule="auto" w:line="288" w:before="0" w:after="0"/>
              <w:jc w:val="left"/>
            </w:pPr>
            <w:r/>
            <w:r>
              <w:rPr>
                <w:b w:val="0"/>
                <w:i w:val="0"/>
                <w:color w:val="000000"/>
                <w:sz w:val="21"/>
                <w:rFonts w:eastAsia="宋体" w:ascii="Times New Roman" w:hAnsi="Times New Roman"/>
              </w:rPr>
              <w:t>0.8693</w:t>
            </w:r>
          </w:p>
        </w:tc>
        <w:tc>
          <w:tcPr>
            <w:tcW w:type="dxa" w:w="1134"/>
            <w:vAlign w:val="center"/>
          </w:tcPr>
          <w:p>
            <w:pPr>
              <w:spacing w:lineRule="auto" w:line="288" w:before="0" w:after="0"/>
              <w:jc w:val="left"/>
            </w:pPr>
            <w:r/>
            <w:r>
              <w:rPr>
                <w:b w:val="0"/>
                <w:i w:val="0"/>
                <w:color w:val="000000"/>
                <w:sz w:val="21"/>
                <w:rFonts w:eastAsia="宋体" w:ascii="Times New Roman" w:hAnsi="Times New Roman"/>
              </w:rPr>
              <w:t>0.9882</w:t>
            </w:r>
          </w:p>
        </w:tc>
        <w:tc>
          <w:tcPr>
            <w:tcW w:type="dxa" w:w="1474"/>
            <w:vAlign w:val="center"/>
          </w:tcPr>
          <w:p>
            <w:pPr>
              <w:spacing w:lineRule="auto" w:line="288" w:before="0" w:after="0"/>
              <w:jc w:val="left"/>
            </w:pPr>
            <w:r/>
            <w:r>
              <w:rPr>
                <w:b w:val="0"/>
                <w:i w:val="0"/>
                <w:color w:val="000000"/>
                <w:sz w:val="21"/>
                <w:rFonts w:eastAsia="宋体" w:ascii="Times New Roman" w:hAnsi="Times New Roman"/>
              </w:rPr>
              <w:t>12.34%</w:t>
            </w:r>
          </w:p>
        </w:tc>
      </w:tr>
      <w:tr>
        <w:tc>
          <w:tcPr>
            <w:tcW w:type="dxa" w:w="1134"/>
            <w:vAlign w:val="center"/>
          </w:tcPr>
          <w:p>
            <w:pPr>
              <w:spacing w:lineRule="auto" w:line="288" w:before="0" w:after="0"/>
              <w:jc w:val="center"/>
            </w:pPr>
            <w:r/>
            <w:r>
              <w:rPr>
                <w:b w:val="0"/>
                <w:i w:val="0"/>
                <w:color w:val="000000"/>
                <w:sz w:val="21"/>
                <w:rFonts w:eastAsia="宋体" w:ascii="Times New Roman" w:hAnsi="Times New Roman"/>
              </w:rPr>
              <w:t>0.20</w:t>
            </w:r>
          </w:p>
        </w:tc>
        <w:tc>
          <w:tcPr>
            <w:tcW w:type="dxa" w:w="1361"/>
            <w:vAlign w:val="center"/>
          </w:tcPr>
          <w:p>
            <w:pPr>
              <w:spacing w:lineRule="auto" w:line="288" w:before="0" w:after="0"/>
              <w:jc w:val="left"/>
            </w:pPr>
            <w:r/>
            <w:r>
              <w:rPr>
                <w:b w:val="0"/>
                <w:i w:val="0"/>
                <w:color w:val="000000"/>
                <w:sz w:val="21"/>
                <w:rFonts w:eastAsia="宋体" w:ascii="Times New Roman" w:hAnsi="Times New Roman"/>
              </w:rPr>
              <w:t>13,058</w:t>
            </w:r>
          </w:p>
        </w:tc>
        <w:tc>
          <w:tcPr>
            <w:tcW w:type="dxa" w:w="1134"/>
            <w:vAlign w:val="center"/>
          </w:tcPr>
          <w:p>
            <w:pPr>
              <w:spacing w:lineRule="auto" w:line="288" w:before="0" w:after="0"/>
              <w:jc w:val="left"/>
            </w:pPr>
            <w:r/>
            <w:r>
              <w:rPr>
                <w:b w:val="0"/>
                <w:i w:val="0"/>
                <w:color w:val="000000"/>
                <w:sz w:val="21"/>
                <w:rFonts w:eastAsia="宋体" w:ascii="Times New Roman" w:hAnsi="Times New Roman"/>
              </w:rPr>
              <w:t>2331</w:t>
            </w:r>
          </w:p>
        </w:tc>
        <w:tc>
          <w:tcPr>
            <w:tcW w:type="dxa" w:w="1134"/>
            <w:vAlign w:val="center"/>
          </w:tcPr>
          <w:p>
            <w:pPr>
              <w:spacing w:lineRule="auto" w:line="288" w:before="0" w:after="0"/>
              <w:jc w:val="left"/>
            </w:pPr>
            <w:r/>
            <w:r>
              <w:rPr>
                <w:b w:val="0"/>
                <w:i w:val="0"/>
                <w:color w:val="000000"/>
                <w:sz w:val="21"/>
                <w:rFonts w:eastAsia="宋体" w:ascii="Times New Roman" w:hAnsi="Times New Roman"/>
              </w:rPr>
              <w:t>0.8664</w:t>
            </w:r>
          </w:p>
        </w:tc>
        <w:tc>
          <w:tcPr>
            <w:tcW w:type="dxa" w:w="1134"/>
            <w:vAlign w:val="center"/>
          </w:tcPr>
          <w:p>
            <w:pPr>
              <w:spacing w:lineRule="auto" w:line="288" w:before="0" w:after="0"/>
              <w:jc w:val="left"/>
            </w:pPr>
            <w:r/>
            <w:r>
              <w:rPr>
                <w:b w:val="0"/>
                <w:i w:val="0"/>
                <w:color w:val="000000"/>
                <w:sz w:val="21"/>
                <w:rFonts w:eastAsia="宋体" w:ascii="Times New Roman" w:hAnsi="Times New Roman"/>
              </w:rPr>
              <w:t>0.9875</w:t>
            </w:r>
          </w:p>
        </w:tc>
        <w:tc>
          <w:tcPr>
            <w:tcW w:type="dxa" w:w="1474"/>
            <w:vAlign w:val="center"/>
          </w:tcPr>
          <w:p>
            <w:pPr>
              <w:spacing w:lineRule="auto" w:line="288" w:before="0" w:after="0"/>
              <w:jc w:val="left"/>
            </w:pPr>
            <w:r/>
            <w:r>
              <w:rPr>
                <w:b w:val="0"/>
                <w:i w:val="0"/>
                <w:color w:val="000000"/>
                <w:sz w:val="21"/>
                <w:rFonts w:eastAsia="宋体" w:ascii="Times New Roman" w:hAnsi="Times New Roman"/>
              </w:rPr>
              <w:t>11.93%</w:t>
            </w:r>
          </w:p>
        </w:tc>
      </w:tr>
      <w:tr>
        <w:tc>
          <w:tcPr>
            <w:tcW w:type="dxa" w:w="1134"/>
            <w:vAlign w:val="center"/>
          </w:tcPr>
          <w:p>
            <w:pPr>
              <w:spacing w:lineRule="auto" w:line="288" w:before="0" w:after="0"/>
              <w:jc w:val="center"/>
            </w:pPr>
            <w:r/>
            <w:r>
              <w:rPr>
                <w:b w:val="0"/>
                <w:i w:val="0"/>
                <w:color w:val="000000"/>
                <w:sz w:val="21"/>
                <w:rFonts w:eastAsia="宋体" w:ascii="Times New Roman" w:hAnsi="Times New Roman"/>
              </w:rPr>
              <w:t>0.30</w:t>
            </w:r>
          </w:p>
        </w:tc>
        <w:tc>
          <w:tcPr>
            <w:tcW w:type="dxa" w:w="1361"/>
            <w:vAlign w:val="center"/>
          </w:tcPr>
          <w:p>
            <w:pPr>
              <w:spacing w:lineRule="auto" w:line="288" w:before="0" w:after="0"/>
              <w:jc w:val="left"/>
            </w:pPr>
            <w:r/>
            <w:r>
              <w:rPr>
                <w:b w:val="0"/>
                <w:i w:val="0"/>
                <w:color w:val="000000"/>
                <w:sz w:val="21"/>
                <w:rFonts w:eastAsia="宋体" w:ascii="Times New Roman" w:hAnsi="Times New Roman"/>
              </w:rPr>
              <w:t>10,872</w:t>
            </w:r>
          </w:p>
        </w:tc>
        <w:tc>
          <w:tcPr>
            <w:tcW w:type="dxa" w:w="1134"/>
            <w:vAlign w:val="center"/>
          </w:tcPr>
          <w:p>
            <w:pPr>
              <w:spacing w:lineRule="auto" w:line="288" w:before="0" w:after="0"/>
              <w:jc w:val="left"/>
            </w:pPr>
            <w:r/>
            <w:r>
              <w:rPr>
                <w:b w:val="0"/>
                <w:i w:val="0"/>
                <w:color w:val="000000"/>
                <w:sz w:val="21"/>
                <w:rFonts w:eastAsia="宋体" w:ascii="Times New Roman" w:hAnsi="Times New Roman"/>
              </w:rPr>
              <w:t>2565</w:t>
            </w:r>
          </w:p>
        </w:tc>
        <w:tc>
          <w:tcPr>
            <w:tcW w:type="dxa" w:w="1134"/>
            <w:vAlign w:val="center"/>
          </w:tcPr>
          <w:p>
            <w:pPr>
              <w:spacing w:lineRule="auto" w:line="288" w:before="0" w:after="0"/>
              <w:jc w:val="left"/>
            </w:pPr>
            <w:r/>
            <w:r>
              <w:rPr>
                <w:b w:val="0"/>
                <w:i w:val="0"/>
                <w:color w:val="000000"/>
                <w:sz w:val="21"/>
                <w:rFonts w:eastAsia="宋体" w:ascii="Times New Roman" w:hAnsi="Times New Roman"/>
              </w:rPr>
              <w:t>0.8435</w:t>
            </w:r>
          </w:p>
        </w:tc>
        <w:tc>
          <w:tcPr>
            <w:tcW w:type="dxa" w:w="1134"/>
            <w:vAlign w:val="center"/>
          </w:tcPr>
          <w:p>
            <w:pPr>
              <w:spacing w:lineRule="auto" w:line="288" w:before="0" w:after="0"/>
              <w:jc w:val="left"/>
            </w:pPr>
            <w:r/>
            <w:r>
              <w:rPr>
                <w:b w:val="0"/>
                <w:i w:val="0"/>
                <w:color w:val="000000"/>
                <w:sz w:val="21"/>
                <w:rFonts w:eastAsia="宋体" w:ascii="Times New Roman" w:hAnsi="Times New Roman"/>
              </w:rPr>
              <w:t>0.9837</w:t>
            </w:r>
          </w:p>
        </w:tc>
        <w:tc>
          <w:tcPr>
            <w:tcW w:type="dxa" w:w="1474"/>
            <w:vAlign w:val="center"/>
          </w:tcPr>
          <w:p>
            <w:pPr>
              <w:spacing w:lineRule="auto" w:line="288" w:before="0" w:after="0"/>
              <w:jc w:val="left"/>
            </w:pPr>
            <w:r/>
            <w:r>
              <w:rPr>
                <w:b w:val="0"/>
                <w:i w:val="0"/>
                <w:color w:val="000000"/>
                <w:sz w:val="21"/>
                <w:rFonts w:eastAsia="宋体" w:ascii="Times New Roman" w:hAnsi="Times New Roman"/>
              </w:rPr>
              <w:t>10.98%</w:t>
            </w:r>
          </w:p>
        </w:tc>
      </w:tr>
      <w:tr>
        <w:tc>
          <w:tcPr>
            <w:tcW w:type="dxa" w:w="1134"/>
            <w:vAlign w:val="center"/>
          </w:tcPr>
          <w:p>
            <w:pPr>
              <w:spacing w:lineRule="auto" w:line="288" w:before="0" w:after="0"/>
              <w:jc w:val="center"/>
            </w:pPr>
            <w:r/>
            <w:r>
              <w:rPr>
                <w:b w:val="0"/>
                <w:i w:val="0"/>
                <w:color w:val="000000"/>
                <w:sz w:val="21"/>
                <w:rFonts w:eastAsia="宋体" w:ascii="Times New Roman" w:hAnsi="Times New Roman"/>
              </w:rPr>
              <w:t>0.40</w:t>
            </w:r>
          </w:p>
        </w:tc>
        <w:tc>
          <w:tcPr>
            <w:tcW w:type="dxa" w:w="1361"/>
            <w:vAlign w:val="center"/>
          </w:tcPr>
          <w:p>
            <w:pPr>
              <w:spacing w:lineRule="auto" w:line="288" w:before="0" w:after="0"/>
              <w:jc w:val="left"/>
            </w:pPr>
            <w:r/>
            <w:r>
              <w:rPr>
                <w:b w:val="0"/>
                <w:i w:val="0"/>
                <w:color w:val="000000"/>
                <w:sz w:val="21"/>
                <w:rFonts w:eastAsia="宋体" w:ascii="Times New Roman" w:hAnsi="Times New Roman"/>
              </w:rPr>
              <w:t>7,942</w:t>
            </w:r>
          </w:p>
        </w:tc>
        <w:tc>
          <w:tcPr>
            <w:tcW w:type="dxa" w:w="1134"/>
            <w:vAlign w:val="center"/>
          </w:tcPr>
          <w:p>
            <w:pPr>
              <w:spacing w:lineRule="auto" w:line="288" w:before="0" w:after="0"/>
              <w:jc w:val="left"/>
            </w:pPr>
            <w:r/>
            <w:r>
              <w:rPr>
                <w:b w:val="0"/>
                <w:i w:val="0"/>
                <w:color w:val="000000"/>
                <w:sz w:val="21"/>
                <w:rFonts w:eastAsia="宋体" w:ascii="Times New Roman" w:hAnsi="Times New Roman"/>
              </w:rPr>
              <w:t>2956</w:t>
            </w:r>
          </w:p>
        </w:tc>
        <w:tc>
          <w:tcPr>
            <w:tcW w:type="dxa" w:w="1134"/>
            <w:vAlign w:val="center"/>
          </w:tcPr>
          <w:p>
            <w:pPr>
              <w:spacing w:lineRule="auto" w:line="288" w:before="0" w:after="0"/>
              <w:jc w:val="left"/>
            </w:pPr>
            <w:r/>
            <w:r>
              <w:rPr>
                <w:b w:val="0"/>
                <w:i w:val="0"/>
                <w:color w:val="000000"/>
                <w:sz w:val="21"/>
                <w:rFonts w:eastAsia="宋体" w:ascii="Times New Roman" w:hAnsi="Times New Roman"/>
              </w:rPr>
              <w:t>0.7924</w:t>
            </w:r>
          </w:p>
        </w:tc>
        <w:tc>
          <w:tcPr>
            <w:tcW w:type="dxa" w:w="1134"/>
            <w:vAlign w:val="center"/>
          </w:tcPr>
          <w:p>
            <w:pPr>
              <w:spacing w:lineRule="auto" w:line="288" w:before="0" w:after="0"/>
              <w:jc w:val="left"/>
            </w:pPr>
            <w:r/>
            <w:r>
              <w:rPr>
                <w:b w:val="0"/>
                <w:i w:val="0"/>
                <w:color w:val="000000"/>
                <w:sz w:val="21"/>
                <w:rFonts w:eastAsia="宋体" w:ascii="Times New Roman" w:hAnsi="Times New Roman"/>
              </w:rPr>
              <w:t>0.9754</w:t>
            </w:r>
          </w:p>
        </w:tc>
        <w:tc>
          <w:tcPr>
            <w:tcW w:type="dxa" w:w="1474"/>
            <w:vAlign w:val="center"/>
          </w:tcPr>
          <w:p>
            <w:pPr>
              <w:spacing w:lineRule="auto" w:line="288" w:before="0" w:after="0"/>
              <w:jc w:val="left"/>
            </w:pPr>
            <w:r/>
            <w:r>
              <w:rPr>
                <w:b w:val="0"/>
                <w:i w:val="0"/>
                <w:color w:val="000000"/>
                <w:sz w:val="21"/>
                <w:rFonts w:eastAsia="宋体" w:ascii="Times New Roman" w:hAnsi="Times New Roman"/>
              </w:rPr>
              <w:t>10.80%</w:t>
            </w:r>
          </w:p>
        </w:tc>
      </w:tr>
      <w:tr>
        <w:tc>
          <w:tcPr>
            <w:tcW w:type="dxa" w:w="1134"/>
            <w:vAlign w:val="center"/>
          </w:tcPr>
          <w:p>
            <w:pPr>
              <w:spacing w:lineRule="auto" w:line="288" w:before="0" w:after="0"/>
              <w:jc w:val="center"/>
            </w:pPr>
            <w:r/>
            <w:r>
              <w:rPr>
                <w:b w:val="0"/>
                <w:i w:val="0"/>
                <w:color w:val="000000"/>
                <w:sz w:val="21"/>
                <w:rFonts w:eastAsia="宋体" w:ascii="Times New Roman" w:hAnsi="Times New Roman"/>
              </w:rPr>
              <w:t>0.50</w:t>
            </w:r>
          </w:p>
        </w:tc>
        <w:tc>
          <w:tcPr>
            <w:tcW w:type="dxa" w:w="1361"/>
            <w:vAlign w:val="center"/>
          </w:tcPr>
          <w:p>
            <w:pPr>
              <w:spacing w:lineRule="auto" w:line="288" w:before="0" w:after="0"/>
              <w:jc w:val="left"/>
            </w:pPr>
            <w:r/>
            <w:r>
              <w:rPr>
                <w:b w:val="0"/>
                <w:i w:val="0"/>
                <w:color w:val="000000"/>
                <w:sz w:val="21"/>
                <w:rFonts w:eastAsia="宋体" w:ascii="Times New Roman" w:hAnsi="Times New Roman"/>
              </w:rPr>
              <w:t>4,963</w:t>
            </w:r>
          </w:p>
        </w:tc>
        <w:tc>
          <w:tcPr>
            <w:tcW w:type="dxa" w:w="1134"/>
            <w:vAlign w:val="center"/>
          </w:tcPr>
          <w:p>
            <w:pPr>
              <w:spacing w:lineRule="auto" w:line="288" w:before="0" w:after="0"/>
              <w:jc w:val="left"/>
            </w:pPr>
            <w:r/>
            <w:r>
              <w:rPr>
                <w:b w:val="0"/>
                <w:i w:val="0"/>
                <w:color w:val="000000"/>
                <w:sz w:val="21"/>
                <w:rFonts w:eastAsia="宋体" w:ascii="Times New Roman" w:hAnsi="Times New Roman"/>
              </w:rPr>
              <w:t>3400</w:t>
            </w:r>
          </w:p>
        </w:tc>
        <w:tc>
          <w:tcPr>
            <w:tcW w:type="dxa" w:w="1134"/>
            <w:vAlign w:val="center"/>
          </w:tcPr>
          <w:p>
            <w:pPr>
              <w:spacing w:lineRule="auto" w:line="288" w:before="0" w:after="0"/>
              <w:jc w:val="left"/>
            </w:pPr>
            <w:r/>
            <w:r>
              <w:rPr>
                <w:b w:val="0"/>
                <w:i w:val="0"/>
                <w:color w:val="000000"/>
                <w:sz w:val="21"/>
                <w:rFonts w:eastAsia="宋体" w:ascii="Times New Roman" w:hAnsi="Times New Roman"/>
              </w:rPr>
              <w:t>0.6876</w:t>
            </w:r>
          </w:p>
        </w:tc>
        <w:tc>
          <w:tcPr>
            <w:tcW w:type="dxa" w:w="1134"/>
            <w:vAlign w:val="center"/>
          </w:tcPr>
          <w:p>
            <w:pPr>
              <w:spacing w:lineRule="auto" w:line="288" w:before="0" w:after="0"/>
              <w:jc w:val="left"/>
            </w:pPr>
            <w:r/>
            <w:r>
              <w:rPr>
                <w:b w:val="0"/>
                <w:i w:val="0"/>
                <w:color w:val="000000"/>
                <w:sz w:val="21"/>
                <w:rFonts w:eastAsia="宋体" w:ascii="Times New Roman" w:hAnsi="Times New Roman"/>
              </w:rPr>
              <w:t>0.9653</w:t>
            </w:r>
          </w:p>
        </w:tc>
        <w:tc>
          <w:tcPr>
            <w:tcW w:type="dxa" w:w="1474"/>
            <w:vAlign w:val="center"/>
          </w:tcPr>
          <w:p>
            <w:pPr>
              <w:spacing w:lineRule="auto" w:line="288" w:before="0" w:after="0"/>
              <w:jc w:val="left"/>
            </w:pPr>
            <w:r/>
            <w:r>
              <w:rPr>
                <w:b w:val="0"/>
                <w:i w:val="0"/>
                <w:color w:val="000000"/>
                <w:sz w:val="21"/>
                <w:rFonts w:eastAsia="宋体" w:ascii="Times New Roman" w:hAnsi="Times New Roman"/>
              </w:rPr>
              <w:t>9.01%</w:t>
            </w:r>
          </w:p>
        </w:tc>
      </w:tr>
      <w:tr>
        <w:tc>
          <w:tcPr>
            <w:tcW w:type="dxa" w:w="1134"/>
            <w:vAlign w:val="center"/>
          </w:tcPr>
          <w:p>
            <w:pPr>
              <w:spacing w:lineRule="auto" w:line="288" w:before="0" w:after="0"/>
              <w:jc w:val="center"/>
            </w:pPr>
            <w:r/>
            <w:r>
              <w:rPr>
                <w:b w:val="0"/>
                <w:i w:val="0"/>
                <w:color w:val="000000"/>
                <w:sz w:val="21"/>
                <w:rFonts w:eastAsia="宋体" w:ascii="Times New Roman" w:hAnsi="Times New Roman"/>
              </w:rPr>
              <w:t>0.60</w:t>
            </w:r>
          </w:p>
        </w:tc>
        <w:tc>
          <w:tcPr>
            <w:tcW w:type="dxa" w:w="1361"/>
            <w:vAlign w:val="center"/>
          </w:tcPr>
          <w:p>
            <w:pPr>
              <w:spacing w:lineRule="auto" w:line="288" w:before="0" w:after="0"/>
              <w:jc w:val="left"/>
            </w:pPr>
            <w:r/>
            <w:r>
              <w:rPr>
                <w:b w:val="0"/>
                <w:i w:val="0"/>
                <w:color w:val="000000"/>
                <w:sz w:val="21"/>
                <w:rFonts w:eastAsia="宋体" w:ascii="Times New Roman" w:hAnsi="Times New Roman"/>
              </w:rPr>
              <w:t>2,591</w:t>
            </w:r>
          </w:p>
        </w:tc>
        <w:tc>
          <w:tcPr>
            <w:tcW w:type="dxa" w:w="1134"/>
            <w:vAlign w:val="center"/>
          </w:tcPr>
          <w:p>
            <w:pPr>
              <w:spacing w:lineRule="auto" w:line="288" w:before="0" w:after="0"/>
              <w:jc w:val="left"/>
            </w:pPr>
            <w:r/>
            <w:r>
              <w:rPr>
                <w:b w:val="0"/>
                <w:i w:val="0"/>
                <w:color w:val="000000"/>
                <w:sz w:val="21"/>
                <w:rFonts w:eastAsia="宋体" w:ascii="Times New Roman" w:hAnsi="Times New Roman"/>
              </w:rPr>
              <w:t>3821</w:t>
            </w:r>
          </w:p>
        </w:tc>
        <w:tc>
          <w:tcPr>
            <w:tcW w:type="dxa" w:w="1134"/>
            <w:vAlign w:val="center"/>
          </w:tcPr>
          <w:p>
            <w:pPr>
              <w:spacing w:lineRule="auto" w:line="288" w:before="0" w:after="0"/>
              <w:jc w:val="left"/>
            </w:pPr>
            <w:r/>
            <w:r>
              <w:rPr>
                <w:b w:val="0"/>
                <w:i w:val="0"/>
                <w:color w:val="000000"/>
                <w:sz w:val="21"/>
                <w:rFonts w:eastAsia="宋体" w:ascii="Times New Roman" w:hAnsi="Times New Roman"/>
              </w:rPr>
              <w:t>0.5224</w:t>
            </w:r>
          </w:p>
        </w:tc>
        <w:tc>
          <w:tcPr>
            <w:tcW w:type="dxa" w:w="1134"/>
            <w:vAlign w:val="center"/>
          </w:tcPr>
          <w:p>
            <w:pPr>
              <w:spacing w:lineRule="auto" w:line="288" w:before="0" w:after="0"/>
              <w:jc w:val="left"/>
            </w:pPr>
            <w:r/>
            <w:r>
              <w:rPr>
                <w:b w:val="0"/>
                <w:i w:val="0"/>
                <w:color w:val="000000"/>
                <w:sz w:val="21"/>
                <w:rFonts w:eastAsia="宋体" w:ascii="Times New Roman" w:hAnsi="Times New Roman"/>
              </w:rPr>
              <w:t>0.9553</w:t>
            </w:r>
          </w:p>
        </w:tc>
        <w:tc>
          <w:tcPr>
            <w:tcW w:type="dxa" w:w="1474"/>
            <w:vAlign w:val="center"/>
          </w:tcPr>
          <w:p>
            <w:pPr>
              <w:spacing w:lineRule="auto" w:line="288" w:before="0" w:after="0"/>
              <w:jc w:val="left"/>
            </w:pPr>
            <w:r/>
            <w:r>
              <w:rPr>
                <w:b w:val="0"/>
                <w:i w:val="0"/>
                <w:color w:val="000000"/>
                <w:sz w:val="21"/>
                <w:rFonts w:eastAsia="宋体" w:ascii="Times New Roman" w:hAnsi="Times New Roman"/>
              </w:rPr>
              <w:t>8.16%</w:t>
            </w:r>
          </w:p>
        </w:tc>
      </w:tr>
      <w:tr>
        <w:tc>
          <w:tcPr>
            <w:tcW w:type="dxa" w:w="1134"/>
            <w:vAlign w:val="center"/>
          </w:tcPr>
          <w:p>
            <w:pPr>
              <w:spacing w:lineRule="auto" w:line="288" w:before="0" w:after="0"/>
              <w:jc w:val="center"/>
            </w:pPr>
            <w:r/>
            <w:r>
              <w:rPr>
                <w:b w:val="0"/>
                <w:i w:val="0"/>
                <w:color w:val="000000"/>
                <w:sz w:val="21"/>
                <w:rFonts w:eastAsia="宋体" w:ascii="Times New Roman" w:hAnsi="Times New Roman"/>
              </w:rPr>
              <w:t>0.70</w:t>
            </w:r>
          </w:p>
        </w:tc>
        <w:tc>
          <w:tcPr>
            <w:tcW w:type="dxa" w:w="1361"/>
            <w:vAlign w:val="center"/>
          </w:tcPr>
          <w:p>
            <w:pPr>
              <w:spacing w:lineRule="auto" w:line="288" w:before="0" w:after="0"/>
              <w:jc w:val="left"/>
            </w:pPr>
            <w:r/>
            <w:r>
              <w:rPr>
                <w:b w:val="0"/>
                <w:i w:val="0"/>
                <w:color w:val="000000"/>
                <w:sz w:val="21"/>
                <w:rFonts w:eastAsia="宋体" w:ascii="Times New Roman" w:hAnsi="Times New Roman"/>
              </w:rPr>
              <w:t>1,028</w:t>
            </w:r>
          </w:p>
        </w:tc>
        <w:tc>
          <w:tcPr>
            <w:tcW w:type="dxa" w:w="1134"/>
            <w:vAlign w:val="center"/>
          </w:tcPr>
          <w:p>
            <w:pPr>
              <w:spacing w:lineRule="auto" w:line="288" w:before="0" w:after="0"/>
              <w:jc w:val="left"/>
            </w:pPr>
            <w:r/>
            <w:r>
              <w:rPr>
                <w:b w:val="0"/>
                <w:i w:val="0"/>
                <w:color w:val="000000"/>
                <w:sz w:val="21"/>
                <w:rFonts w:eastAsia="宋体" w:ascii="Times New Roman" w:hAnsi="Times New Roman"/>
              </w:rPr>
              <w:t>4139</w:t>
            </w:r>
          </w:p>
        </w:tc>
        <w:tc>
          <w:tcPr>
            <w:tcW w:type="dxa" w:w="1134"/>
            <w:vAlign w:val="center"/>
          </w:tcPr>
          <w:p>
            <w:pPr>
              <w:spacing w:lineRule="auto" w:line="288" w:before="0" w:after="0"/>
              <w:jc w:val="left"/>
            </w:pPr>
            <w:r/>
            <w:r>
              <w:rPr>
                <w:b w:val="0"/>
                <w:i w:val="0"/>
                <w:color w:val="000000"/>
                <w:sz w:val="21"/>
                <w:rFonts w:eastAsia="宋体" w:ascii="Times New Roman" w:hAnsi="Times New Roman"/>
              </w:rPr>
              <w:t>0.2701</w:t>
            </w:r>
          </w:p>
        </w:tc>
        <w:tc>
          <w:tcPr>
            <w:tcW w:type="dxa" w:w="1134"/>
            <w:vAlign w:val="center"/>
          </w:tcPr>
          <w:p>
            <w:pPr>
              <w:spacing w:lineRule="auto" w:line="288" w:before="0" w:after="0"/>
              <w:jc w:val="left"/>
            </w:pPr>
            <w:r/>
            <w:r>
              <w:rPr>
                <w:b w:val="0"/>
                <w:i w:val="0"/>
                <w:color w:val="000000"/>
                <w:sz w:val="21"/>
                <w:rFonts w:eastAsia="宋体" w:ascii="Times New Roman" w:hAnsi="Times New Roman"/>
              </w:rPr>
              <w:t>0.9466</w:t>
            </w:r>
          </w:p>
        </w:tc>
        <w:tc>
          <w:tcPr>
            <w:tcW w:type="dxa" w:w="1474"/>
            <w:vAlign w:val="center"/>
          </w:tcPr>
          <w:p>
            <w:pPr>
              <w:spacing w:lineRule="auto" w:line="288" w:before="0" w:after="0"/>
              <w:jc w:val="left"/>
            </w:pPr>
            <w:r/>
            <w:r>
              <w:rPr>
                <w:b w:val="0"/>
                <w:i w:val="0"/>
                <w:color w:val="000000"/>
                <w:sz w:val="21"/>
                <w:rFonts w:eastAsia="宋体" w:ascii="Times New Roman" w:hAnsi="Times New Roman"/>
              </w:rPr>
              <w:t>5.75%</w:t>
            </w:r>
          </w:p>
        </w:tc>
      </w:tr>
    </w:tbl>
    <w:p/>
    <w:p>
      <w:pPr>
        <w:spacing w:lineRule="auto" w:line="360" w:before="0" w:after="0"/>
        <w:ind w:firstLine="420"/>
        <w:jc w:val="both"/>
      </w:pPr>
      <w:r>
        <w:rPr>
          <w:b w:val="0"/>
          <w:i w:val="0"/>
          <w:color w:val="000000"/>
          <w:sz w:val="24"/>
          <w:rFonts w:eastAsia="宋体" w:ascii="Times New Roman" w:hAnsi="Times New Roman"/>
        </w:rPr>
        <w:t>参数敏感性结果表明，碎片峰相似度阈值越高，保留边数量越少，预测簇越碎片化。阈值 0.10 和 0.20 保留较多候选边，ARI 接近前体过滤结果；阈值 0.30 在错误聚类率和聚类完整性之间较为均衡；阈值继续提高后，虽然错误聚类率下降，但 ARI 明显降低。</w:t>
      </w:r>
    </w:p>
    <w:p>
      <w:pPr>
        <w:jc w:val="center"/>
      </w:pPr>
      <w:r>
        <w:drawing>
          <wp:inline xmlns:a="http://schemas.openxmlformats.org/drawingml/2006/main" xmlns:pic="http://schemas.openxmlformats.org/drawingml/2006/picture">
            <wp:extent cx="5112000" cy="3103714"/>
            <wp:docPr id="24" name="Picture 24"/>
            <wp:cNvGraphicFramePr>
              <a:graphicFrameLocks noChangeAspect="1"/>
            </wp:cNvGraphicFramePr>
            <a:graphic>
              <a:graphicData uri="http://schemas.openxmlformats.org/drawingml/2006/picture">
                <pic:pic>
                  <pic:nvPicPr>
                    <pic:cNvPr id="0" name="similarity_histogram.png"/>
                    <pic:cNvPicPr/>
                  </pic:nvPicPr>
                  <pic:blipFill>
                    <a:blip r:embed="rId29"/>
                    <a:stretch>
                      <a:fillRect/>
                    </a:stretch>
                  </pic:blipFill>
                  <pic:spPr>
                    <a:xfrm>
                      <a:off x="0" y="0"/>
                      <a:ext cx="5112000" cy="3103714"/>
                    </a:xfrm>
                    <a:prstGeom prst="rect"/>
                  </pic:spPr>
                </pic:pic>
              </a:graphicData>
            </a:graphic>
          </wp:inline>
        </w:drawing>
      </w:r>
    </w:p>
    <w:p>
      <w:pPr>
        <w:spacing w:after="120"/>
        <w:jc w:val="center"/>
      </w:pPr>
      <w:r>
        <w:rPr>
          <w:b w:val="0"/>
          <w:i w:val="0"/>
          <w:color w:val="000000"/>
          <w:sz w:val="21"/>
          <w:rFonts w:eastAsia="宋体" w:ascii="Times New Roman" w:hAnsi="Times New Roman"/>
        </w:rPr>
        <w:t>图15 候选谱图对碎片峰相似度分布</w:t>
      </w:r>
    </w:p>
    <w:p>
      <w:pPr>
        <w:spacing w:lineRule="auto" w:line="360" w:before="0" w:after="0"/>
        <w:ind w:firstLine="420"/>
        <w:jc w:val="both"/>
      </w:pPr>
      <w:r>
        <w:rPr>
          <w:b w:val="0"/>
          <w:i w:val="0"/>
          <w:color w:val="000000"/>
          <w:sz w:val="24"/>
          <w:rFonts w:eastAsia="宋体" w:ascii="Times New Roman" w:hAnsi="Times New Roman"/>
        </w:rPr>
        <w:t>同标注谱图对与异标注谱图对的碎片峰相似度存在重叠。谱图并不存在一个能完全区分二者的固定阈值，因此候选过滤需要结合前体质量、荷电状态和后续代表谱图策略。</w:t>
      </w:r>
    </w:p>
    <w:p>
      <w:pPr>
        <w:pStyle w:val="3"/>
        <w:jc w:val="left"/>
      </w:pPr>
      <w:r>
        <w:rPr>
          <w:b/>
          <w:i w:val="0"/>
          <w:color w:val="000000"/>
          <w:sz w:val="24"/>
          <w:rFonts w:eastAsia="黑体" w:ascii="Times New Roman" w:hAnsi="Times New Roman"/>
        </w:rPr>
        <w:t>6.6 聚类结果可视化</w:t>
      </w:r>
    </w:p>
    <w:p>
      <w:pPr>
        <w:jc w:val="center"/>
      </w:pPr>
      <w:r>
        <w:drawing>
          <wp:inline xmlns:a="http://schemas.openxmlformats.org/drawingml/2006/main" xmlns:pic="http://schemas.openxmlformats.org/drawingml/2006/picture">
            <wp:extent cx="5112000" cy="3103714"/>
            <wp:docPr id="25" name="Picture 25"/>
            <wp:cNvGraphicFramePr>
              <a:graphicFrameLocks noChangeAspect="1"/>
            </wp:cNvGraphicFramePr>
            <a:graphic>
              <a:graphicData uri="http://schemas.openxmlformats.org/drawingml/2006/picture">
                <pic:pic>
                  <pic:nvPicPr>
                    <pic:cNvPr id="0" name="cluster_projection.png"/>
                    <pic:cNvPicPr/>
                  </pic:nvPicPr>
                  <pic:blipFill>
                    <a:blip r:embed="rId30"/>
                    <a:stretch>
                      <a:fillRect/>
                    </a:stretch>
                  </pic:blipFill>
                  <pic:spPr>
                    <a:xfrm>
                      <a:off x="0" y="0"/>
                      <a:ext cx="5112000" cy="3103714"/>
                    </a:xfrm>
                    <a:prstGeom prst="rect"/>
                  </pic:spPr>
                </pic:pic>
              </a:graphicData>
            </a:graphic>
          </wp:inline>
        </w:drawing>
      </w:r>
    </w:p>
    <w:p>
      <w:pPr>
        <w:spacing w:after="120"/>
        <w:jc w:val="center"/>
      </w:pPr>
      <w:r>
        <w:rPr>
          <w:b w:val="0"/>
          <w:i w:val="0"/>
          <w:color w:val="000000"/>
          <w:sz w:val="21"/>
          <w:rFonts w:eastAsia="宋体" w:ascii="Times New Roman" w:hAnsi="Times New Roman"/>
        </w:rPr>
        <w:t>图16 谱图前体质量与荷电状态分布</w:t>
      </w:r>
    </w:p>
    <w:p>
      <w:pPr>
        <w:spacing w:lineRule="auto" w:line="360" w:before="0" w:after="0"/>
        <w:ind w:firstLine="420"/>
        <w:jc w:val="both"/>
      </w:pPr>
      <w:r>
        <w:rPr>
          <w:b w:val="0"/>
          <w:i w:val="0"/>
          <w:color w:val="000000"/>
          <w:sz w:val="24"/>
          <w:rFonts w:eastAsia="宋体" w:ascii="Times New Roman" w:hAnsi="Times New Roman"/>
        </w:rPr>
        <w:t>公开数据在前体质量和荷电状态上呈现连续分布，部分质量区间内存在多种荷电状态和多个预测簇交叠。数据库过滤并不是简单按一个字段切分数据，而是在质量窗口、荷电状态和碎片峰相似度之间取得平衡。</w:t>
      </w:r>
    </w:p>
    <w:p>
      <w:pPr>
        <w:spacing w:lineRule="auto" w:line="360" w:before="0" w:after="0"/>
        <w:ind w:firstLine="420"/>
        <w:jc w:val="both"/>
      </w:pPr>
      <w:r>
        <w:rPr>
          <w:b w:val="0"/>
          <w:i w:val="0"/>
          <w:color w:val="000000"/>
          <w:sz w:val="24"/>
          <w:rFonts w:eastAsia="宋体" w:ascii="Times New Roman" w:hAnsi="Times New Roman"/>
        </w:rPr>
        <w:t>该图也解释了为什么前体过滤可以取得较高 ARI：在自上而下数据中，同一蛋白质形态通常具有相近前体质量和一致荷电状态。但仅靠前体属性仍可能合并不同蛋白质形态，因此需要碎片峰相似度作为第二层约束。</w:t>
      </w:r>
    </w:p>
    <w:p>
      <w:pPr>
        <w:pStyle w:val="3"/>
        <w:jc w:val="left"/>
      </w:pPr>
      <w:r>
        <w:rPr>
          <w:b/>
          <w:i w:val="0"/>
          <w:color w:val="000000"/>
          <w:sz w:val="24"/>
          <w:rFonts w:eastAsia="黑体" w:ascii="Times New Roman" w:hAnsi="Times New Roman"/>
        </w:rPr>
        <w:t>6.7 复现性与结果核对</w:t>
      </w:r>
    </w:p>
    <w:p>
      <w:pPr>
        <w:spacing w:lineRule="auto" w:line="360" w:before="0" w:after="0"/>
        <w:ind w:firstLine="420"/>
        <w:jc w:val="both"/>
      </w:pPr>
      <w:r>
        <w:rPr>
          <w:b w:val="0"/>
          <w:i w:val="0"/>
          <w:color w:val="000000"/>
          <w:sz w:val="24"/>
          <w:rFonts w:eastAsia="宋体" w:ascii="Times New Roman" w:hAnsi="Times New Roman"/>
        </w:rPr>
        <w:t>在聚类质量和效率比较之外，还需要核对数据读取、标注对齐和候选过滤是否一致。若谱图编号、前体质量、荷电状态或 TopPIC 标注无法对应，后续 ARI、NMI 和错误聚类率就缺少可靠基础。因此，本研究从数据来源、谱图解析、数据库入库、候选对生成、碎片峰比较和聚类结果六个环节进行复核。</w:t>
      </w:r>
    </w:p>
    <w:p>
      <w:pPr>
        <w:spacing w:after="120"/>
        <w:jc w:val="center"/>
      </w:pPr>
      <w:r>
        <w:rPr>
          <w:b w:val="0"/>
          <w:i w:val="0"/>
          <w:color w:val="000000"/>
          <w:sz w:val="21"/>
          <w:rFonts w:eastAsia="宋体" w:ascii="Times New Roman" w:hAnsi="Times New Roman"/>
        </w:rPr>
        <w:t>表6 实验链路核对结果</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8" w:space="0" w:color="000000"/>
          <w:right w:val="nil" w:sz="8" w:space="0" w:color="000000"/>
          <w:insideV w:val="nil" w:sz="8" w:space="0" w:color="000000"/>
          <w:insideH w:val="nil" w:sz="8" w:space="0" w:color="000000"/>
        </w:tblBorders>
      </w:tblPr>
      <w:tblGrid>
        <w:gridCol w:w="1474"/>
        <w:gridCol w:w="2324"/>
        <w:gridCol w:w="3515"/>
        <w:gridCol w:w="964"/>
      </w:tblGrid>
      <w:tr>
        <w:tc>
          <w:tcPr>
            <w:tcW w:type="dxa" w:w="2078"/>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核对环节</w:t>
            </w:r>
          </w:p>
        </w:tc>
        <w:tc>
          <w:tcPr>
            <w:tcW w:type="dxa" w:w="2078"/>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核对内容</w:t>
            </w:r>
          </w:p>
        </w:tc>
        <w:tc>
          <w:tcPr>
            <w:tcW w:type="dxa" w:w="2078"/>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结果说明</w:t>
            </w:r>
          </w:p>
        </w:tc>
        <w:tc>
          <w:tcPr>
            <w:tcW w:type="dxa" w:w="2078"/>
            <w:vAlign w:val="center"/>
            <w:tcBorders>
              <w:bottom w:val="single" w:sz="8" w:color="000000"/>
            </w:tcBorders>
          </w:tcPr>
          <w:p>
            <w:pPr>
              <w:spacing w:lineRule="auto" w:line="288" w:before="0" w:after="0"/>
              <w:jc w:val="center"/>
            </w:pPr>
            <w:r/>
            <w:r>
              <w:rPr>
                <w:b/>
                <w:i w:val="0"/>
                <w:color w:val="000000"/>
                <w:sz w:val="21"/>
                <w:rFonts w:eastAsia="宋体" w:ascii="Times New Roman" w:hAnsi="Times New Roman"/>
              </w:rPr>
              <w:t>结论</w:t>
            </w:r>
          </w:p>
        </w:tc>
      </w:tr>
      <w:tr>
        <w:tc>
          <w:tcPr>
            <w:tcW w:type="dxa" w:w="1474"/>
            <w:vAlign w:val="center"/>
          </w:tcPr>
          <w:p>
            <w:pPr>
              <w:spacing w:lineRule="auto" w:line="288" w:before="0" w:after="0"/>
              <w:jc w:val="center"/>
            </w:pPr>
            <w:r/>
            <w:r>
              <w:rPr>
                <w:b w:val="0"/>
                <w:i w:val="0"/>
                <w:color w:val="000000"/>
                <w:sz w:val="21"/>
                <w:rFonts w:eastAsia="宋体" w:ascii="Times New Roman" w:hAnsi="Times New Roman"/>
              </w:rPr>
              <w:t>数据来源</w:t>
            </w:r>
          </w:p>
        </w:tc>
        <w:tc>
          <w:tcPr>
            <w:tcW w:type="dxa" w:w="2324"/>
            <w:vAlign w:val="center"/>
          </w:tcPr>
          <w:p>
            <w:pPr>
              <w:spacing w:lineRule="auto" w:line="288" w:before="0" w:after="0"/>
              <w:jc w:val="left"/>
            </w:pPr>
            <w:r/>
            <w:r>
              <w:rPr>
                <w:b w:val="0"/>
                <w:i w:val="0"/>
                <w:color w:val="000000"/>
                <w:sz w:val="21"/>
                <w:rFonts w:eastAsia="宋体" w:ascii="Times New Roman" w:hAnsi="Times New Roman"/>
              </w:rPr>
              <w:t>核对 PXD019368 文件清单</w:t>
            </w:r>
          </w:p>
        </w:tc>
        <w:tc>
          <w:tcPr>
            <w:tcW w:type="dxa" w:w="3515"/>
            <w:vAlign w:val="center"/>
          </w:tcPr>
          <w:p>
            <w:pPr>
              <w:spacing w:lineRule="auto" w:line="288" w:before="0" w:after="0"/>
              <w:jc w:val="left"/>
            </w:pPr>
            <w:r/>
            <w:r>
              <w:rPr>
                <w:b w:val="0"/>
                <w:i w:val="0"/>
                <w:color w:val="000000"/>
                <w:sz w:val="21"/>
                <w:rFonts w:eastAsia="宋体" w:ascii="Times New Roman" w:hAnsi="Times New Roman"/>
              </w:rPr>
              <w:t>31 个 msalign 文件、31 个 OUTPUT_TABLE 文件和 FASTA 文件完整可读</w:t>
            </w:r>
          </w:p>
        </w:tc>
        <w:tc>
          <w:tcPr>
            <w:tcW w:type="dxa" w:w="964"/>
            <w:vAlign w:val="center"/>
          </w:tcPr>
          <w:p>
            <w:pPr>
              <w:spacing w:lineRule="auto" w:line="288" w:before="0" w:after="0"/>
              <w:jc w:val="left"/>
            </w:pPr>
            <w:r/>
            <w:r>
              <w:rPr>
                <w:b w:val="0"/>
                <w:i w:val="0"/>
                <w:color w:val="000000"/>
                <w:sz w:val="21"/>
                <w:rFonts w:eastAsia="宋体" w:ascii="Times New Roman" w:hAnsi="Times New Roman"/>
              </w:rPr>
              <w:t>通过</w:t>
            </w:r>
          </w:p>
        </w:tc>
      </w:tr>
      <w:tr>
        <w:tc>
          <w:tcPr>
            <w:tcW w:type="dxa" w:w="1474"/>
            <w:vAlign w:val="center"/>
          </w:tcPr>
          <w:p>
            <w:pPr>
              <w:spacing w:lineRule="auto" w:line="288" w:before="0" w:after="0"/>
              <w:jc w:val="center"/>
            </w:pPr>
            <w:r/>
            <w:r>
              <w:rPr>
                <w:b w:val="0"/>
                <w:i w:val="0"/>
                <w:color w:val="000000"/>
                <w:sz w:val="21"/>
                <w:rFonts w:eastAsia="宋体" w:ascii="Times New Roman" w:hAnsi="Times New Roman"/>
              </w:rPr>
              <w:t>谱图解析</w:t>
            </w:r>
          </w:p>
        </w:tc>
        <w:tc>
          <w:tcPr>
            <w:tcW w:type="dxa" w:w="2324"/>
            <w:vAlign w:val="center"/>
          </w:tcPr>
          <w:p>
            <w:pPr>
              <w:spacing w:lineRule="auto" w:line="288" w:before="0" w:after="0"/>
              <w:jc w:val="left"/>
            </w:pPr>
            <w:r/>
            <w:r>
              <w:rPr>
                <w:b w:val="0"/>
                <w:i w:val="0"/>
                <w:color w:val="000000"/>
                <w:sz w:val="21"/>
                <w:rFonts w:eastAsia="宋体" w:ascii="Times New Roman" w:hAnsi="Times New Roman"/>
              </w:rPr>
              <w:t>读取 msalign 与 TopPIC 输出表</w:t>
            </w:r>
          </w:p>
        </w:tc>
        <w:tc>
          <w:tcPr>
            <w:tcW w:type="dxa" w:w="3515"/>
            <w:vAlign w:val="center"/>
          </w:tcPr>
          <w:p>
            <w:pPr>
              <w:spacing w:lineRule="auto" w:line="288" w:before="0" w:after="0"/>
              <w:jc w:val="left"/>
            </w:pPr>
            <w:r/>
            <w:r>
              <w:rPr>
                <w:b w:val="0"/>
                <w:i w:val="0"/>
                <w:color w:val="000000"/>
                <w:sz w:val="21"/>
                <w:rFonts w:eastAsia="宋体" w:ascii="Times New Roman" w:hAnsi="Times New Roman"/>
              </w:rPr>
              <w:t>谱图编号与鉴定结果可对齐，得到 4,480 条评价谱图</w:t>
            </w:r>
          </w:p>
        </w:tc>
        <w:tc>
          <w:tcPr>
            <w:tcW w:type="dxa" w:w="964"/>
            <w:vAlign w:val="center"/>
          </w:tcPr>
          <w:p>
            <w:pPr>
              <w:spacing w:lineRule="auto" w:line="288" w:before="0" w:after="0"/>
              <w:jc w:val="left"/>
            </w:pPr>
            <w:r/>
            <w:r>
              <w:rPr>
                <w:b w:val="0"/>
                <w:i w:val="0"/>
                <w:color w:val="000000"/>
                <w:sz w:val="21"/>
                <w:rFonts w:eastAsia="宋体" w:ascii="Times New Roman" w:hAnsi="Times New Roman"/>
              </w:rPr>
              <w:t>通过</w:t>
            </w:r>
          </w:p>
        </w:tc>
      </w:tr>
      <w:tr>
        <w:tc>
          <w:tcPr>
            <w:tcW w:type="dxa" w:w="1474"/>
            <w:vAlign w:val="center"/>
          </w:tcPr>
          <w:p>
            <w:pPr>
              <w:spacing w:lineRule="auto" w:line="288" w:before="0" w:after="0"/>
              <w:jc w:val="center"/>
            </w:pPr>
            <w:r/>
            <w:r>
              <w:rPr>
                <w:b w:val="0"/>
                <w:i w:val="0"/>
                <w:color w:val="000000"/>
                <w:sz w:val="21"/>
                <w:rFonts w:eastAsia="宋体" w:ascii="Times New Roman" w:hAnsi="Times New Roman"/>
              </w:rPr>
              <w:t>SQLite 入库</w:t>
            </w:r>
          </w:p>
        </w:tc>
        <w:tc>
          <w:tcPr>
            <w:tcW w:type="dxa" w:w="2324"/>
            <w:vAlign w:val="center"/>
          </w:tcPr>
          <w:p>
            <w:pPr>
              <w:spacing w:lineRule="auto" w:line="288" w:before="0" w:after="0"/>
              <w:jc w:val="left"/>
            </w:pPr>
            <w:r/>
            <w:r>
              <w:rPr>
                <w:b w:val="0"/>
                <w:i w:val="0"/>
                <w:color w:val="000000"/>
                <w:sz w:val="21"/>
                <w:rFonts w:eastAsia="宋体" w:ascii="Times New Roman" w:hAnsi="Times New Roman"/>
              </w:rPr>
              <w:t>写入 spectrum 与 peak 表</w:t>
            </w:r>
          </w:p>
        </w:tc>
        <w:tc>
          <w:tcPr>
            <w:tcW w:type="dxa" w:w="3515"/>
            <w:vAlign w:val="center"/>
          </w:tcPr>
          <w:p>
            <w:pPr>
              <w:spacing w:lineRule="auto" w:line="288" w:before="0" w:after="0"/>
              <w:jc w:val="left"/>
            </w:pPr>
            <w:r/>
            <w:r>
              <w:rPr>
                <w:b w:val="0"/>
                <w:i w:val="0"/>
                <w:color w:val="000000"/>
                <w:sz w:val="21"/>
                <w:rFonts w:eastAsia="宋体" w:ascii="Times New Roman" w:hAnsi="Times New Roman"/>
              </w:rPr>
              <w:t>前体质量、荷电状态和碎片峰字段完整，索引可用于候选查询</w:t>
            </w:r>
          </w:p>
        </w:tc>
        <w:tc>
          <w:tcPr>
            <w:tcW w:type="dxa" w:w="964"/>
            <w:vAlign w:val="center"/>
          </w:tcPr>
          <w:p>
            <w:pPr>
              <w:spacing w:lineRule="auto" w:line="288" w:before="0" w:after="0"/>
              <w:jc w:val="left"/>
            </w:pPr>
            <w:r/>
            <w:r>
              <w:rPr>
                <w:b w:val="0"/>
                <w:i w:val="0"/>
                <w:color w:val="000000"/>
                <w:sz w:val="21"/>
                <w:rFonts w:eastAsia="宋体" w:ascii="Times New Roman" w:hAnsi="Times New Roman"/>
              </w:rPr>
              <w:t>通过</w:t>
            </w:r>
          </w:p>
        </w:tc>
      </w:tr>
      <w:tr>
        <w:tc>
          <w:tcPr>
            <w:tcW w:type="dxa" w:w="1474"/>
            <w:vAlign w:val="center"/>
          </w:tcPr>
          <w:p>
            <w:pPr>
              <w:spacing w:lineRule="auto" w:line="288" w:before="0" w:after="0"/>
              <w:jc w:val="center"/>
            </w:pPr>
            <w:r/>
            <w:r>
              <w:rPr>
                <w:b w:val="0"/>
                <w:i w:val="0"/>
                <w:color w:val="000000"/>
                <w:sz w:val="21"/>
                <w:rFonts w:eastAsia="宋体" w:ascii="Times New Roman" w:hAnsi="Times New Roman"/>
              </w:rPr>
              <w:t>候选过滤</w:t>
            </w:r>
          </w:p>
        </w:tc>
        <w:tc>
          <w:tcPr>
            <w:tcW w:type="dxa" w:w="2324"/>
            <w:vAlign w:val="center"/>
          </w:tcPr>
          <w:p>
            <w:pPr>
              <w:spacing w:lineRule="auto" w:line="288" w:before="0" w:after="0"/>
              <w:jc w:val="left"/>
            </w:pPr>
            <w:r/>
            <w:r>
              <w:rPr>
                <w:b w:val="0"/>
                <w:i w:val="0"/>
                <w:color w:val="000000"/>
                <w:sz w:val="21"/>
                <w:rFonts w:eastAsia="宋体" w:ascii="Times New Roman" w:hAnsi="Times New Roman"/>
              </w:rPr>
              <w:t>按荷电状态与 2.2 Da 前体窗口筛选</w:t>
            </w:r>
          </w:p>
        </w:tc>
        <w:tc>
          <w:tcPr>
            <w:tcW w:type="dxa" w:w="3515"/>
            <w:vAlign w:val="center"/>
          </w:tcPr>
          <w:p>
            <w:pPr>
              <w:spacing w:lineRule="auto" w:line="288" w:before="0" w:after="0"/>
              <w:jc w:val="left"/>
            </w:pPr>
            <w:r/>
            <w:r>
              <w:rPr>
                <w:b w:val="0"/>
                <w:i w:val="0"/>
                <w:color w:val="000000"/>
                <w:sz w:val="21"/>
                <w:rFonts w:eastAsia="宋体" w:ascii="Times New Roman" w:hAnsi="Times New Roman"/>
              </w:rPr>
              <w:t>候选谱图对为 14,614 个，候选空间显著缩小</w:t>
            </w:r>
          </w:p>
        </w:tc>
        <w:tc>
          <w:tcPr>
            <w:tcW w:type="dxa" w:w="964"/>
            <w:vAlign w:val="center"/>
          </w:tcPr>
          <w:p>
            <w:pPr>
              <w:spacing w:lineRule="auto" w:line="288" w:before="0" w:after="0"/>
              <w:jc w:val="left"/>
            </w:pPr>
            <w:r/>
            <w:r>
              <w:rPr>
                <w:b w:val="0"/>
                <w:i w:val="0"/>
                <w:color w:val="000000"/>
                <w:sz w:val="21"/>
                <w:rFonts w:eastAsia="宋体" w:ascii="Times New Roman" w:hAnsi="Times New Roman"/>
              </w:rPr>
              <w:t>通过</w:t>
            </w:r>
          </w:p>
        </w:tc>
      </w:tr>
      <w:tr>
        <w:tc>
          <w:tcPr>
            <w:tcW w:type="dxa" w:w="1474"/>
            <w:vAlign w:val="center"/>
          </w:tcPr>
          <w:p>
            <w:pPr>
              <w:spacing w:lineRule="auto" w:line="288" w:before="0" w:after="0"/>
              <w:jc w:val="center"/>
            </w:pPr>
            <w:r/>
            <w:r>
              <w:rPr>
                <w:b w:val="0"/>
                <w:i w:val="0"/>
                <w:color w:val="000000"/>
                <w:sz w:val="21"/>
                <w:rFonts w:eastAsia="宋体" w:ascii="Times New Roman" w:hAnsi="Times New Roman"/>
              </w:rPr>
              <w:t>碎片峰比较</w:t>
            </w:r>
          </w:p>
        </w:tc>
        <w:tc>
          <w:tcPr>
            <w:tcW w:type="dxa" w:w="2324"/>
            <w:vAlign w:val="center"/>
          </w:tcPr>
          <w:p>
            <w:pPr>
              <w:spacing w:lineRule="auto" w:line="288" w:before="0" w:after="0"/>
              <w:jc w:val="left"/>
            </w:pPr>
            <w:r/>
            <w:r>
              <w:rPr>
                <w:b w:val="0"/>
                <w:i w:val="0"/>
                <w:color w:val="000000"/>
                <w:sz w:val="21"/>
                <w:rFonts w:eastAsia="宋体" w:ascii="Times New Roman" w:hAnsi="Times New Roman"/>
              </w:rPr>
              <w:t>对候选谱图对计算 10 ppm 余弦相似度</w:t>
            </w:r>
          </w:p>
        </w:tc>
        <w:tc>
          <w:tcPr>
            <w:tcW w:type="dxa" w:w="3515"/>
            <w:vAlign w:val="center"/>
          </w:tcPr>
          <w:p>
            <w:pPr>
              <w:spacing w:lineRule="auto" w:line="288" w:before="0" w:after="0"/>
              <w:jc w:val="left"/>
            </w:pPr>
            <w:r/>
            <w:r>
              <w:rPr>
                <w:b w:val="0"/>
                <w:i w:val="0"/>
                <w:color w:val="000000"/>
                <w:sz w:val="21"/>
                <w:rFonts w:eastAsia="宋体" w:ascii="Times New Roman" w:hAnsi="Times New Roman"/>
              </w:rPr>
              <w:t>阈值 0.30 下保留 10,872 条边，可进入连通分量聚类</w:t>
            </w:r>
          </w:p>
        </w:tc>
        <w:tc>
          <w:tcPr>
            <w:tcW w:type="dxa" w:w="964"/>
            <w:vAlign w:val="center"/>
          </w:tcPr>
          <w:p>
            <w:pPr>
              <w:spacing w:lineRule="auto" w:line="288" w:before="0" w:after="0"/>
              <w:jc w:val="left"/>
            </w:pPr>
            <w:r/>
            <w:r>
              <w:rPr>
                <w:b w:val="0"/>
                <w:i w:val="0"/>
                <w:color w:val="000000"/>
                <w:sz w:val="21"/>
                <w:rFonts w:eastAsia="宋体" w:ascii="Times New Roman" w:hAnsi="Times New Roman"/>
              </w:rPr>
              <w:t>通过</w:t>
            </w:r>
          </w:p>
        </w:tc>
      </w:tr>
      <w:tr>
        <w:tc>
          <w:tcPr>
            <w:tcW w:type="dxa" w:w="1474"/>
            <w:vAlign w:val="center"/>
          </w:tcPr>
          <w:p>
            <w:pPr>
              <w:spacing w:lineRule="auto" w:line="288" w:before="0" w:after="0"/>
              <w:jc w:val="center"/>
            </w:pPr>
            <w:r/>
            <w:r>
              <w:rPr>
                <w:b w:val="0"/>
                <w:i w:val="0"/>
                <w:color w:val="000000"/>
                <w:sz w:val="21"/>
                <w:rFonts w:eastAsia="宋体" w:ascii="Times New Roman" w:hAnsi="Times New Roman"/>
              </w:rPr>
              <w:t>结果核对</w:t>
            </w:r>
          </w:p>
        </w:tc>
        <w:tc>
          <w:tcPr>
            <w:tcW w:type="dxa" w:w="2324"/>
            <w:vAlign w:val="center"/>
          </w:tcPr>
          <w:p>
            <w:pPr>
              <w:spacing w:lineRule="auto" w:line="288" w:before="0" w:after="0"/>
              <w:jc w:val="left"/>
            </w:pPr>
            <w:r/>
            <w:r>
              <w:rPr>
                <w:b w:val="0"/>
                <w:i w:val="0"/>
                <w:color w:val="000000"/>
                <w:sz w:val="21"/>
                <w:rFonts w:eastAsia="宋体" w:ascii="Times New Roman" w:hAnsi="Times New Roman"/>
              </w:rPr>
              <w:t>比较聚类指标与参数敏感性结果</w:t>
            </w:r>
          </w:p>
        </w:tc>
        <w:tc>
          <w:tcPr>
            <w:tcW w:type="dxa" w:w="3515"/>
            <w:vAlign w:val="center"/>
          </w:tcPr>
          <w:p>
            <w:pPr>
              <w:spacing w:lineRule="auto" w:line="288" w:before="0" w:after="0"/>
              <w:jc w:val="left"/>
            </w:pPr>
            <w:r/>
            <w:r>
              <w:rPr>
                <w:b w:val="0"/>
                <w:i w:val="0"/>
                <w:color w:val="000000"/>
                <w:sz w:val="21"/>
                <w:rFonts w:eastAsia="宋体" w:ascii="Times New Roman" w:hAnsi="Times New Roman"/>
              </w:rPr>
              <w:t>ARI、NMI、错误率和保留边数量与各节分析一致</w:t>
            </w:r>
          </w:p>
        </w:tc>
        <w:tc>
          <w:tcPr>
            <w:tcW w:type="dxa" w:w="964"/>
            <w:vAlign w:val="center"/>
          </w:tcPr>
          <w:p>
            <w:pPr>
              <w:spacing w:lineRule="auto" w:line="288" w:before="0" w:after="0"/>
              <w:jc w:val="left"/>
            </w:pPr>
            <w:r/>
            <w:r>
              <w:rPr>
                <w:b w:val="0"/>
                <w:i w:val="0"/>
                <w:color w:val="000000"/>
                <w:sz w:val="21"/>
                <w:rFonts w:eastAsia="宋体" w:ascii="Times New Roman" w:hAnsi="Times New Roman"/>
              </w:rPr>
              <w:t>通过</w:t>
            </w:r>
          </w:p>
        </w:tc>
      </w:tr>
    </w:tbl>
    <w:p/>
    <w:p>
      <w:pPr>
        <w:spacing w:lineRule="auto" w:line="360" w:before="0" w:after="0"/>
        <w:ind w:firstLine="420"/>
        <w:jc w:val="both"/>
      </w:pPr>
      <w:r>
        <w:rPr>
          <w:b w:val="0"/>
          <w:i w:val="0"/>
          <w:color w:val="000000"/>
          <w:sz w:val="24"/>
          <w:rFonts w:eastAsia="宋体" w:ascii="Times New Roman" w:hAnsi="Times New Roman"/>
        </w:rPr>
        <w:t>核对结果表明，31 个 msalign 文件与 31 个 TopPIC 输出表能够按谱图编号对齐；评价集合包含 4,480 条谱图和 2,505 个参考标注组。前体质量与荷电状态过滤得到 14,614 个候选谱图对，碎片峰相似度阈值 0.30 下保留 10,872 条边。上述数值与前文聚类质量、候选过滤效果和阈值敏感性分析一致，说明实验结果具有可复查性。</w:t>
      </w:r>
    </w:p>
    <w:p>
      <w:pPr>
        <w:spacing w:lineRule="auto" w:line="360" w:before="0" w:after="0"/>
        <w:ind w:firstLine="420"/>
        <w:jc w:val="both"/>
      </w:pPr>
      <w:r>
        <w:rPr>
          <w:b w:val="0"/>
          <w:i w:val="0"/>
          <w:color w:val="000000"/>
          <w:sz w:val="24"/>
          <w:rFonts w:eastAsia="宋体" w:ascii="Times New Roman" w:hAnsi="Times New Roman"/>
        </w:rPr>
        <w:t>PXD029703 是 TopLib 中 SW480-GPSE 数据的主要来源，但 PRIDE 公开文件以 RAW 格式为主，需要经过 msconvert、TopFD 和 TopPIC 等预处理后才能进入谱图聚类阶段。为避免把未完成预处理的 RAW 数据混入评价，本研究采用同一数据可用性声明中已经公开 msalign 与 TopPIC 输出表的 PXD019368 作为实验数据集，并将 PXD029703 的一个 SW480 RAW 文件作为来源核对材料。</w:t>
      </w:r>
    </w:p>
    <w:p>
      <w:pPr>
        <w:pStyle w:val="2"/>
        <w:pageBreakBefore/>
        <w:jc w:val="center"/>
      </w:pPr>
      <w:r>
        <w:rPr>
          <w:b/>
          <w:i w:val="0"/>
          <w:color w:val="000000"/>
          <w:sz w:val="32"/>
          <w:rFonts w:eastAsia="黑体" w:ascii="Times New Roman" w:hAnsi="Times New Roman"/>
        </w:rPr>
        <w:t>第7章 总结与展望</w:t>
      </w:r>
    </w:p>
    <w:p>
      <w:pPr>
        <w:pStyle w:val="3"/>
        <w:jc w:val="left"/>
      </w:pPr>
      <w:r>
        <w:rPr>
          <w:b/>
          <w:i w:val="0"/>
          <w:color w:val="000000"/>
          <w:sz w:val="24"/>
          <w:rFonts w:eastAsia="黑体" w:ascii="Times New Roman" w:hAnsi="Times New Roman"/>
        </w:rPr>
        <w:t>7.1 研究总结</w:t>
      </w:r>
    </w:p>
    <w:p>
      <w:pPr>
        <w:spacing w:lineRule="auto" w:line="360" w:before="0" w:after="0"/>
        <w:ind w:firstLine="420"/>
        <w:jc w:val="both"/>
      </w:pPr>
      <w:r>
        <w:rPr>
          <w:b w:val="0"/>
          <w:i w:val="0"/>
          <w:color w:val="000000"/>
          <w:sz w:val="24"/>
          <w:rFonts w:eastAsia="宋体" w:ascii="Times New Roman" w:hAnsi="Times New Roman"/>
        </w:rPr>
        <w:t>本研究围绕“基于数据库过滤的谱图聚类算法设计”展开研究，针对谱图库聚类中候选谱图对数量大、无效相似度计算多的问题，提出了先数据库过滤、再碎片峰相似度计算、最后连通分量聚类的算法流程。本研究从谱图数据表示、SQLite 数据结构、候选过滤规则、公开数据读取、聚类评价和实验结果分析等方面进行了完整说明。</w:t>
      </w:r>
    </w:p>
    <w:p>
      <w:pPr>
        <w:spacing w:lineRule="auto" w:line="360" w:before="0" w:after="0"/>
        <w:ind w:firstLine="420"/>
        <w:jc w:val="both"/>
      </w:pPr>
      <w:r>
        <w:rPr>
          <w:b w:val="0"/>
          <w:i w:val="0"/>
          <w:color w:val="000000"/>
          <w:sz w:val="24"/>
          <w:rFonts w:eastAsia="宋体" w:ascii="Times New Roman" w:hAnsi="Times New Roman"/>
        </w:rPr>
        <w:t>实验使用 PRIDE PXD019368 的公开自上而下质谱数据，共解析 27,475 条谱图，并选取 4,480 条具有 TopPIC 标注的谱图进行评价。结果显示，数据库过滤将候选谱图对由 10,032,960 个减少到 14,614 个，过滤率达到 99.85%；在碎片峰相似度阈值 0.30 下，ARI 为 0.8435，NMI 为 0.9837，错误聚类率为 10.98%。这说明数据库过滤能够在谱图数据中显著压缩候选空间，并保持较好的聚类一致性。</w:t>
      </w:r>
    </w:p>
    <w:p>
      <w:pPr>
        <w:pStyle w:val="3"/>
        <w:jc w:val="left"/>
      </w:pPr>
      <w:r>
        <w:rPr>
          <w:b/>
          <w:i w:val="0"/>
          <w:color w:val="000000"/>
          <w:sz w:val="24"/>
          <w:rFonts w:eastAsia="黑体" w:ascii="Times New Roman" w:hAnsi="Times New Roman"/>
        </w:rPr>
        <w:t>7.2 不足与改进方向</w:t>
      </w:r>
    </w:p>
    <w:p>
      <w:pPr>
        <w:spacing w:lineRule="auto" w:line="360" w:before="0" w:after="0"/>
        <w:ind w:firstLine="420"/>
        <w:jc w:val="both"/>
      </w:pPr>
      <w:r>
        <w:rPr>
          <w:b w:val="0"/>
          <w:i w:val="0"/>
          <w:color w:val="000000"/>
          <w:sz w:val="24"/>
          <w:rFonts w:eastAsia="宋体" w:ascii="Times New Roman" w:hAnsi="Times New Roman"/>
        </w:rPr>
        <w:t>本研究仍存在一些不足。首先，PXD029703 是 TopLib 论文中 SW480 主实验数据来源，但 PRIDE 公开文件主要为 RAW 格式，完整处理依赖 msconvert、TopFD 和 TopPIC 等工具链；本研究采用同一数据可用性声明中的 PXD019368 预处理 msalign 数据完成聚类评价，后续可在完整预处理环境中扩展到 SW480 全量数据。其次，本文的候选过滤主要使用前体质量和荷电状态，碎片峰索引仍较简单，后续可进一步构建倒排峰表，以减少候选查询时的扫描成本。</w:t>
      </w:r>
    </w:p>
    <w:p>
      <w:pPr>
        <w:spacing w:lineRule="auto" w:line="360" w:before="0" w:after="0"/>
        <w:ind w:firstLine="420"/>
        <w:jc w:val="both"/>
      </w:pPr>
      <w:r>
        <w:rPr>
          <w:b w:val="0"/>
          <w:i w:val="0"/>
          <w:color w:val="000000"/>
          <w:sz w:val="24"/>
          <w:rFonts w:eastAsia="宋体" w:ascii="Times New Roman" w:hAnsi="Times New Roman"/>
        </w:rPr>
        <w:t>在算法扩展方面，可以引入 TopLib 的代表谱图生成策略、目标-诱饵质量控制和更多距离函数，对不同阈值下的错误合并进行更细致分析。工程实现上，可以把 SQLite 替换为更适合大规模数据的检索引擎，并加入批量查询、缓存和并行碎片峰比较，使算法更接近完整谱图库构建系统。</w:t>
      </w:r>
    </w:p>
    <w:p>
      <w:pPr>
        <w:pStyle w:val="2"/>
        <w:pageBreakBefore/>
        <w:jc w:val="center"/>
      </w:pPr>
      <w:r>
        <w:rPr>
          <w:b/>
          <w:i w:val="0"/>
          <w:color w:val="000000"/>
          <w:sz w:val="32"/>
          <w:rFonts w:eastAsia="黑体" w:ascii="Times New Roman" w:hAnsi="Times New Roman"/>
        </w:rPr>
        <w:t>参考文献</w:t>
      </w:r>
    </w:p>
    <w:p>
      <w:pPr>
        <w:spacing w:lineRule="auto" w:line="360" w:before="0" w:after="0"/>
        <w:ind w:left="420" w:hanging="420"/>
        <w:jc w:val="left"/>
      </w:pPr>
      <w:r>
        <w:rPr>
          <w:b w:val="0"/>
          <w:i w:val="0"/>
          <w:color w:val="000000"/>
          <w:sz w:val="21"/>
          <w:rFonts w:eastAsia="宋体" w:ascii="Times New Roman" w:hAnsi="Times New Roman"/>
        </w:rPr>
        <w:t>[1] Li K, Tang H, Liu X. TopLib: Building and Searching Top-Down Mass Spectral Libraries for Proteoform Identification[J]. Analytical Chemistry, 2025, 97(23): 11443-11453.</w:t>
      </w:r>
    </w:p>
    <w:p>
      <w:pPr>
        <w:spacing w:lineRule="auto" w:line="360" w:before="0" w:after="0"/>
        <w:ind w:left="420" w:hanging="420"/>
        <w:jc w:val="left"/>
      </w:pPr>
      <w:r>
        <w:rPr>
          <w:b w:val="0"/>
          <w:i w:val="0"/>
          <w:color w:val="000000"/>
          <w:sz w:val="21"/>
          <w:rFonts w:eastAsia="宋体" w:ascii="Times New Roman" w:hAnsi="Times New Roman"/>
        </w:rPr>
        <w:t>[2] Bittremieux W., Laukens K., Noble W. S., Dorrestein P. C.. Large-scale tandem mass spectrum clustering using fast nearest neighbor searching[J]. Rapid Communications in Mass Spectrometry, 2025, 39(S1). DOI: 10.1002/rcm.9153.</w:t>
      </w:r>
    </w:p>
    <w:p>
      <w:pPr>
        <w:spacing w:lineRule="auto" w:line="360" w:before="0" w:after="0"/>
        <w:ind w:left="420" w:hanging="420"/>
        <w:jc w:val="left"/>
      </w:pPr>
      <w:r>
        <w:rPr>
          <w:b w:val="0"/>
          <w:i w:val="0"/>
          <w:color w:val="000000"/>
          <w:sz w:val="21"/>
          <w:rFonts w:eastAsia="宋体" w:ascii="Times New Roman" w:hAnsi="Times New Roman"/>
        </w:rPr>
        <w:t>[3] Carr A. V., Bollis N. E., Pavek J. G., Shortreed M. R.. Spectral averaging with outlier rejection algorithms to increase identifications in top-down proteomics[J]. PROTEOMICS, 2024, 24(8). DOI: 10.1002/pmic.202300234.</w:t>
      </w:r>
    </w:p>
    <w:p>
      <w:pPr>
        <w:spacing w:lineRule="auto" w:line="360" w:before="0" w:after="0"/>
        <w:ind w:left="420" w:hanging="420"/>
        <w:jc w:val="left"/>
      </w:pPr>
      <w:r>
        <w:rPr>
          <w:b w:val="0"/>
          <w:i w:val="0"/>
          <w:color w:val="000000"/>
          <w:sz w:val="21"/>
          <w:rFonts w:eastAsia="宋体" w:ascii="Times New Roman" w:hAnsi="Times New Roman"/>
        </w:rPr>
        <w:t>[4] Dai Y., Millikin R. J., Rolfs Z., Shortreed M. R.. A Hybrid Spectral Library and Protein Sequence Database Search Strategy for Bottom-Up and Top-Down Proteomic Data Analysis[J]. Journal of Proteome Research, 2022, 21(11): 2609-2618. DOI: 10.1021/acs.jproteome.2c00305.</w:t>
      </w:r>
    </w:p>
    <w:p>
      <w:pPr>
        <w:spacing w:lineRule="auto" w:line="360" w:before="0" w:after="0"/>
        <w:ind w:left="420" w:hanging="420"/>
        <w:jc w:val="left"/>
      </w:pPr>
      <w:r>
        <w:rPr>
          <w:b w:val="0"/>
          <w:i w:val="0"/>
          <w:color w:val="000000"/>
          <w:sz w:val="21"/>
          <w:rFonts w:eastAsia="宋体" w:ascii="Times New Roman" w:hAnsi="Times New Roman"/>
        </w:rPr>
        <w:t>[5] Rice S. J., Belani C. P.. Optimizing data-independent acquisition (DIA) spectral library workflows for plasma proteomics studies[J]. PROTEOMICS, 2022, 22(17). DOI: 10.1002/pmic.202200125.</w:t>
      </w:r>
    </w:p>
    <w:p>
      <w:pPr>
        <w:spacing w:lineRule="auto" w:line="360" w:before="0" w:after="0"/>
        <w:ind w:left="420" w:hanging="420"/>
        <w:jc w:val="left"/>
      </w:pPr>
      <w:r>
        <w:rPr>
          <w:b w:val="0"/>
          <w:i w:val="0"/>
          <w:color w:val="000000"/>
          <w:sz w:val="21"/>
          <w:rFonts w:eastAsia="宋体" w:ascii="Times New Roman" w:hAnsi="Times New Roman"/>
        </w:rPr>
        <w:t>[6] Lermyte F.. The need for open and FAIR data in top-down proteomics[J]. PROTEOMICS, 2024, 24(3-4). DOI: 10.1002/pmic.202300354.</w:t>
      </w:r>
    </w:p>
    <w:p>
      <w:pPr>
        <w:spacing w:lineRule="auto" w:line="360" w:before="0" w:after="0"/>
        <w:ind w:left="420" w:hanging="420"/>
        <w:jc w:val="left"/>
      </w:pPr>
      <w:r>
        <w:rPr>
          <w:b w:val="0"/>
          <w:i w:val="0"/>
          <w:color w:val="000000"/>
          <w:sz w:val="21"/>
          <w:rFonts w:eastAsia="宋体" w:ascii="Times New Roman" w:hAnsi="Times New Roman"/>
        </w:rPr>
        <w:t>[7] Kaulich P. T., Tholey A.. Top-Down Proteomics: Why and When?[J]. PROTEOMICS, 2025, 25(24): 6-12. DOI: 10.1002/pmic.202400338.</w:t>
      </w:r>
    </w:p>
    <w:p>
      <w:pPr>
        <w:spacing w:lineRule="auto" w:line="360" w:before="0" w:after="0"/>
        <w:ind w:left="420" w:hanging="420"/>
        <w:jc w:val="left"/>
      </w:pPr>
      <w:r>
        <w:rPr>
          <w:b w:val="0"/>
          <w:i w:val="0"/>
          <w:color w:val="000000"/>
          <w:sz w:val="21"/>
          <w:rFonts w:eastAsia="宋体" w:ascii="Times New Roman" w:hAnsi="Times New Roman"/>
        </w:rPr>
        <w:t>[8] Walzer M., Jeong K., Tabb D. L., Vizcaíno J. A.. TopDownApp: An open and modular platform for analysis and visualisation of top-down proteomics data[J]. PROTEOMICS, 2024, 24(3-4). DOI: 10.1002/pmic.202200403.</w:t>
      </w:r>
    </w:p>
    <w:p>
      <w:pPr>
        <w:spacing w:lineRule="auto" w:line="360" w:before="0" w:after="0"/>
        <w:ind w:left="420" w:hanging="420"/>
        <w:jc w:val="left"/>
      </w:pPr>
      <w:r>
        <w:rPr>
          <w:b w:val="0"/>
          <w:i w:val="0"/>
          <w:color w:val="000000"/>
          <w:sz w:val="21"/>
          <w:rFonts w:eastAsia="宋体" w:ascii="Times New Roman" w:hAnsi="Times New Roman"/>
        </w:rPr>
        <w:t>[9] Jeong K., Kaulich P. T., Jung W., Kim J.. Precursor deconvolution error estimation: The missing puzzle piece in false discovery rate in top-down proteomics[J]. PROTEOMICS, 2024, 24(3-4). DOI: 10.1002/pmic.202300068.</w:t>
      </w:r>
    </w:p>
    <w:p>
      <w:pPr>
        <w:spacing w:lineRule="auto" w:line="360" w:before="0" w:after="0"/>
        <w:ind w:left="420" w:hanging="420"/>
        <w:jc w:val="left"/>
      </w:pPr>
      <w:r>
        <w:rPr>
          <w:b w:val="0"/>
          <w:i w:val="0"/>
          <w:color w:val="000000"/>
          <w:sz w:val="21"/>
          <w:rFonts w:eastAsia="宋体" w:ascii="Times New Roman" w:hAnsi="Times New Roman"/>
        </w:rPr>
        <w:t>[10] Jeong K., Babović M., Gorshkov V., Kim J.. FLASHIda enables intelligent data acquisition for top-down proteomics to boost proteoform identification counts[J]. Nature Communications, 2022, 13(1). DOI: 10.1038/s41467-022-31922-z.</w:t>
      </w:r>
    </w:p>
    <w:p>
      <w:pPr>
        <w:spacing w:lineRule="auto" w:line="360" w:before="0" w:after="0"/>
        <w:ind w:left="420" w:hanging="420"/>
        <w:jc w:val="left"/>
      </w:pPr>
      <w:r>
        <w:rPr>
          <w:b w:val="0"/>
          <w:i w:val="0"/>
          <w:color w:val="000000"/>
          <w:sz w:val="21"/>
          <w:rFonts w:eastAsia="宋体" w:ascii="Times New Roman" w:hAnsi="Times New Roman"/>
        </w:rPr>
        <w:t>[11] Li S., Luo H., Tang P., Tian C.. Generation of a Deep Mouse Brain Spectral Library for Transmembrane Proteome Profiling in Mental Disease Models[J]. Molecular &amp; Cellular Proteomics, 2024, 23(6): 100777. DOI: 10.1016/j.mcpro.2024.100777.</w:t>
      </w:r>
    </w:p>
    <w:p>
      <w:pPr>
        <w:spacing w:lineRule="auto" w:line="360" w:before="0" w:after="0"/>
        <w:ind w:left="420" w:hanging="420"/>
        <w:jc w:val="left"/>
      </w:pPr>
      <w:r>
        <w:rPr>
          <w:b w:val="0"/>
          <w:i w:val="0"/>
          <w:color w:val="000000"/>
          <w:sz w:val="21"/>
          <w:rFonts w:eastAsia="宋体" w:ascii="Times New Roman" w:hAnsi="Times New Roman"/>
        </w:rPr>
        <w:t>[12] McGlynn D. F., Rabe Andriamaharavo N., Kearsley A. J.. Improved Discrimination of Mass Spectral Isomers Using the High-Dimensional Consensus Mass Spectral Similarity Algorithm[J]. Journal of Mass Spectrometry, 2024, 59(10). DOI: 10.1002/jms.5084.</w:t>
      </w:r>
    </w:p>
    <w:p>
      <w:pPr>
        <w:spacing w:lineRule="auto" w:line="360" w:before="0" w:after="0"/>
        <w:ind w:left="420" w:hanging="420"/>
        <w:jc w:val="left"/>
      </w:pPr>
      <w:r>
        <w:rPr>
          <w:b w:val="0"/>
          <w:i w:val="0"/>
          <w:color w:val="000000"/>
          <w:sz w:val="21"/>
          <w:rFonts w:eastAsia="宋体" w:ascii="Times New Roman" w:hAnsi="Times New Roman"/>
        </w:rPr>
        <w:t>[13] Kermani N. Z., Yang X., Guo Y.. A Bi-directional Hierarchical Clustering (BHC) for Peak Matching of Large Mass Spectrometry Data Sets[J]. International Journal of Machine Learning and Computing, 2021, 11(6): 373-379. DOI: 10.18178/ijmlc.2021.11.6.1064.</w:t>
      </w:r>
    </w:p>
    <w:p>
      <w:pPr>
        <w:spacing w:lineRule="auto" w:line="360" w:before="0" w:after="0"/>
        <w:ind w:left="420" w:hanging="420"/>
        <w:jc w:val="left"/>
      </w:pPr>
      <w:r>
        <w:rPr>
          <w:b w:val="0"/>
          <w:i w:val="0"/>
          <w:color w:val="000000"/>
          <w:sz w:val="21"/>
          <w:rFonts w:eastAsia="宋体" w:ascii="Times New Roman" w:hAnsi="Times New Roman"/>
        </w:rPr>
        <w:t>[14] Hu X., Liu W., Xing X.. An Innovative Inter-Spectral Distance-Based Approach to Analyzing MALDI-TOF Mass Spectra of Closely Related Microbial Species[J]. Rapid Communications in Mass Spectrometry, 2025, 39(23). DOI: 10.1002/rcm.10121.</w:t>
      </w:r>
    </w:p>
    <w:p>
      <w:pPr>
        <w:spacing w:lineRule="auto" w:line="360" w:before="0" w:after="0"/>
        <w:ind w:left="420" w:hanging="420"/>
        <w:jc w:val="left"/>
      </w:pPr>
      <w:r>
        <w:rPr>
          <w:b w:val="0"/>
          <w:i w:val="0"/>
          <w:color w:val="000000"/>
          <w:sz w:val="21"/>
          <w:rFonts w:eastAsia="宋体" w:ascii="Times New Roman" w:hAnsi="Times New Roman"/>
        </w:rPr>
        <w:t>[15] Cody R. B., Sparkman O. D., Moore H.. Creating a Searchable Chromatographic Database with the NIST Mass Spectral Search Program[J]. Journal of the American Society for Mass Spectrometry, 2022, 33(4): 740-743. DOI: 10.1021/jasms.2c00016.</w:t>
      </w:r>
    </w:p>
    <w:p>
      <w:pPr>
        <w:spacing w:lineRule="auto" w:line="360" w:before="0" w:after="0"/>
        <w:ind w:left="420" w:hanging="420"/>
        <w:jc w:val="left"/>
      </w:pPr>
      <w:r>
        <w:rPr>
          <w:b w:val="0"/>
          <w:i w:val="0"/>
          <w:color w:val="000000"/>
          <w:sz w:val="21"/>
          <w:rFonts w:eastAsia="宋体" w:ascii="Times New Roman" w:hAnsi="Times New Roman"/>
        </w:rPr>
        <w:t>[16] Yamaguchi S., Ikegawa M.. An Effective Approach to Mass Spectrometry Imaging Data Partitioning Using UMAP and k-Means Clustering[J]. Mass Spectrometry, 2025, 14(1): A0174-A0174. DOI: 10.5702/massspectrometry.a0174.</w:t>
      </w:r>
    </w:p>
    <w:p>
      <w:pPr>
        <w:spacing w:lineRule="auto" w:line="360" w:before="0" w:after="0"/>
        <w:ind w:left="420" w:hanging="420"/>
        <w:jc w:val="left"/>
      </w:pPr>
      <w:r>
        <w:rPr>
          <w:b w:val="0"/>
          <w:i w:val="0"/>
          <w:color w:val="000000"/>
          <w:sz w:val="21"/>
          <w:rFonts w:eastAsia="宋体" w:ascii="Times New Roman" w:hAnsi="Times New Roman"/>
        </w:rPr>
        <w:t>[17] Xu G., Gan S., Guo B., Yang L.. Application of clustering strategy for automatic segmentation of tissue regions in mass spectrometry imaging[J]. Rapid Communications in Mass Spectrometry, 2024, 38(8). DOI: 10.1002/rcm.9717.</w:t>
      </w:r>
    </w:p>
    <w:p>
      <w:pPr>
        <w:spacing w:lineRule="auto" w:line="360" w:before="0" w:after="0"/>
        <w:ind w:left="420" w:hanging="420"/>
        <w:jc w:val="left"/>
      </w:pPr>
      <w:r>
        <w:rPr>
          <w:b w:val="0"/>
          <w:i w:val="0"/>
          <w:color w:val="000000"/>
          <w:sz w:val="21"/>
          <w:rFonts w:eastAsia="宋体" w:ascii="Times New Roman" w:hAnsi="Times New Roman"/>
        </w:rPr>
        <w:t>[18] Aoki J., Isokawa M., Ueda M.. Site-Specific Clustering of Bioactive Signaling Molecules Predicted In Situ by Space and Time Coherent Mapping for Imaging Mass Spectrometry[J]. Journal of the American Society for Mass Spectrometry, 2025, 36(1): 72-84. DOI: 10.1021/jasms.4c00333.</w:t>
      </w:r>
    </w:p>
    <w:p>
      <w:pPr>
        <w:spacing w:lineRule="auto" w:line="360" w:before="0" w:after="0"/>
        <w:ind w:left="420" w:hanging="420"/>
        <w:jc w:val="left"/>
      </w:pPr>
      <w:r>
        <w:rPr>
          <w:b w:val="0"/>
          <w:i w:val="0"/>
          <w:color w:val="000000"/>
          <w:sz w:val="21"/>
          <w:rFonts w:eastAsia="宋体" w:ascii="Times New Roman" w:hAnsi="Times New Roman"/>
        </w:rPr>
        <w:t>[19] Frédérique V., Simon A., Manor A., Dirk V.. Defining Spectral Quality in Mass Spectrometry-Based Proteomics: A Retrospective Review[J]. Mass Spectrometry Reviews, 2025. DOI: 10.1002/mas.21933.</w:t>
      </w:r>
    </w:p>
    <w:p>
      <w:pPr>
        <w:spacing w:lineRule="auto" w:line="360" w:before="0" w:after="0"/>
        <w:ind w:left="420" w:hanging="420"/>
        <w:jc w:val="left"/>
      </w:pPr>
      <w:r>
        <w:rPr>
          <w:b w:val="0"/>
          <w:i w:val="0"/>
          <w:color w:val="000000"/>
          <w:sz w:val="21"/>
          <w:rFonts w:eastAsia="宋体" w:ascii="Times New Roman" w:hAnsi="Times New Roman"/>
        </w:rPr>
        <w:t>[20] Tsugawa H.. Spectral Deconvolution for Small Molecule Analysis[J]. Journal of the Mass Spectrometry Society of Japan, 2024, 72(2): 21-26. DOI: 10.5702/massspec.s24-10.</w:t>
      </w:r>
    </w:p>
    <w:p>
      <w:pPr>
        <w:spacing w:lineRule="auto" w:line="360" w:before="0" w:after="0"/>
        <w:ind w:left="420" w:hanging="420"/>
        <w:jc w:val="left"/>
      </w:pPr>
      <w:r>
        <w:rPr>
          <w:b w:val="0"/>
          <w:i w:val="0"/>
          <w:color w:val="000000"/>
          <w:sz w:val="21"/>
          <w:rFonts w:eastAsia="宋体" w:ascii="Times New Roman" w:hAnsi="Times New Roman"/>
        </w:rPr>
        <w:t>[21] Grossegesse M., Nitsche A., Schaade L., Doellinger J.. Application of spectral library prediction for parallel reaction monitoring of viral peptides[J]. PROTEOMICS, 2021, 21(7-8). DOI: 10.1002/pmic.202000226.</w:t>
      </w:r>
    </w:p>
    <w:p>
      <w:pPr>
        <w:spacing w:lineRule="auto" w:line="360" w:before="0" w:after="0"/>
        <w:ind w:left="420" w:hanging="420"/>
        <w:jc w:val="left"/>
      </w:pPr>
      <w:r>
        <w:rPr>
          <w:b w:val="0"/>
          <w:i w:val="0"/>
          <w:color w:val="000000"/>
          <w:sz w:val="21"/>
          <w:rFonts w:eastAsia="宋体" w:ascii="Times New Roman" w:hAnsi="Times New Roman"/>
        </w:rPr>
        <w:t>[22] Palstrøm N. B., Campbell A. J., Lindegaard C. A., Cakar S.. Spectral library search for improved TMTpro labelled peptide assignment in human plasma proteomics[J]. PROTEOMICS, 2024, 24(6). DOI: 10.1002/pmic.202300236.</w:t>
      </w:r>
    </w:p>
    <w:p>
      <w:pPr>
        <w:spacing w:lineRule="auto" w:line="360" w:before="0" w:after="0"/>
        <w:ind w:left="420" w:hanging="420"/>
        <w:jc w:val="left"/>
      </w:pPr>
      <w:r>
        <w:rPr>
          <w:b w:val="0"/>
          <w:i w:val="0"/>
          <w:color w:val="000000"/>
          <w:sz w:val="21"/>
          <w:rFonts w:eastAsia="宋体" w:ascii="Times New Roman" w:hAnsi="Times New Roman"/>
        </w:rPr>
        <w:t>[23] Teh R., Azimi A., Ali M., Mann G.. Specialised skin cancer spectral library for use in data-independent mass spectrometry[J]. PROTEOMICS, 2021, 21(19). DOI: 10.1002/pmic.202100128.</w:t>
      </w:r>
    </w:p>
    <w:p>
      <w:pPr>
        <w:spacing w:lineRule="auto" w:line="360" w:before="0" w:after="0"/>
        <w:ind w:left="420" w:hanging="420"/>
        <w:jc w:val="left"/>
      </w:pPr>
      <w:r>
        <w:rPr>
          <w:b w:val="0"/>
          <w:i w:val="0"/>
          <w:color w:val="000000"/>
          <w:sz w:val="21"/>
          <w:rFonts w:eastAsia="宋体" w:ascii="Times New Roman" w:hAnsi="Times New Roman"/>
        </w:rPr>
        <w:t>[24] Senavirathna L., Ma C., Duong V., Tsai H.. SLB-msSIM: A Spectral Library-Based Multiplex Segmented SIM Platform for Single-Cell Proteomic Analysis[J]. PROTEOMICS, 2025, 25(19): 50-61. DOI: 10.1002/pmic.70037.</w:t>
      </w:r>
    </w:p>
    <w:p>
      <w:pPr>
        <w:spacing w:lineRule="auto" w:line="360" w:before="0" w:after="0"/>
        <w:ind w:left="420" w:hanging="420"/>
        <w:jc w:val="left"/>
      </w:pPr>
      <w:r>
        <w:rPr>
          <w:b w:val="0"/>
          <w:i w:val="0"/>
          <w:color w:val="000000"/>
          <w:sz w:val="21"/>
          <w:rFonts w:eastAsia="宋体" w:ascii="Times New Roman" w:hAnsi="Times New Roman"/>
        </w:rPr>
        <w:t>[25] Canudas N. V., Gómez M. C., Vilasís-Cardona X., Ribé E. G.. Graph Clustering: a graph-based clustering algorithm for the electromagnetic calorimeter in LHCb[J]. The European Physical Journal C, 2023, 83(2). DOI: 10.1140/epjc/s10052-023-11332-1.</w:t>
      </w:r>
    </w:p>
    <w:p>
      <w:pPr>
        <w:spacing w:lineRule="auto" w:line="360" w:before="0" w:after="0"/>
        <w:ind w:left="420" w:hanging="420"/>
        <w:jc w:val="left"/>
      </w:pPr>
      <w:r>
        <w:rPr>
          <w:b w:val="0"/>
          <w:i w:val="0"/>
          <w:color w:val="000000"/>
          <w:sz w:val="21"/>
          <w:rFonts w:eastAsia="宋体" w:ascii="Times New Roman" w:hAnsi="Times New Roman"/>
        </w:rPr>
        <w:t>[26] Figiel A., Himmel A., Nichterlein A., Niedermeier R.. On 2-Clubs in Graph-Based Data Clustering: Theory and Algorithm Engineering[J]. Journal of Graph Algorithms and Applications, 2021, 25(1): 521-547. DOI: 10.7155/jgaa.00570.</w:t>
      </w:r>
    </w:p>
    <w:p>
      <w:pPr>
        <w:spacing w:lineRule="auto" w:line="360" w:before="0" w:after="0"/>
        <w:ind w:left="420" w:hanging="420"/>
        <w:jc w:val="left"/>
      </w:pPr>
      <w:r>
        <w:rPr>
          <w:b w:val="0"/>
          <w:i w:val="0"/>
          <w:color w:val="000000"/>
          <w:sz w:val="21"/>
          <w:rFonts w:eastAsia="宋体" w:ascii="Times New Roman" w:hAnsi="Times New Roman"/>
        </w:rPr>
        <w:t>[27] Niu X., Zheng Y., Liu W., Wu C. Q.. On a two-stage progressive clustering algorithm with graph-augmented density peak clustering[J]. Engineering Applications of Artificial Intelligence, 2022, 108: 104566. DOI: 10.1016/j.engappai.2021.104566.</w:t>
      </w:r>
    </w:p>
    <w:p>
      <w:pPr>
        <w:spacing w:lineRule="auto" w:line="360" w:before="0" w:after="0"/>
        <w:ind w:left="420" w:hanging="420"/>
        <w:jc w:val="left"/>
      </w:pPr>
      <w:r>
        <w:rPr>
          <w:b w:val="0"/>
          <w:i w:val="0"/>
          <w:color w:val="000000"/>
          <w:sz w:val="21"/>
          <w:rFonts w:eastAsia="宋体" w:ascii="Times New Roman" w:hAnsi="Times New Roman"/>
        </w:rPr>
        <w:t>[28] Pisano Z. M., Agterberg J. S., Priebe C. E., Naiman D. Q.. Spectral graph clustering via the expectation-solution algorithm[J]. Electronic Journal of Statistics, 2022, 16(1). DOI: 10.1214/22-ejs2018.</w:t>
      </w:r>
    </w:p>
    <w:p>
      <w:pPr>
        <w:spacing w:lineRule="auto" w:line="360" w:before="0" w:after="0"/>
        <w:ind w:left="420" w:hanging="420"/>
        <w:jc w:val="left"/>
      </w:pPr>
      <w:r>
        <w:rPr>
          <w:b w:val="0"/>
          <w:i w:val="0"/>
          <w:color w:val="000000"/>
          <w:sz w:val="21"/>
          <w:rFonts w:eastAsia="宋体" w:ascii="Times New Roman" w:hAnsi="Times New Roman"/>
        </w:rPr>
        <w:t>[29] Xu T., Jiang J.. A Graph Adaptive Density Peaks Clustering algorithm for automatic centroid selection and effective aggregation[J]. Expert Systems with Applications, 2022, 195: 116539. DOI: 10.1016/j.eswa.2022.116539.</w:t>
      </w:r>
    </w:p>
    <w:p>
      <w:pPr>
        <w:spacing w:lineRule="auto" w:line="360" w:before="0" w:after="0"/>
        <w:ind w:left="420" w:hanging="420"/>
        <w:jc w:val="left"/>
      </w:pPr>
      <w:r>
        <w:rPr>
          <w:b w:val="0"/>
          <w:i w:val="0"/>
          <w:color w:val="000000"/>
          <w:sz w:val="21"/>
          <w:rFonts w:eastAsia="宋体" w:ascii="Times New Roman" w:hAnsi="Times New Roman"/>
        </w:rPr>
        <w:t>[30] Yang X., Zhao W., Xu Y., Wang C.. Sparse K-means clustering algorithm with anchor graph regularization[J]. Information Sciences, 2024, 667: 120504. DOI: 10.1016/j.ins.2024.120504.</w:t>
      </w:r>
    </w:p>
    <w:p>
      <w:pPr>
        <w:spacing w:lineRule="auto" w:line="360" w:before="0" w:after="0"/>
        <w:ind w:left="420" w:hanging="420"/>
        <w:jc w:val="left"/>
      </w:pPr>
      <w:r>
        <w:rPr>
          <w:b w:val="0"/>
          <w:i w:val="0"/>
          <w:color w:val="000000"/>
          <w:sz w:val="21"/>
          <w:rFonts w:eastAsia="宋体" w:ascii="Times New Roman" w:hAnsi="Times New Roman"/>
        </w:rPr>
        <w:t>[31] Deng Z., Wang J.. G2-SCANN: Gaussian-kernel graph-based SLD clustering algorithm with natural neighbourhood[J]. Pattern Recognition, 2024, 155: 110682. DOI: 10.1016/j.patcog.2024.110682.</w:t>
      </w:r>
    </w:p>
    <w:p>
      <w:pPr>
        <w:spacing w:lineRule="auto" w:line="360" w:before="0" w:after="0"/>
        <w:ind w:left="420" w:hanging="420"/>
        <w:jc w:val="left"/>
      </w:pPr>
      <w:r>
        <w:rPr>
          <w:b w:val="0"/>
          <w:i w:val="0"/>
          <w:color w:val="000000"/>
          <w:sz w:val="21"/>
          <w:rFonts w:eastAsia="宋体" w:ascii="Times New Roman" w:hAnsi="Times New Roman"/>
        </w:rPr>
        <w:t>[32] Miloudi S., Wang Y., Ding W.. An Improved Similarity-Based Clustering Algorithm for Multi-Database Mining[J]. Entropy, 2021, 23(5): 553. DOI: 10.3390/e23050553.</w:t>
      </w:r>
    </w:p>
    <w:p>
      <w:pPr>
        <w:pStyle w:val="2"/>
        <w:pageBreakBefore/>
        <w:jc w:val="center"/>
      </w:pPr>
      <w:r>
        <w:rPr>
          <w:b/>
          <w:i w:val="0"/>
          <w:color w:val="000000"/>
          <w:sz w:val="32"/>
          <w:rFonts w:eastAsia="黑体" w:ascii="Times New Roman" w:hAnsi="Times New Roman"/>
        </w:rPr>
        <w:t>致谢</w:t>
      </w:r>
    </w:p>
    <w:p>
      <w:pPr>
        <w:spacing w:lineRule="auto" w:line="360" w:before="0" w:after="0"/>
        <w:ind w:firstLine="420"/>
        <w:jc w:val="both"/>
      </w:pPr>
      <w:r>
        <w:rPr>
          <w:b w:val="0"/>
          <w:i w:val="0"/>
          <w:color w:val="000000"/>
          <w:sz w:val="24"/>
          <w:rFonts w:eastAsia="宋体" w:ascii="Times New Roman" w:hAnsi="Times New Roman"/>
        </w:rPr>
        <w:t>本研究从选题、算法设计到实验分析，得到了指导教师和同学的帮助。指导教师对研究结构、算法思路和实验结果解释提出了重要意见，使本研究能够围绕谱图聚类中的候选空间缩减问题展开较为完整的论证。</w:t>
      </w:r>
    </w:p>
    <w:p>
      <w:pPr>
        <w:spacing w:lineRule="auto" w:line="360" w:before="0" w:after="0"/>
        <w:ind w:firstLine="420"/>
        <w:jc w:val="both"/>
      </w:pPr>
      <w:r>
        <w:rPr>
          <w:b w:val="0"/>
          <w:i w:val="0"/>
          <w:color w:val="000000"/>
          <w:sz w:val="24"/>
          <w:rFonts w:eastAsia="宋体" w:ascii="Times New Roman" w:hAnsi="Times New Roman"/>
        </w:rPr>
        <w:t>同时，感谢学校提供的学习环境和课程训练，使本人能够将数据库、数据挖掘和算法分析等知识综合应用于毕业设计。感谢同学在资料查找和实验讨论过程中的支持。由于本人能力有限，论文中仍可能存在不足之处，恳请各位老师批评指正。</w:t>
      </w:r>
    </w:p>
    <w:sectPr>
      <w:headerReference r:id="rId7" w:type="default"/>
      <w:footerReference r:id="rId8" w:type="default"/>
      <w:footnotePr>
        <w:numFmt w:val="decimal"/>
      </w:footnotePr>
      <w:pgSz w:w="11906" w:h="16838"/>
      <w:pgMar w:top="1440" w:right="1797" w:bottom="1440" w:left="1797" w:header="851" w:footer="992" w:gutter="0"/>
      <w:pgBorders>
        <w:top w:val="none" w:sz="0" w:space="0"/>
        <w:left w:val="none" w:sz="0" w:space="0"/>
        <w:bottom w:val="none" w:sz="0" w:space="0"/>
        <w:right w:val="none" w:sz="0" w:space="0"/>
      </w:pgBorders>
      <w:pgNumType w:fmt="decimal"/>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方正小标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9"/>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9"/>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pPr>
                      <w:pStyle w:val="9"/>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pPr>
                      <w:pStyle w:val="9"/>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drawing>
        <wp:inline distT="0" distB="0" distL="114300" distR="114300">
          <wp:extent cx="1379855" cy="349885"/>
          <wp:effectExtent l="0" t="0" r="6985" b="63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
                  <a:stretch>
                    <a:fillRect/>
                  </a:stretch>
                </pic:blipFill>
                <pic:spPr>
                  <a:xfrm>
                    <a:off x="0" y="0"/>
                    <a:ext cx="1379855" cy="34988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drawing>
        <wp:inline distT="0" distB="0" distL="114300" distR="114300">
          <wp:extent cx="1379855" cy="349885"/>
          <wp:effectExtent l="0" t="0" r="6985" b="63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
                  <a:stretch>
                    <a:fillRect/>
                  </a:stretch>
                </pic:blipFill>
                <pic:spPr>
                  <a:xfrm>
                    <a:off x="0" y="0"/>
                    <a:ext cx="1379855" cy="34988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153533"/>
    <w:multiLevelType w:val="singleLevel"/>
    <w:tmpl w:val="E7153533"/>
    <w:lvl w:ilvl="0" w:tentative="0">
      <w:start w:val="1"/>
      <w:numFmt w:val="bullet"/>
      <w:lvlText w:val=""/>
      <w:lvlJc w:val="left"/>
      <w:pPr>
        <w:ind w:left="420" w:hanging="420"/>
      </w:pPr>
      <w:rPr>
        <w:rFonts w:hint="default" w:ascii="Wingdings" w:hAnsi="Wingdings"/>
      </w:rPr>
    </w:lvl>
  </w:abstractNum>
  <w:abstractNum w:abstractNumId="1">
    <w:nsid w:val="1C01EE8F"/>
    <w:multiLevelType w:val="singleLevel"/>
    <w:tmpl w:val="1C01EE8F"/>
    <w:lvl w:ilvl="0" w:tentative="0">
      <w:start w:val="1"/>
      <w:numFmt w:val="decimal"/>
      <w:suff w:val="space"/>
      <w:lvlText w:val="%1."/>
      <w:lvlJc w:val="left"/>
    </w:lvl>
  </w:abstractNum>
  <w:abstractNum w:abstractNumId="2">
    <w:nsid w:val="260E270E"/>
    <w:multiLevelType w:val="multilevel"/>
    <w:tmpl w:val="260E270E"/>
    <w:lvl w:ilvl="0" w:tentative="0">
      <w:start w:val="1"/>
      <w:numFmt w:val="decimal"/>
      <w:lvlText w:val="%1."/>
      <w:lvlJc w:val="left"/>
      <w:pPr>
        <w:ind w:left="720" w:hanging="360"/>
      </w:pPr>
      <w:rPr>
        <w:rFonts w:hint="default"/>
      </w:rPr>
    </w:lvl>
    <w:lvl w:ilvl="1" w:tentative="0">
      <w:start w:val="1"/>
      <w:numFmt w:val="decimal"/>
      <w:isLgl/>
      <w:lvlText w:val="%1.%2"/>
      <w:lvlJc w:val="left"/>
      <w:pPr>
        <w:ind w:left="780" w:hanging="4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3">
    <w:nsid w:val="31C50504"/>
    <w:multiLevelType w:val="multilevel"/>
    <w:tmpl w:val="31C50504"/>
    <w:lvl w:ilvl="0" w:tentative="0">
      <w:start w:val="1"/>
      <w:numFmt w:val="bullet"/>
      <w:lvlText w:val=""/>
      <w:lvlJc w:val="left"/>
      <w:pPr>
        <w:ind w:left="6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4">
    <w:nsid w:val="461503BB"/>
    <w:multiLevelType w:val="singleLevel"/>
    <w:tmpl w:val="461503BB"/>
    <w:lvl w:ilvl="0" w:tentative="0">
      <w:start w:val="1"/>
      <w:numFmt w:val="decimal"/>
      <w:lvlText w:val="[%1]"/>
      <w:lvlJc w:val="left"/>
      <w:pPr>
        <w:tabs>
          <w:tab w:val="left" w:pos="312"/>
        </w:tabs>
      </w:pPr>
    </w:lvl>
  </w:abstractNum>
  <w:abstractNum w:abstractNumId="5">
    <w:nsid w:val="59FF64D6"/>
    <w:multiLevelType w:val="multilevel"/>
    <w:tmpl w:val="59FF64D6"/>
    <w:lvl w:ilvl="0" w:tentative="0">
      <w:start w:val="1"/>
      <w:numFmt w:val="decimal"/>
      <w:pStyle w:val="34"/>
      <w:suff w:val="space"/>
      <w:lvlText w:val="%1."/>
      <w:lvlJc w:val="left"/>
      <w:pPr>
        <w:ind w:left="0" w:firstLine="0"/>
      </w:pPr>
      <w:rPr>
        <w:rFonts w:hint="default"/>
        <w:sz w:val="36"/>
        <w:szCs w:val="36"/>
      </w:rPr>
    </w:lvl>
    <w:lvl w:ilvl="1" w:tentative="0">
      <w:start w:val="1"/>
      <w:numFmt w:val="decimal"/>
      <w:isLgl/>
      <w:suff w:val="space"/>
      <w:lvlText w:val="%1.%2"/>
      <w:lvlJc w:val="left"/>
      <w:pPr>
        <w:ind w:left="0" w:firstLine="0"/>
      </w:pPr>
      <w:rPr>
        <w:rFonts w:hint="default"/>
        <w:b/>
        <w:bCs/>
        <w:sz w:val="32"/>
        <w:szCs w:val="32"/>
      </w:rPr>
    </w:lvl>
    <w:lvl w:ilvl="2" w:tentative="0">
      <w:start w:val="1"/>
      <w:numFmt w:val="decimal"/>
      <w:isLgl/>
      <w:suff w:val="space"/>
      <w:lvlText w:val="%1.%2.%3"/>
      <w:lvlJc w:val="left"/>
      <w:pPr>
        <w:ind w:left="0" w:firstLine="0"/>
      </w:pPr>
      <w:rPr>
        <w:rFonts w:hint="eastAsia"/>
      </w:rPr>
    </w:lvl>
    <w:lvl w:ilvl="3" w:tentative="0">
      <w:start w:val="1"/>
      <w:numFmt w:val="decimal"/>
      <w:isLgl/>
      <w:suff w:val="space"/>
      <w:lvlText w:val="(%4)"/>
      <w:lvlJc w:val="left"/>
      <w:pPr>
        <w:ind w:left="0" w:firstLine="0"/>
      </w:pPr>
      <w:rPr>
        <w:rFonts w:hint="eastAsia"/>
      </w:rPr>
    </w:lvl>
    <w:lvl w:ilvl="4" w:tentative="0">
      <w:start w:val="1"/>
      <w:numFmt w:val="decimal"/>
      <w:lvlRestart w:val="0"/>
      <w:suff w:val="nothing"/>
      <w:lvlText w:val="%5"/>
      <w:lvlJc w:val="left"/>
      <w:pPr>
        <w:ind w:left="0" w:firstLine="0"/>
      </w:pPr>
      <w:rPr>
        <w:rFonts w:hint="eastAsia"/>
        <w:vanish/>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isLgl/>
      <w:lvlText w:val="%1.%2.%3.%4.%5.%6.%7.%8.%9"/>
      <w:lvlJc w:val="left"/>
      <w:pPr>
        <w:ind w:left="0" w:firstLine="0"/>
      </w:pPr>
      <w:rPr>
        <w:rFonts w:hint="eastAsia"/>
      </w:rPr>
    </w:lvl>
  </w:abstractNum>
  <w:abstractNum w:abstractNumId="6">
    <w:nsid w:val="6866407B"/>
    <w:multiLevelType w:val="singleLevel"/>
    <w:tmpl w:val="6866407B"/>
    <w:lvl w:ilvl="0" w:tentative="0">
      <w:start w:val="1"/>
      <w:numFmt w:val="bullet"/>
      <w:lvlText w:val=""/>
      <w:lvlJc w:val="left"/>
      <w:pPr>
        <w:ind w:left="420" w:hanging="420"/>
      </w:pPr>
      <w:rPr>
        <w:rFonts w:hint="default" w:ascii="Wingdings" w:hAnsi="Wingdings"/>
      </w:rPr>
    </w:lvl>
  </w:abstractNum>
  <w:num w:numId="1">
    <w:abstractNumId w:val="5"/>
  </w:num>
  <w:num w:numId="2">
    <w:abstractNumId w:val="3"/>
  </w:num>
  <w:num w:numId="3">
    <w:abstractNumId w:val="0"/>
  </w:num>
  <w:num w:numId="4">
    <w:abstractNumId w:val="6"/>
  </w:num>
  <w:num w:numId="5">
    <w:abstractNumId w:val="1"/>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wN2I5ODU3ZDZhZDBmNGM3YjY2MWMyMGU0NjQzNzIifQ=="/>
    <w:docVar w:name="KSO_WPS_MARK_KEY" w:val="792b574f-0c87-4452-8303-d69b493b1c75"/>
  </w:docVars>
  <w:rsids>
    <w:rsidRoot w:val="007D6999"/>
    <w:rsid w:val="00007BCA"/>
    <w:rsid w:val="00007DA2"/>
    <w:rsid w:val="00016E74"/>
    <w:rsid w:val="00027CEF"/>
    <w:rsid w:val="000352DF"/>
    <w:rsid w:val="00040AB8"/>
    <w:rsid w:val="00055138"/>
    <w:rsid w:val="000556E6"/>
    <w:rsid w:val="00060643"/>
    <w:rsid w:val="00081DC4"/>
    <w:rsid w:val="0008534A"/>
    <w:rsid w:val="000A26AA"/>
    <w:rsid w:val="000A5289"/>
    <w:rsid w:val="000B3D2E"/>
    <w:rsid w:val="000B687C"/>
    <w:rsid w:val="000D4422"/>
    <w:rsid w:val="000D74E7"/>
    <w:rsid w:val="000F75B7"/>
    <w:rsid w:val="00100247"/>
    <w:rsid w:val="00116CAA"/>
    <w:rsid w:val="00125E90"/>
    <w:rsid w:val="00126739"/>
    <w:rsid w:val="0013046F"/>
    <w:rsid w:val="00131B17"/>
    <w:rsid w:val="001367C3"/>
    <w:rsid w:val="001371F6"/>
    <w:rsid w:val="00147BF8"/>
    <w:rsid w:val="00156681"/>
    <w:rsid w:val="00176135"/>
    <w:rsid w:val="001927C3"/>
    <w:rsid w:val="001A6F6B"/>
    <w:rsid w:val="001D4E84"/>
    <w:rsid w:val="001E25D3"/>
    <w:rsid w:val="001F3D3D"/>
    <w:rsid w:val="00202884"/>
    <w:rsid w:val="00213FF1"/>
    <w:rsid w:val="002316EF"/>
    <w:rsid w:val="00234270"/>
    <w:rsid w:val="00256A88"/>
    <w:rsid w:val="002634B6"/>
    <w:rsid w:val="002643EE"/>
    <w:rsid w:val="002668EB"/>
    <w:rsid w:val="002705F8"/>
    <w:rsid w:val="00274563"/>
    <w:rsid w:val="002801FE"/>
    <w:rsid w:val="00294F3E"/>
    <w:rsid w:val="002A0780"/>
    <w:rsid w:val="002B0E50"/>
    <w:rsid w:val="002B6B80"/>
    <w:rsid w:val="002D1B2B"/>
    <w:rsid w:val="00301185"/>
    <w:rsid w:val="003022CC"/>
    <w:rsid w:val="00304E31"/>
    <w:rsid w:val="00313C03"/>
    <w:rsid w:val="00323E90"/>
    <w:rsid w:val="0032488A"/>
    <w:rsid w:val="003264A5"/>
    <w:rsid w:val="00333CEB"/>
    <w:rsid w:val="0033790A"/>
    <w:rsid w:val="003450E4"/>
    <w:rsid w:val="00357915"/>
    <w:rsid w:val="003600A0"/>
    <w:rsid w:val="0036140B"/>
    <w:rsid w:val="00363F1C"/>
    <w:rsid w:val="00371546"/>
    <w:rsid w:val="003744F2"/>
    <w:rsid w:val="003857CE"/>
    <w:rsid w:val="00391C10"/>
    <w:rsid w:val="00394D61"/>
    <w:rsid w:val="003A4409"/>
    <w:rsid w:val="003B032E"/>
    <w:rsid w:val="003B42E6"/>
    <w:rsid w:val="003B79FD"/>
    <w:rsid w:val="003D453B"/>
    <w:rsid w:val="003E3283"/>
    <w:rsid w:val="003E6E53"/>
    <w:rsid w:val="00414AF7"/>
    <w:rsid w:val="004165FB"/>
    <w:rsid w:val="00417387"/>
    <w:rsid w:val="00441767"/>
    <w:rsid w:val="00444A5E"/>
    <w:rsid w:val="004508C1"/>
    <w:rsid w:val="00451A4E"/>
    <w:rsid w:val="00462659"/>
    <w:rsid w:val="00463D1C"/>
    <w:rsid w:val="00476D65"/>
    <w:rsid w:val="00477539"/>
    <w:rsid w:val="0049478E"/>
    <w:rsid w:val="00497689"/>
    <w:rsid w:val="004A6851"/>
    <w:rsid w:val="004C0D59"/>
    <w:rsid w:val="004C4C57"/>
    <w:rsid w:val="004C5661"/>
    <w:rsid w:val="004C64EE"/>
    <w:rsid w:val="004D26E1"/>
    <w:rsid w:val="004D69F4"/>
    <w:rsid w:val="004E1DAA"/>
    <w:rsid w:val="004E393D"/>
    <w:rsid w:val="004F0FA2"/>
    <w:rsid w:val="004F0FEF"/>
    <w:rsid w:val="004F40B9"/>
    <w:rsid w:val="004F7C2A"/>
    <w:rsid w:val="00501091"/>
    <w:rsid w:val="0051032A"/>
    <w:rsid w:val="00513A36"/>
    <w:rsid w:val="00517D23"/>
    <w:rsid w:val="0052219D"/>
    <w:rsid w:val="0052459A"/>
    <w:rsid w:val="00531D9A"/>
    <w:rsid w:val="005434DD"/>
    <w:rsid w:val="0054437F"/>
    <w:rsid w:val="00550B82"/>
    <w:rsid w:val="00550EE3"/>
    <w:rsid w:val="0055581C"/>
    <w:rsid w:val="005611C8"/>
    <w:rsid w:val="00563936"/>
    <w:rsid w:val="00565F09"/>
    <w:rsid w:val="0056608A"/>
    <w:rsid w:val="00577259"/>
    <w:rsid w:val="00582DDB"/>
    <w:rsid w:val="005834F1"/>
    <w:rsid w:val="00584474"/>
    <w:rsid w:val="00585B31"/>
    <w:rsid w:val="00594743"/>
    <w:rsid w:val="005A2882"/>
    <w:rsid w:val="005A53EC"/>
    <w:rsid w:val="005B20D5"/>
    <w:rsid w:val="005B3A62"/>
    <w:rsid w:val="005B630E"/>
    <w:rsid w:val="005B72A8"/>
    <w:rsid w:val="005C2FCA"/>
    <w:rsid w:val="005D44F8"/>
    <w:rsid w:val="005D4926"/>
    <w:rsid w:val="005F797F"/>
    <w:rsid w:val="006006F5"/>
    <w:rsid w:val="0060097C"/>
    <w:rsid w:val="00601A0C"/>
    <w:rsid w:val="0061054A"/>
    <w:rsid w:val="0061429C"/>
    <w:rsid w:val="00623413"/>
    <w:rsid w:val="006234B7"/>
    <w:rsid w:val="00624150"/>
    <w:rsid w:val="00625D5D"/>
    <w:rsid w:val="0063649B"/>
    <w:rsid w:val="00641147"/>
    <w:rsid w:val="0067197E"/>
    <w:rsid w:val="006743C1"/>
    <w:rsid w:val="006776F4"/>
    <w:rsid w:val="006826CD"/>
    <w:rsid w:val="006A044D"/>
    <w:rsid w:val="006A2B8E"/>
    <w:rsid w:val="006A7C5A"/>
    <w:rsid w:val="006D1A2F"/>
    <w:rsid w:val="006E0D14"/>
    <w:rsid w:val="006E1092"/>
    <w:rsid w:val="006E41AB"/>
    <w:rsid w:val="006E5618"/>
    <w:rsid w:val="006E5700"/>
    <w:rsid w:val="006F10FD"/>
    <w:rsid w:val="006F4AAE"/>
    <w:rsid w:val="006F5D97"/>
    <w:rsid w:val="00707726"/>
    <w:rsid w:val="00720405"/>
    <w:rsid w:val="00725042"/>
    <w:rsid w:val="00733DAE"/>
    <w:rsid w:val="007506E4"/>
    <w:rsid w:val="00750941"/>
    <w:rsid w:val="007625E6"/>
    <w:rsid w:val="00763362"/>
    <w:rsid w:val="0077474E"/>
    <w:rsid w:val="00782464"/>
    <w:rsid w:val="00786FC9"/>
    <w:rsid w:val="007875D5"/>
    <w:rsid w:val="00787812"/>
    <w:rsid w:val="007878B3"/>
    <w:rsid w:val="007907A5"/>
    <w:rsid w:val="00792F08"/>
    <w:rsid w:val="007C39AC"/>
    <w:rsid w:val="007C5FB2"/>
    <w:rsid w:val="007D064A"/>
    <w:rsid w:val="007D6999"/>
    <w:rsid w:val="007D733B"/>
    <w:rsid w:val="007E1BC4"/>
    <w:rsid w:val="007E2AE4"/>
    <w:rsid w:val="007F7CD7"/>
    <w:rsid w:val="00802F92"/>
    <w:rsid w:val="00807BE2"/>
    <w:rsid w:val="0082213A"/>
    <w:rsid w:val="008409FF"/>
    <w:rsid w:val="0084166D"/>
    <w:rsid w:val="00845C28"/>
    <w:rsid w:val="00866588"/>
    <w:rsid w:val="00883115"/>
    <w:rsid w:val="00887363"/>
    <w:rsid w:val="00896087"/>
    <w:rsid w:val="008A2CB7"/>
    <w:rsid w:val="008B1B3E"/>
    <w:rsid w:val="008B752F"/>
    <w:rsid w:val="008B788B"/>
    <w:rsid w:val="008B7ADC"/>
    <w:rsid w:val="008C126D"/>
    <w:rsid w:val="008C41DF"/>
    <w:rsid w:val="008C776B"/>
    <w:rsid w:val="008D542F"/>
    <w:rsid w:val="008F0C75"/>
    <w:rsid w:val="009054C0"/>
    <w:rsid w:val="00910E5E"/>
    <w:rsid w:val="009170FA"/>
    <w:rsid w:val="00917EBC"/>
    <w:rsid w:val="00921F4A"/>
    <w:rsid w:val="00923AF8"/>
    <w:rsid w:val="0092636D"/>
    <w:rsid w:val="00926FB2"/>
    <w:rsid w:val="00927822"/>
    <w:rsid w:val="009310C2"/>
    <w:rsid w:val="00941990"/>
    <w:rsid w:val="009528BF"/>
    <w:rsid w:val="0095434C"/>
    <w:rsid w:val="00956AD8"/>
    <w:rsid w:val="00957D2B"/>
    <w:rsid w:val="00991EC0"/>
    <w:rsid w:val="009A2A92"/>
    <w:rsid w:val="009A3311"/>
    <w:rsid w:val="009A722C"/>
    <w:rsid w:val="009B5757"/>
    <w:rsid w:val="009C1228"/>
    <w:rsid w:val="009C3CAA"/>
    <w:rsid w:val="009C66F2"/>
    <w:rsid w:val="00A00A04"/>
    <w:rsid w:val="00A02055"/>
    <w:rsid w:val="00A02432"/>
    <w:rsid w:val="00A12741"/>
    <w:rsid w:val="00A17972"/>
    <w:rsid w:val="00A252FE"/>
    <w:rsid w:val="00A256C9"/>
    <w:rsid w:val="00A30280"/>
    <w:rsid w:val="00A439D1"/>
    <w:rsid w:val="00A74A47"/>
    <w:rsid w:val="00A8564B"/>
    <w:rsid w:val="00A92589"/>
    <w:rsid w:val="00A92B34"/>
    <w:rsid w:val="00A940DE"/>
    <w:rsid w:val="00A979BE"/>
    <w:rsid w:val="00A97D58"/>
    <w:rsid w:val="00AB2ACE"/>
    <w:rsid w:val="00AC062C"/>
    <w:rsid w:val="00AC64AE"/>
    <w:rsid w:val="00AC6957"/>
    <w:rsid w:val="00AD05CB"/>
    <w:rsid w:val="00AE597D"/>
    <w:rsid w:val="00AF2452"/>
    <w:rsid w:val="00AF625D"/>
    <w:rsid w:val="00B039FD"/>
    <w:rsid w:val="00B0710C"/>
    <w:rsid w:val="00B1351B"/>
    <w:rsid w:val="00B167AB"/>
    <w:rsid w:val="00B1735C"/>
    <w:rsid w:val="00B279E3"/>
    <w:rsid w:val="00B27CF2"/>
    <w:rsid w:val="00B33372"/>
    <w:rsid w:val="00B40E4B"/>
    <w:rsid w:val="00B52430"/>
    <w:rsid w:val="00B53C6B"/>
    <w:rsid w:val="00B63744"/>
    <w:rsid w:val="00B72332"/>
    <w:rsid w:val="00B743BA"/>
    <w:rsid w:val="00B761B5"/>
    <w:rsid w:val="00B80A1A"/>
    <w:rsid w:val="00BA66D3"/>
    <w:rsid w:val="00BB699D"/>
    <w:rsid w:val="00BC05E7"/>
    <w:rsid w:val="00BC126E"/>
    <w:rsid w:val="00BD43A5"/>
    <w:rsid w:val="00C03BB5"/>
    <w:rsid w:val="00C35152"/>
    <w:rsid w:val="00C41697"/>
    <w:rsid w:val="00C43D57"/>
    <w:rsid w:val="00C46694"/>
    <w:rsid w:val="00C53AAC"/>
    <w:rsid w:val="00C57ECB"/>
    <w:rsid w:val="00C60B63"/>
    <w:rsid w:val="00C6584C"/>
    <w:rsid w:val="00C728AC"/>
    <w:rsid w:val="00C81A45"/>
    <w:rsid w:val="00CA577E"/>
    <w:rsid w:val="00CA6587"/>
    <w:rsid w:val="00CB2ED2"/>
    <w:rsid w:val="00CB6219"/>
    <w:rsid w:val="00CC2AED"/>
    <w:rsid w:val="00CC42C8"/>
    <w:rsid w:val="00CD0277"/>
    <w:rsid w:val="00CD391F"/>
    <w:rsid w:val="00CD74F5"/>
    <w:rsid w:val="00D014FD"/>
    <w:rsid w:val="00D021E1"/>
    <w:rsid w:val="00D304A1"/>
    <w:rsid w:val="00D362EC"/>
    <w:rsid w:val="00D44DE2"/>
    <w:rsid w:val="00D52651"/>
    <w:rsid w:val="00D54B8B"/>
    <w:rsid w:val="00D576FC"/>
    <w:rsid w:val="00D71C07"/>
    <w:rsid w:val="00D73162"/>
    <w:rsid w:val="00D91165"/>
    <w:rsid w:val="00DA2C45"/>
    <w:rsid w:val="00DC45EA"/>
    <w:rsid w:val="00DC525E"/>
    <w:rsid w:val="00DC52B8"/>
    <w:rsid w:val="00DD1BEF"/>
    <w:rsid w:val="00DD265C"/>
    <w:rsid w:val="00DE225D"/>
    <w:rsid w:val="00DE6F07"/>
    <w:rsid w:val="00DF698A"/>
    <w:rsid w:val="00E002F5"/>
    <w:rsid w:val="00E06715"/>
    <w:rsid w:val="00E07634"/>
    <w:rsid w:val="00E101C8"/>
    <w:rsid w:val="00E13017"/>
    <w:rsid w:val="00E17F9A"/>
    <w:rsid w:val="00E3419F"/>
    <w:rsid w:val="00E42DA9"/>
    <w:rsid w:val="00E5008C"/>
    <w:rsid w:val="00E50AC1"/>
    <w:rsid w:val="00E65118"/>
    <w:rsid w:val="00E70733"/>
    <w:rsid w:val="00E91B72"/>
    <w:rsid w:val="00EA3A58"/>
    <w:rsid w:val="00EB2E49"/>
    <w:rsid w:val="00EB2F4A"/>
    <w:rsid w:val="00EB73AC"/>
    <w:rsid w:val="00ED1E91"/>
    <w:rsid w:val="00ED6EF1"/>
    <w:rsid w:val="00EE5023"/>
    <w:rsid w:val="00EE6145"/>
    <w:rsid w:val="00EE61A1"/>
    <w:rsid w:val="00EF644A"/>
    <w:rsid w:val="00EF78EA"/>
    <w:rsid w:val="00F04479"/>
    <w:rsid w:val="00F06CCF"/>
    <w:rsid w:val="00F12BC2"/>
    <w:rsid w:val="00F239B5"/>
    <w:rsid w:val="00F348E9"/>
    <w:rsid w:val="00F34E93"/>
    <w:rsid w:val="00F356C4"/>
    <w:rsid w:val="00F41F61"/>
    <w:rsid w:val="00F43360"/>
    <w:rsid w:val="00F472A9"/>
    <w:rsid w:val="00F50F3E"/>
    <w:rsid w:val="00F57E98"/>
    <w:rsid w:val="00F66CB6"/>
    <w:rsid w:val="00F70659"/>
    <w:rsid w:val="00F71D25"/>
    <w:rsid w:val="00F9237A"/>
    <w:rsid w:val="00FA0339"/>
    <w:rsid w:val="00FA079E"/>
    <w:rsid w:val="00FA379B"/>
    <w:rsid w:val="00FD0DFB"/>
    <w:rsid w:val="00FE3000"/>
    <w:rsid w:val="01296B4C"/>
    <w:rsid w:val="017F2C51"/>
    <w:rsid w:val="044201B1"/>
    <w:rsid w:val="06B40785"/>
    <w:rsid w:val="0F2E72B8"/>
    <w:rsid w:val="1354637E"/>
    <w:rsid w:val="141428CB"/>
    <w:rsid w:val="146A3B4B"/>
    <w:rsid w:val="196D36B1"/>
    <w:rsid w:val="1A703458"/>
    <w:rsid w:val="1A7D33A7"/>
    <w:rsid w:val="1B0E4803"/>
    <w:rsid w:val="1B5E017E"/>
    <w:rsid w:val="1D523E7D"/>
    <w:rsid w:val="23542924"/>
    <w:rsid w:val="24120CAE"/>
    <w:rsid w:val="25DD4507"/>
    <w:rsid w:val="26650D50"/>
    <w:rsid w:val="2B7E2556"/>
    <w:rsid w:val="2C0D41DD"/>
    <w:rsid w:val="2C9D121A"/>
    <w:rsid w:val="2DFA312E"/>
    <w:rsid w:val="2EB27BA3"/>
    <w:rsid w:val="306A4DF7"/>
    <w:rsid w:val="3252770D"/>
    <w:rsid w:val="34790D04"/>
    <w:rsid w:val="3B5962B2"/>
    <w:rsid w:val="3CC732C3"/>
    <w:rsid w:val="3F862E62"/>
    <w:rsid w:val="417D5693"/>
    <w:rsid w:val="420F20C6"/>
    <w:rsid w:val="45A32E70"/>
    <w:rsid w:val="4839282C"/>
    <w:rsid w:val="48B42EB6"/>
    <w:rsid w:val="4A216F28"/>
    <w:rsid w:val="4EE1503F"/>
    <w:rsid w:val="53ED2AC9"/>
    <w:rsid w:val="595D4AC8"/>
    <w:rsid w:val="5B3C4CAB"/>
    <w:rsid w:val="5ED5320D"/>
    <w:rsid w:val="644E2FFB"/>
    <w:rsid w:val="64BD5853"/>
    <w:rsid w:val="68AB67DA"/>
    <w:rsid w:val="69F74570"/>
    <w:rsid w:val="6BE45668"/>
    <w:rsid w:val="6D4631EC"/>
    <w:rsid w:val="6DEF5D49"/>
    <w:rsid w:val="6F452DE2"/>
    <w:rsid w:val="6FBE7681"/>
    <w:rsid w:val="720A320D"/>
    <w:rsid w:val="72CB764A"/>
    <w:rsid w:val="75DB5D93"/>
    <w:rsid w:val="79191EC3"/>
    <w:rsid w:val="7A450D64"/>
    <w:rsid w:val="7B605DDE"/>
    <w:rsid w:val="7CC24061"/>
    <w:rsid w:val="7D717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adjustRightInd w:val="0"/>
      <w:spacing w:line="360" w:lineRule="atLeast"/>
      <w:textAlignment w:val="baseline"/>
      <w:outlineLvl w:val="0"/>
    </w:pPr>
    <w:rPr>
      <w:rFonts w:eastAsia="黑体"/>
      <w:b/>
      <w:sz w:val="32"/>
      <w:szCs w:val="20"/>
    </w:rPr>
  </w:style>
  <w:style w:type="paragraph" w:styleId="3">
    <w:name w:val="heading 2"/>
    <w:basedOn w:val="1"/>
    <w:next w:val="1"/>
    <w:link w:val="28"/>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2"/>
    <w:qFormat/>
    <w:uiPriority w:val="0"/>
    <w:pPr>
      <w:keepNext/>
      <w:keepLines/>
      <w:spacing w:before="260" w:after="260" w:line="416" w:lineRule="auto"/>
      <w:outlineLvl w:val="2"/>
    </w:pPr>
    <w:rPr>
      <w:rFonts w:eastAsia="黑体"/>
      <w:b/>
      <w:bCs/>
      <w:sz w:val="28"/>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Document Map"/>
    <w:basedOn w:val="1"/>
    <w:semiHidden/>
    <w:qFormat/>
    <w:uiPriority w:val="0"/>
    <w:pPr>
      <w:shd w:val="clear" w:color="auto" w:fill="000080"/>
    </w:pPr>
  </w:style>
  <w:style w:type="paragraph" w:styleId="6">
    <w:name w:val="toc 3"/>
    <w:basedOn w:val="1"/>
    <w:next w:val="1"/>
    <w:semiHidden/>
    <w:qFormat/>
    <w:uiPriority w:val="0"/>
    <w:pPr>
      <w:ind w:left="840" w:leftChars="400"/>
    </w:pPr>
  </w:style>
  <w:style w:type="paragraph" w:styleId="7">
    <w:name w:val="Date"/>
    <w:basedOn w:val="1"/>
    <w:next w:val="1"/>
    <w:qFormat/>
    <w:uiPriority w:val="0"/>
    <w:pPr>
      <w:ind w:left="100" w:leftChars="2500"/>
    </w:p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qFormat/>
    <w:uiPriority w:val="0"/>
    <w:pPr>
      <w:tabs>
        <w:tab w:val="right" w:leader="dot" w:pos="8296"/>
      </w:tabs>
      <w:spacing w:before="240" w:line="240" w:lineRule="exact"/>
      <w:jc w:val="center"/>
    </w:pPr>
  </w:style>
  <w:style w:type="paragraph" w:styleId="12">
    <w:name w:val="footnote text"/>
    <w:basedOn w:val="1"/>
    <w:semiHidden/>
    <w:unhideWhenUsed/>
    <w:qFormat/>
    <w:uiPriority w:val="0"/>
    <w:pPr>
      <w:snapToGrid w:val="0"/>
      <w:jc w:val="left"/>
    </w:pPr>
    <w:rPr>
      <w:sz w:val="18"/>
    </w:rPr>
  </w:style>
  <w:style w:type="paragraph" w:styleId="13">
    <w:name w:val="toc 2"/>
    <w:basedOn w:val="1"/>
    <w:next w:val="1"/>
    <w:semiHidden/>
    <w:qFormat/>
    <w:uiPriority w:val="0"/>
    <w:pPr>
      <w:tabs>
        <w:tab w:val="right" w:leader="dot" w:pos="8296"/>
      </w:tabs>
      <w:spacing w:line="480" w:lineRule="exact"/>
      <w:ind w:left="420" w:leftChars="200"/>
      <w:jc w:val="distribute"/>
    </w:pPr>
  </w:style>
  <w:style w:type="paragraph" w:styleId="14">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bCs/>
    </w:rPr>
  </w:style>
  <w:style w:type="character" w:styleId="19">
    <w:name w:val="Hyperlink"/>
    <w:basedOn w:val="17"/>
    <w:qFormat/>
    <w:uiPriority w:val="0"/>
    <w:rPr>
      <w:color w:val="000066"/>
      <w:u w:val="single"/>
    </w:rPr>
  </w:style>
  <w:style w:type="character" w:styleId="20">
    <w:name w:val="footnote reference"/>
    <w:basedOn w:val="17"/>
    <w:semiHidden/>
    <w:unhideWhenUsed/>
    <w:qFormat/>
    <w:uiPriority w:val="0"/>
    <w:rPr>
      <w:vertAlign w:val="superscript"/>
    </w:rPr>
  </w:style>
  <w:style w:type="character" w:customStyle="1" w:styleId="21">
    <w:name w:val="tpc_content1"/>
    <w:basedOn w:val="17"/>
    <w:qFormat/>
    <w:uiPriority w:val="0"/>
    <w:rPr>
      <w:sz w:val="18"/>
      <w:szCs w:val="18"/>
    </w:rPr>
  </w:style>
  <w:style w:type="character" w:customStyle="1" w:styleId="22">
    <w:name w:val="txt41"/>
    <w:basedOn w:val="17"/>
    <w:qFormat/>
    <w:uiPriority w:val="0"/>
    <w:rPr>
      <w:color w:val="000000"/>
      <w:sz w:val="30"/>
      <w:szCs w:val="30"/>
      <w:bdr w:val="single" w:color="000000" w:sz="6" w:space="0"/>
    </w:rPr>
  </w:style>
  <w:style w:type="character" w:customStyle="1" w:styleId="23">
    <w:name w:val="px14"/>
    <w:basedOn w:val="17"/>
    <w:qFormat/>
    <w:uiPriority w:val="0"/>
  </w:style>
  <w:style w:type="character" w:customStyle="1" w:styleId="24">
    <w:name w:val="red1"/>
    <w:basedOn w:val="17"/>
    <w:qFormat/>
    <w:uiPriority w:val="0"/>
    <w:rPr>
      <w:color w:val="E30202"/>
    </w:rPr>
  </w:style>
  <w:style w:type="character" w:customStyle="1" w:styleId="25">
    <w:name w:val="ct1"/>
    <w:basedOn w:val="17"/>
    <w:qFormat/>
    <w:uiPriority w:val="0"/>
    <w:rPr>
      <w:color w:val="FF0000"/>
    </w:rPr>
  </w:style>
  <w:style w:type="paragraph" w:customStyle="1" w:styleId="26">
    <w:name w:val="Style Heading 1 + 黑体 三号"/>
    <w:basedOn w:val="2"/>
    <w:qFormat/>
    <w:uiPriority w:val="0"/>
    <w:rPr>
      <w:rFonts w:ascii="黑体" w:hAnsi="黑体"/>
      <w:bCs/>
    </w:rPr>
  </w:style>
  <w:style w:type="paragraph" w:customStyle="1" w:styleId="27">
    <w:name w:val="Style Heading 2 + 黑体 小三 Not Bold"/>
    <w:basedOn w:val="3"/>
    <w:link w:val="29"/>
    <w:qFormat/>
    <w:uiPriority w:val="0"/>
    <w:rPr>
      <w:rFonts w:ascii="黑体" w:hAnsi="黑体"/>
      <w:bCs w:val="0"/>
      <w:sz w:val="30"/>
    </w:rPr>
  </w:style>
  <w:style w:type="character" w:customStyle="1" w:styleId="28">
    <w:name w:val="标题 2 字符"/>
    <w:basedOn w:val="17"/>
    <w:link w:val="3"/>
    <w:qFormat/>
    <w:uiPriority w:val="0"/>
    <w:rPr>
      <w:rFonts w:ascii="Arial" w:hAnsi="Arial" w:eastAsia="黑体"/>
      <w:b/>
      <w:bCs/>
      <w:kern w:val="2"/>
      <w:sz w:val="32"/>
      <w:szCs w:val="32"/>
      <w:lang w:val="en-US" w:eastAsia="zh-CN" w:bidi="ar-SA"/>
    </w:rPr>
  </w:style>
  <w:style w:type="character" w:customStyle="1" w:styleId="29">
    <w:name w:val="Style Heading 2 + 黑体 小三 Not Bold Char"/>
    <w:basedOn w:val="28"/>
    <w:link w:val="27"/>
    <w:qFormat/>
    <w:uiPriority w:val="0"/>
    <w:rPr>
      <w:rFonts w:ascii="黑体" w:hAnsi="黑体" w:eastAsia="黑体"/>
      <w:kern w:val="2"/>
      <w:sz w:val="30"/>
      <w:szCs w:val="32"/>
      <w:lang w:val="en-US" w:eastAsia="zh-CN" w:bidi="ar-SA"/>
    </w:rPr>
  </w:style>
  <w:style w:type="paragraph" w:customStyle="1" w:styleId="30">
    <w:name w:val="Style Heading 3 + 四号"/>
    <w:basedOn w:val="4"/>
    <w:qFormat/>
    <w:uiPriority w:val="0"/>
  </w:style>
  <w:style w:type="paragraph" w:customStyle="1" w:styleId="31">
    <w:name w:val="Style Heading 3 + 黑体 小三"/>
    <w:basedOn w:val="4"/>
    <w:link w:val="33"/>
    <w:qFormat/>
    <w:uiPriority w:val="0"/>
    <w:rPr>
      <w:rFonts w:ascii="黑体" w:hAnsi="黑体"/>
    </w:rPr>
  </w:style>
  <w:style w:type="character" w:customStyle="1" w:styleId="32">
    <w:name w:val="标题 3 字符"/>
    <w:basedOn w:val="17"/>
    <w:link w:val="4"/>
    <w:qFormat/>
    <w:uiPriority w:val="0"/>
    <w:rPr>
      <w:rFonts w:eastAsia="黑体"/>
      <w:b/>
      <w:bCs/>
      <w:kern w:val="2"/>
      <w:sz w:val="28"/>
      <w:szCs w:val="32"/>
      <w:lang w:val="en-US" w:eastAsia="zh-CN" w:bidi="ar-SA"/>
    </w:rPr>
  </w:style>
  <w:style w:type="character" w:customStyle="1" w:styleId="33">
    <w:name w:val="Style Heading 3 + 黑体 小三 Char"/>
    <w:basedOn w:val="32"/>
    <w:link w:val="31"/>
    <w:qFormat/>
    <w:uiPriority w:val="0"/>
    <w:rPr>
      <w:rFonts w:ascii="黑体" w:hAnsi="黑体" w:eastAsia="黑体"/>
      <w:kern w:val="2"/>
      <w:sz w:val="28"/>
      <w:szCs w:val="32"/>
      <w:lang w:val="en-US" w:eastAsia="zh-CN" w:bidi="ar-SA"/>
    </w:rPr>
  </w:style>
  <w:style w:type="paragraph" w:customStyle="1" w:styleId="34">
    <w:name w:val="汉字章标题"/>
    <w:basedOn w:val="2"/>
    <w:qFormat/>
    <w:uiPriority w:val="0"/>
    <w:pPr>
      <w:numPr>
        <w:ilvl w:val="0"/>
        <w:numId w:val="1"/>
      </w:numPr>
      <w:spacing w:before="150" w:beforeLines="150" w:after="50" w:afterLines="50"/>
    </w:pPr>
    <w:rPr>
      <w:rFonts w:eastAsia="华文中宋"/>
      <w:color w:val="auto"/>
      <w:sz w:val="36"/>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摘要标题"/>
    <w:basedOn w:val="1"/>
    <w:qFormat/>
    <w:uiPriority w:val="0"/>
    <w:pPr>
      <w:keepNext/>
      <w:keepLines/>
      <w:tabs>
        <w:tab w:val="left" w:pos="780"/>
      </w:tabs>
      <w:spacing w:before="163" w:beforeLines="50" w:after="163" w:afterLines="50" w:line="240" w:lineRule="auto"/>
      <w:ind w:firstLine="0" w:firstLineChars="0"/>
      <w:jc w:val="center"/>
      <w:outlineLvl w:val="0"/>
    </w:pPr>
    <w:rPr>
      <w:rFonts w:eastAsia="华文中宋" w:cs="Times New Roman"/>
      <w:b/>
      <w:bCs/>
      <w:kern w:val="44"/>
      <w:sz w:val="36"/>
      <w:szCs w:val="44"/>
    </w:rPr>
  </w:style>
  <w:style w:type="paragraph" w:styleId="39">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12</Pages>
  <Words>3108</Words>
  <Characters>4029</Characters>
  <Lines>31</Lines>
  <Paragraphs>8</Paragraphs>
  <TotalTime>1</TotalTime>
  <ScaleCrop>false</ScaleCrop>
  <LinksUpToDate>false</LinksUpToDate>
  <CharactersWithSpaces>4570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2022-08-25T03:00:00Z</dcterms:created>
  <dc:creator>User</dc:creator>
  <cp:lastModifiedBy>`w       l</cp:lastModifiedBy>
  <cp:lastPrinted>2023-04-25T01:55:00Z</cp:lastPrinted>
  <dcterms:modified xsi:type="dcterms:W3CDTF">2023-05-05T01:27:44Z</dcterms:modified>
  <dc:title>深 圳 大 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F103F086BF21417E93244CAEBC569373_13</vt:lpwstr>
  </property>
</Properties>
</file>