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5010" w14:textId="77777777" w:rsidR="00773978" w:rsidRDefault="007105B6">
      <w:pPr>
        <w:spacing w:before="62"/>
        <w:ind w:firstLineChars="0" w:firstLine="0"/>
        <w:jc w:val="center"/>
        <w:rPr>
          <w:rFonts w:eastAsia="黑体"/>
          <w:b/>
          <w:sz w:val="44"/>
        </w:rPr>
      </w:pPr>
      <w:r>
        <w:rPr>
          <w:rFonts w:eastAsia="黑体" w:hint="eastAsia"/>
          <w:b/>
          <w:noProof/>
          <w:sz w:val="44"/>
        </w:rPr>
        <w:drawing>
          <wp:inline distT="0" distB="0" distL="0" distR="0" wp14:anchorId="033B1423" wp14:editId="0C8046FA">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44F635F3" w14:textId="77777777" w:rsidR="00773978" w:rsidRDefault="007105B6">
      <w:pPr>
        <w:spacing w:before="62"/>
        <w:ind w:firstLineChars="0" w:firstLine="0"/>
        <w:jc w:val="center"/>
        <w:rPr>
          <w:rFonts w:eastAsia="黑体"/>
          <w:b/>
          <w:sz w:val="44"/>
        </w:rPr>
      </w:pPr>
      <w:r>
        <w:rPr>
          <w:rFonts w:eastAsia="黑体" w:hint="eastAsia"/>
          <w:b/>
          <w:sz w:val="44"/>
        </w:rPr>
        <w:t>本科生毕业设计</w:t>
      </w:r>
    </w:p>
    <w:p w14:paraId="348097B3" w14:textId="77777777" w:rsidR="00773978" w:rsidRDefault="00773978">
      <w:pPr>
        <w:spacing w:before="62"/>
        <w:ind w:firstLine="480"/>
      </w:pPr>
    </w:p>
    <w:p w14:paraId="4448817F" w14:textId="77777777" w:rsidR="00773978" w:rsidRDefault="00773978">
      <w:pPr>
        <w:spacing w:before="62"/>
        <w:ind w:firstLine="480"/>
      </w:pPr>
    </w:p>
    <w:p w14:paraId="2C9CCC51" w14:textId="77777777" w:rsidR="00773978" w:rsidRDefault="00773978">
      <w:pPr>
        <w:spacing w:before="62"/>
        <w:ind w:firstLine="480"/>
      </w:pPr>
    </w:p>
    <w:p w14:paraId="1656F77A" w14:textId="77777777" w:rsidR="00773978" w:rsidRDefault="00773978">
      <w:pPr>
        <w:spacing w:before="62"/>
        <w:ind w:firstLine="480"/>
      </w:pPr>
    </w:p>
    <w:p w14:paraId="2160B1B4" w14:textId="77777777" w:rsidR="00773978" w:rsidRDefault="007105B6">
      <w:pPr>
        <w:spacing w:before="62"/>
        <w:ind w:firstLineChars="0" w:firstLine="0"/>
        <w:jc w:val="center"/>
      </w:pPr>
      <w:r>
        <w:rPr>
          <w:rFonts w:hint="eastAsia"/>
          <w:noProof/>
        </w:rPr>
        <w:drawing>
          <wp:inline distT="0" distB="0" distL="0" distR="0" wp14:anchorId="302FAA82" wp14:editId="2FAD04DA">
            <wp:extent cx="2095500" cy="1924050"/>
            <wp:effectExtent l="0" t="0" r="0" b="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158E0A94" w14:textId="77777777" w:rsidR="00773978" w:rsidRDefault="00773978">
      <w:pPr>
        <w:spacing w:before="62"/>
        <w:rPr>
          <w:sz w:val="10"/>
        </w:rPr>
      </w:pPr>
    </w:p>
    <w:p w14:paraId="05388E7C" w14:textId="77777777" w:rsidR="00773978" w:rsidRDefault="007105B6">
      <w:pPr>
        <w:spacing w:before="62"/>
        <w:ind w:firstLine="643"/>
        <w:rPr>
          <w:rFonts w:ascii="黑体" w:eastAsia="黑体" w:hAnsi="黑体" w:hint="eastAsia"/>
          <w:b/>
          <w:sz w:val="32"/>
          <w:szCs w:val="32"/>
        </w:rPr>
      </w:pPr>
      <w:r>
        <w:rPr>
          <w:rFonts w:ascii="Times New Roman" w:eastAsia="宋体" w:hAnsi="Times New Roman" w:hint="eastAsia"/>
          <w:b/>
          <w:sz w:val="32"/>
          <w:szCs w:val="32"/>
        </w:rPr>
        <w:t>题目：汕尾电厂配套煤码头工程初步设计</w:t>
      </w:r>
      <w:r>
        <w:rPr>
          <w:rFonts w:ascii="黑体" w:eastAsia="黑体" w:hAnsi="黑体"/>
          <w:b/>
          <w:sz w:val="32"/>
          <w:szCs w:val="32"/>
        </w:rPr>
      </w:r>
      <w:r>
        <w:rPr>
          <w:rFonts w:ascii="黑体" w:eastAsia="黑体" w:hAnsi="黑体"/>
          <w:b/>
          <w:sz w:val="32"/>
          <w:szCs w:val="32"/>
        </w:rPr>
      </w:r>
      <w:r>
        <w:rPr>
          <w:rFonts w:ascii="黑体" w:eastAsia="黑体" w:hAnsi="黑体"/>
          <w:b/>
          <w:sz w:val="32"/>
          <w:szCs w:val="32"/>
        </w:rPr>
      </w:r>
    </w:p>
    <w:p w14:paraId="65BEDFCB" w14:textId="77777777" w:rsidR="00773978" w:rsidRDefault="00773978">
      <w:pPr>
        <w:spacing w:before="62"/>
        <w:ind w:firstLine="480"/>
      </w:pPr>
    </w:p>
    <w:p w14:paraId="669C6A27" w14:textId="77777777" w:rsidR="00773978" w:rsidRDefault="00773978">
      <w:pPr>
        <w:spacing w:before="62"/>
        <w:ind w:firstLine="480"/>
      </w:pPr>
    </w:p>
    <w:p w14:paraId="19A13A3B" w14:textId="542C73C1" w:rsidR="00773978" w:rsidRDefault="007105B6">
      <w:pPr>
        <w:spacing w:before="62"/>
        <w:ind w:firstLineChars="574" w:firstLine="1844"/>
        <w:rPr>
          <w:b/>
          <w:sz w:val="32"/>
          <w:u w:val="single"/>
        </w:rPr>
      </w:pPr>
      <w:r>
        <w:rPr>
          <w:rFonts w:hint="eastAsia" w:ascii="Times New Roman" w:hAnsi="Times New Roman" w:eastAsia="宋体"/>
          <w:b/>
          <w:sz w:val="32"/>
        </w:rPr>
        <w:t>学 院 建筑工程学院</w:t>
      </w:r>
      <w:r>
        <w:rPr>
          <w:rFonts w:hint="eastAsia"/>
          <w:b/>
          <w:sz w:val="32"/>
        </w:rPr>
      </w:r>
      <w:r>
        <w:rPr>
          <w:rFonts w:hint="eastAsia"/>
          <w:b/>
          <w:sz w:val="32"/>
        </w:rPr>
      </w:r>
      <w:r>
        <w:rPr>
          <w:rFonts w:hint="eastAsia"/>
          <w:b/>
          <w:sz w:val="32"/>
        </w:rPr>
      </w:r>
    </w:p>
    <w:p w14:paraId="594397AA" w14:textId="5848D377" w:rsidR="00773978" w:rsidRDefault="007105B6">
      <w:pPr>
        <w:spacing w:before="62"/>
        <w:ind w:firstLineChars="574" w:firstLine="1844"/>
        <w:rPr>
          <w:rFonts w:asciiTheme="minorEastAsia" w:eastAsiaTheme="minorEastAsia" w:hAnsiTheme="minorEastAsia" w:hint="eastAsia"/>
          <w:b/>
          <w:sz w:val="32"/>
          <w:u w:val="single"/>
        </w:rPr>
      </w:pPr>
      <w:r>
        <w:rPr>
          <w:rFonts w:hint="eastAsia" w:ascii="Times New Roman" w:hAnsi="Times New Roman" w:eastAsia="宋体"/>
          <w:b/>
          <w:sz w:val="32"/>
        </w:rPr>
        <w:t>专 业 港口航道与海岸工程</w:t>
      </w:r>
      <w:r>
        <w:rPr>
          <w:rFonts w:hint="eastAsia"/>
          <w:b/>
          <w:sz w:val="32"/>
        </w:rPr>
      </w:r>
      <w:r>
        <w:rPr>
          <w:rFonts w:hint="eastAsia"/>
          <w:b/>
          <w:sz w:val="32"/>
        </w:rPr>
      </w:r>
      <w:r>
        <w:rPr>
          <w:rFonts w:hint="eastAsia"/>
          <w:b/>
          <w:sz w:val="32"/>
        </w:rPr>
      </w:r>
    </w:p>
    <w:p w14:paraId="111E315F" w14:textId="3D992C76"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ascii="Times New Roman" w:hAnsi="Times New Roman" w:eastAsia="宋体"/>
          <w:b/>
          <w:sz w:val="32"/>
        </w:rPr>
        <w:t>年 级 2022级</w:t>
      </w:r>
    </w:p>
    <w:p w14:paraId="4E58D078" w14:textId="52E1DAF1"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ascii="Times New Roman" w:hAnsi="Times New Roman" w:eastAsia="宋体"/>
          <w:b/>
          <w:sz w:val="32"/>
        </w:rPr>
        <w:t>姓 名 潘欣</w:t>
      </w:r>
    </w:p>
    <w:p w14:paraId="404265F5" w14:textId="72E856A5"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ascii="Times New Roman" w:hAnsi="Times New Roman" w:eastAsia="宋体"/>
          <w:b/>
          <w:sz w:val="32"/>
        </w:rPr>
        <w:t>学 号 3022001703</w:t>
      </w:r>
    </w:p>
    <w:p w14:paraId="4E4E4417" w14:textId="3F0305E2" w:rsidR="00773978" w:rsidRDefault="007105B6">
      <w:pPr>
        <w:spacing w:before="62"/>
        <w:ind w:firstLineChars="574" w:firstLine="1844"/>
        <w:jc w:val="left"/>
        <w:rPr>
          <w:b/>
          <w:bCs/>
          <w:sz w:val="44"/>
        </w:rPr>
        <w:sectPr w:rsidR="00773978">
          <w:headerReference w:type="even" r:id="rId10"/>
          <w:headerReference w:type="default" r:id="rId11"/>
          <w:footerReference w:type="even" r:id="rId12"/>
          <w:footerReference w:type="default" r:id="rId13"/>
          <w:headerReference w:type="first" r:id="rId14"/>
          <w:footerReference w:type="first" r:id="rId15"/>
          <w:pgSz w:w="11906" w:h="16838"/>
          <w:pgMar w:top="1559" w:right="1571" w:bottom="1440" w:left="2024" w:header="851" w:footer="992" w:gutter="0"/>
          <w:pgNumType w:fmt="upperRoman" w:start="1"/>
          <w:cols w:space="425"/>
          <w:docGrid w:type="lines" w:linePitch="312"/>
        </w:sectPr>
      </w:pPr>
      <w:r>
        <w:rPr>
          <w:rFonts w:asciiTheme="minorEastAsia" w:eastAsiaTheme="minorEastAsia" w:hAnsiTheme="minorEastAsia" w:hint="eastAsia" w:ascii="Times New Roman" w:hAnsi="Times New Roman" w:eastAsia="宋体"/>
          <w:b/>
          <w:sz w:val="32"/>
        </w:rPr>
        <w:t>指导教师 孙克俐</w:t>
      </w:r>
    </w:p>
    <w:p w14:paraId="2B970943" w14:textId="77777777" w:rsidR="00773978" w:rsidRDefault="00773978">
      <w:pPr>
        <w:spacing w:before="48"/>
        <w:ind w:firstLine="883"/>
        <w:jc w:val="center"/>
        <w:rPr>
          <w:rFonts w:ascii="宋体" w:hAnsi="宋体" w:hint="eastAsia"/>
          <w:b/>
          <w:sz w:val="44"/>
          <w:szCs w:val="44"/>
        </w:rPr>
      </w:pPr>
    </w:p>
    <w:p w14:paraId="5C4B2030" w14:textId="77777777" w:rsidR="00773978" w:rsidRDefault="007105B6">
      <w:pPr>
        <w:spacing w:before="48"/>
        <w:ind w:firstLineChars="0" w:firstLine="0"/>
        <w:jc w:val="center"/>
        <w:rPr>
          <w:rFonts w:ascii="宋体" w:hAnsi="宋体" w:hint="eastAsia"/>
          <w:b/>
          <w:sz w:val="44"/>
          <w:szCs w:val="44"/>
        </w:rPr>
      </w:pPr>
      <w:r>
        <w:rPr>
          <w:rFonts w:ascii="宋体" w:hAnsi="宋体" w:hint="eastAsia"/>
          <w:b/>
          <w:sz w:val="44"/>
          <w:szCs w:val="44"/>
        </w:rPr>
        <w:t>独创性声明</w:t>
      </w:r>
    </w:p>
    <w:p w14:paraId="491EAAE7" w14:textId="77777777" w:rsidR="00773978" w:rsidRDefault="00773978">
      <w:pPr>
        <w:spacing w:before="48"/>
        <w:ind w:firstLine="883"/>
        <w:jc w:val="center"/>
        <w:rPr>
          <w:rFonts w:ascii="宋体" w:hAnsi="宋体" w:hint="eastAsia"/>
          <w:b/>
          <w:sz w:val="44"/>
          <w:szCs w:val="44"/>
        </w:rPr>
      </w:pPr>
    </w:p>
    <w:p w14:paraId="388F351D" w14:textId="77777777" w:rsidR="00773978" w:rsidRDefault="007105B6">
      <w:pPr>
        <w:spacing w:before="48"/>
        <w:ind w:firstLine="640"/>
        <w:rPr>
          <w:rFonts w:ascii="宋体" w:hAnsi="宋体" w:hint="eastAsia"/>
          <w:sz w:val="32"/>
        </w:rPr>
      </w:pPr>
      <w:r>
        <w:rPr>
          <w:rFonts w:ascii="宋体" w:hAnsi="宋体" w:hint="eastAsia"/>
          <w:sz w:val="32"/>
        </w:rPr>
        <w:t>本人声明：所呈交的毕业设计（论文），是本人在指导教师指导下，进行研究工作所取得的成果。除文中已经注明引用的内容外，本毕业设计（论文）中不包含任何他人已经发表或撰写过的研究成果。对本毕业设计（论文）所涉及的研究工作做出贡献的其他个人和集体，均已在论文中作了明确的说明。本毕业设计（论文）原创性声明的法律责任由本人承担。</w:t>
      </w:r>
    </w:p>
    <w:p w14:paraId="68F5612A" w14:textId="77777777" w:rsidR="00773978" w:rsidRDefault="00773978">
      <w:pPr>
        <w:spacing w:before="48"/>
        <w:ind w:firstLine="640"/>
        <w:jc w:val="center"/>
        <w:rPr>
          <w:rFonts w:ascii="宋体" w:hAnsi="宋体" w:hint="eastAsia"/>
          <w:sz w:val="32"/>
        </w:rPr>
      </w:pPr>
    </w:p>
    <w:p w14:paraId="289D7AFA" w14:textId="77777777" w:rsidR="00773978" w:rsidRDefault="00773978">
      <w:pPr>
        <w:spacing w:before="48"/>
        <w:ind w:firstLine="640"/>
        <w:jc w:val="center"/>
        <w:rPr>
          <w:rFonts w:ascii="宋体" w:hAnsi="宋体" w:hint="eastAsia"/>
          <w:sz w:val="32"/>
        </w:rPr>
      </w:pPr>
    </w:p>
    <w:p w14:paraId="3C837FD1" w14:textId="77777777" w:rsidR="00773978" w:rsidRDefault="007105B6">
      <w:pPr>
        <w:spacing w:before="48"/>
        <w:ind w:firstLineChars="0" w:firstLine="0"/>
        <w:jc w:val="center"/>
        <w:rPr>
          <w:rFonts w:ascii="宋体" w:hAnsi="宋体" w:hint="eastAsia"/>
          <w:sz w:val="32"/>
        </w:rPr>
      </w:pPr>
      <w:r>
        <w:rPr>
          <w:rFonts w:ascii="宋体" w:hAnsi="宋体" w:hint="eastAsia"/>
          <w:sz w:val="32"/>
        </w:rPr>
        <w:t xml:space="preserve">论文作者签名：               </w:t>
      </w:r>
    </w:p>
    <w:p w14:paraId="1BCB5B35" w14:textId="77777777" w:rsidR="00773978" w:rsidRDefault="007105B6">
      <w:pPr>
        <w:spacing w:before="48"/>
        <w:ind w:firstLine="640"/>
        <w:jc w:val="center"/>
        <w:rPr>
          <w:rFonts w:ascii="宋体" w:hAnsi="宋体" w:hint="eastAsia"/>
          <w:sz w:val="32"/>
        </w:rPr>
      </w:pPr>
      <w:r>
        <w:rPr>
          <w:rFonts w:ascii="宋体" w:hAnsi="宋体" w:hint="eastAsia"/>
          <w:sz w:val="32"/>
        </w:rPr>
        <w:t xml:space="preserve">                            年    月     日</w:t>
      </w:r>
    </w:p>
    <w:p w14:paraId="6376B168" w14:textId="77777777" w:rsidR="00773978" w:rsidRDefault="007105B6">
      <w:pPr>
        <w:spacing w:before="48"/>
        <w:ind w:firstLine="640"/>
        <w:jc w:val="center"/>
        <w:rPr>
          <w:rFonts w:ascii="宋体" w:hAnsi="宋体" w:hint="eastAsia"/>
          <w:sz w:val="32"/>
        </w:rPr>
      </w:pPr>
      <w:r>
        <w:rPr>
          <w:rFonts w:ascii="宋体" w:hAnsi="宋体"/>
          <w:sz w:val="32"/>
        </w:rPr>
        <w:t xml:space="preserve">  </w:t>
      </w:r>
    </w:p>
    <w:p w14:paraId="5B80C29D" w14:textId="77777777" w:rsidR="00773978" w:rsidRDefault="00773978">
      <w:pPr>
        <w:spacing w:before="48"/>
        <w:ind w:firstLine="640"/>
        <w:jc w:val="center"/>
        <w:rPr>
          <w:rFonts w:ascii="宋体" w:hAnsi="宋体" w:hint="eastAsia"/>
          <w:sz w:val="32"/>
        </w:rPr>
      </w:pPr>
    </w:p>
    <w:p w14:paraId="75B6E716" w14:textId="77777777" w:rsidR="00773978" w:rsidRDefault="007105B6">
      <w:pPr>
        <w:spacing w:before="48"/>
        <w:ind w:firstLine="640"/>
        <w:rPr>
          <w:rFonts w:ascii="宋体" w:hAnsi="宋体" w:hint="eastAsia"/>
          <w:sz w:val="32"/>
        </w:rPr>
      </w:pPr>
      <w:r>
        <w:rPr>
          <w:rFonts w:ascii="宋体" w:hAnsi="宋体" w:hint="eastAsia"/>
          <w:sz w:val="32"/>
        </w:rPr>
        <w:t>本人声明：本毕业设计（论文）是本人指导学生完成的研究成果，已经审阅过论文的全部内容。</w:t>
      </w:r>
    </w:p>
    <w:p w14:paraId="04CC1FF8" w14:textId="77777777" w:rsidR="00773978" w:rsidRDefault="007105B6">
      <w:pPr>
        <w:spacing w:before="48"/>
        <w:ind w:firstLine="640"/>
        <w:jc w:val="center"/>
        <w:rPr>
          <w:rFonts w:ascii="宋体" w:hAnsi="宋体" w:hint="eastAsia"/>
          <w:sz w:val="32"/>
        </w:rPr>
      </w:pPr>
      <w:r>
        <w:rPr>
          <w:rFonts w:ascii="宋体" w:hAnsi="宋体"/>
          <w:sz w:val="32"/>
        </w:rPr>
        <w:t xml:space="preserve">   </w:t>
      </w:r>
    </w:p>
    <w:p w14:paraId="25F33301" w14:textId="77777777" w:rsidR="00773978" w:rsidRDefault="007105B6">
      <w:pPr>
        <w:spacing w:before="48"/>
        <w:ind w:firstLine="640"/>
        <w:jc w:val="center"/>
        <w:rPr>
          <w:rFonts w:ascii="宋体" w:hAnsi="宋体" w:hint="eastAsia"/>
          <w:sz w:val="32"/>
        </w:rPr>
      </w:pPr>
      <w:r>
        <w:rPr>
          <w:rFonts w:ascii="宋体" w:hAnsi="宋体" w:hint="eastAsia"/>
          <w:sz w:val="32"/>
        </w:rPr>
        <w:t xml:space="preserve">论文指导教师签名：              </w:t>
      </w:r>
    </w:p>
    <w:p w14:paraId="7DF872E5" w14:textId="77777777" w:rsidR="00773978" w:rsidRDefault="007105B6">
      <w:pPr>
        <w:spacing w:before="48"/>
        <w:ind w:firstLine="640"/>
        <w:jc w:val="center"/>
        <w:rPr>
          <w:rFonts w:ascii="宋体" w:hAnsi="宋体" w:hint="eastAsia"/>
          <w:sz w:val="32"/>
        </w:rPr>
      </w:pPr>
      <w:r>
        <w:rPr>
          <w:rFonts w:ascii="宋体" w:hAnsi="宋体" w:hint="eastAsia"/>
          <w:sz w:val="32"/>
        </w:rPr>
        <w:t xml:space="preserve">                             年    月     日</w:t>
      </w:r>
    </w:p>
    <w:p w14:paraId="3F5CAA9C" w14:textId="77777777" w:rsidR="00773978" w:rsidRDefault="00773978">
      <w:pPr>
        <w:spacing w:before="48"/>
        <w:ind w:firstLine="640"/>
        <w:jc w:val="center"/>
        <w:rPr>
          <w:rFonts w:ascii="宋体" w:hAnsi="宋体" w:hint="eastAsia"/>
          <w:sz w:val="32"/>
        </w:rPr>
      </w:pPr>
    </w:p>
    <w:p w14:paraId="610A0068" w14:textId="77777777" w:rsidR="00773978" w:rsidRDefault="00773978">
      <w:pPr>
        <w:spacing w:before="48"/>
        <w:ind w:firstLine="640"/>
        <w:jc w:val="center"/>
        <w:rPr>
          <w:rFonts w:ascii="宋体" w:hAnsi="宋体" w:hint="eastAsia"/>
          <w:sz w:val="32"/>
        </w:rPr>
        <w:sectPr w:rsidR="00773978">
          <w:footerReference w:type="default" r:id="rId16"/>
          <w:headerReference w:type="default" r:id="rId27"/>
          <w:pgSz w:w="11906" w:h="16838"/>
          <w:pgMar w:top="1559" w:right="1571" w:bottom="1440" w:left="2024" w:header="851" w:footer="992" w:gutter="0"/>
          <w:pgNumType w:fmt="upperRoman" w:start="1"/>
          <w:cols w:space="425"/>
          <w:docGrid w:linePitch="419" w:charSpace="1783"/>
        </w:sectPr>
      </w:pPr>
    </w:p>
    <w:p w14:paraId="57BE7889" w14:textId="77777777" w:rsidR="00773978" w:rsidRDefault="007105B6">
      <w:pPr>
        <w:spacing w:beforeLines="0" w:after="360" w:line="240" w:lineRule="auto"/>
        <w:ind w:firstLineChars="0" w:firstLine="0"/>
        <w:jc w:val="center"/>
        <w:rPr>
          <w:b/>
          <w:sz w:val="44"/>
        </w:rPr>
      </w:pPr>
      <w:bookmarkStart w:id="0" w:name="_Toc464325077"/>
      <w:bookmarkStart w:id="1" w:name="_Toc464327621"/>
      <w:r>
        <w:rPr>
          <w:rFonts w:hint="eastAsia"/>
          <w:b/>
          <w:sz w:val="44"/>
        </w:rPr>
        <w:lastRenderedPageBreak/>
        <w:t>摘</w:t>
      </w:r>
      <w:r>
        <w:rPr>
          <w:rFonts w:hint="eastAsia"/>
          <w:b/>
          <w:sz w:val="44"/>
        </w:rPr>
        <w:t xml:space="preserve"> </w:t>
      </w:r>
      <w:r>
        <w:rPr>
          <w:b/>
          <w:sz w:val="44"/>
        </w:rPr>
        <w:t xml:space="preserve"> </w:t>
      </w:r>
      <w:r>
        <w:rPr>
          <w:rFonts w:hint="eastAsia"/>
          <w:b/>
          <w:sz w:val="44"/>
        </w:rPr>
        <w:t>要</w:t>
      </w:r>
      <w:bookmarkEnd w:id="0"/>
      <w:bookmarkEnd w:id="1"/>
    </w:p>
    <w:p w14:paraId="3FBB0D72" w14:textId="77777777" w:rsidR="001E6A84" w:rsidRPr="001E6A84" w:rsidRDefault="001E6A84" w:rsidP="001E6A84">
      <w:pPr>
        <w:spacing w:before="48"/>
        <w:ind w:firstLine="480"/>
        <w:rPr>
          <w:rFonts w:ascii="宋体" w:hAnsi="宋体" w:hint="eastAsia"/>
        </w:rPr>
      </w:pPr>
      <w:r w:rsidRPr="001E6A84">
        <w:rPr>
          <w:rFonts w:ascii="Times New Roman" w:hAnsi="Times New Roman" w:hint="eastAsia" w:eastAsia="宋体"/>
          <w:sz w:val="24"/>
        </w:rPr>
        <w:t>本设计针对汕尾电厂燃料煤运输需求，开展5万吨级配套煤码头工程的初步设计工作。在分析工程区域自然条件（水文、气象、地质）的基础上，依据《海港总体设计规范》（JTS 165-2025）、《码头结构设计规范》（JTS 167-2018）等现行港口工程规范，完成码头总平面布置、装卸工艺系统设计、水工结构方案比选、主要结构计算及工程量估算。设计船型为5万DWT散货船，码头年工作321天，每日纯作业21小时，工程处于有掩护海域，设计高水位1.91m，设计低水位0.22m，极端高水位3.56m，极端低水位-0.35m。通过泊位尺度、前沿水深、回旋水域、装卸能力、库场容量和桩基承载力等计算，确定码头泊位长度260m、码头面高程3.60m、前沿设计水深12.50m，推荐采用高桩梁板式码头结构。结构方案采用PHC管桩、现浇横梁、预制纵梁和叠合面板组合体系，并对竖向荷载、水平荷载、单桩承载力、桩基数量、梁板尺寸和工程量进行了初步验算。结果表明，高桩梁板式方案能够适应场区软弱淤泥质土和下部风化花岗岩地基条件，较重力式沉箱方案具有地基处理工程量小、施工风险低、综合造价合理等优点，可满足电厂专用煤码头安全、连续和高效运行要求。</w:t>
      </w:r>
    </w:p>
    <w:p w14:paraId="574008F1" w14:textId="77777777" w:rsidR="00773978" w:rsidRDefault="00773978">
      <w:pPr>
        <w:spacing w:before="48"/>
        <w:ind w:firstLineChars="0" w:firstLine="0"/>
        <w:rPr>
          <w:kern w:val="0"/>
          <w:szCs w:val="20"/>
        </w:rPr>
      </w:pPr>
    </w:p>
    <w:p w14:paraId="7F17187F" w14:textId="616BB4F2" w:rsidR="00773978" w:rsidRDefault="007105B6" w:rsidP="001E6A84">
      <w:pPr>
        <w:spacing w:before="48"/>
        <w:ind w:firstLineChars="0" w:firstLine="0"/>
      </w:pPr>
      <w:r>
        <w:rPr>
          <w:rFonts w:asciiTheme="minorEastAsia" w:eastAsiaTheme="minorEastAsia" w:hAnsiTheme="minorEastAsia" w:hint="eastAsia" w:ascii="Times New Roman" w:hAnsi="Times New Roman" w:eastAsia="宋体"/>
          <w:b/>
          <w:bCs/>
          <w:sz w:val="28"/>
          <w:szCs w:val="28"/>
        </w:rPr>
        <w:t>关键词：煤码头；初步设计；高桩梁板式；装卸工艺；结构计算</w:t>
      </w:r>
      <w:r w:rsidR="001E6A84" w:rsidRPr="006F13E7">
        <w:rPr>
          <w:rFonts w:hint="eastAsia"/>
        </w:rPr>
      </w:r>
      <w:r w:rsidR="001E6A84">
        <w:rPr>
          <w:rFonts w:hint="eastAsia"/>
        </w:rPr>
      </w:r>
      <w:r w:rsidR="001E6A84" w:rsidRPr="006F13E7">
        <w:rPr>
          <w:rFonts w:hint="eastAsia"/>
        </w:rPr>
      </w:r>
      <w:r w:rsidR="001E6A84">
        <w:rPr>
          <w:rFonts w:hint="eastAsia"/>
        </w:rPr>
      </w:r>
      <w:r w:rsidR="001E6A84" w:rsidRPr="006F13E7">
        <w:rPr>
          <w:rFonts w:hint="eastAsia"/>
        </w:rPr>
      </w:r>
      <w:r w:rsidR="001E6A84">
        <w:rPr>
          <w:rFonts w:hint="eastAsia"/>
        </w:rPr>
      </w:r>
      <w:r w:rsidR="001E6A84" w:rsidRPr="006F13E7">
        <w:rPr>
          <w:rFonts w:hint="eastAsia"/>
        </w:rPr>
      </w:r>
      <w:r w:rsidR="00304F5C">
        <w:rPr>
          <w:rFonts w:hint="eastAsia"/>
        </w:rPr>
      </w:r>
      <w:r w:rsidR="001E6A84" w:rsidRPr="006F13E7">
        <w:rPr>
          <w:rFonts w:hint="eastAsia"/>
        </w:rPr>
      </w:r>
    </w:p>
    <w:p w14:paraId="3413C8BB" w14:textId="77777777" w:rsidR="00773978" w:rsidRDefault="00773978">
      <w:pPr>
        <w:pStyle w:val="10"/>
        <w:spacing w:line="300" w:lineRule="auto"/>
        <w:ind w:firstLine="480"/>
        <w:sectPr w:rsidR="00773978">
          <w:footerReference w:type="default" r:id="rId17"/>
          <w:headerReference w:type="default" r:id="rId28"/>
          <w:pgSz w:w="11906" w:h="16838"/>
          <w:pgMar w:top="1559" w:right="1571" w:bottom="1440" w:left="2024" w:header="851" w:footer="992" w:gutter="0"/>
          <w:pgNumType w:fmt="upperRoman" w:start="1"/>
          <w:cols w:space="425"/>
          <w:docGrid w:linePitch="419" w:charSpace="1783"/>
        </w:sectPr>
      </w:pPr>
    </w:p>
    <w:p w14:paraId="76088CDD" w14:textId="77777777" w:rsidR="00773978" w:rsidRDefault="007105B6">
      <w:pPr>
        <w:spacing w:beforeLines="0" w:after="360" w:line="240" w:lineRule="auto"/>
        <w:ind w:firstLineChars="0" w:firstLine="0"/>
        <w:jc w:val="center"/>
        <w:rPr>
          <w:b/>
          <w:sz w:val="44"/>
        </w:rPr>
      </w:pPr>
      <w:bookmarkStart w:id="2" w:name="_Toc30147281"/>
      <w:bookmarkStart w:id="3" w:name="_Toc30146992"/>
      <w:bookmarkStart w:id="4" w:name="_Toc464325078"/>
      <w:bookmarkStart w:id="5" w:name="_Toc464327622"/>
      <w:bookmarkStart w:id="6" w:name="_Toc150964"/>
      <w:r>
        <w:rPr>
          <w:b/>
          <w:sz w:val="44"/>
        </w:rPr>
        <w:lastRenderedPageBreak/>
        <w:t>ABSTRACT</w:t>
      </w:r>
      <w:bookmarkEnd w:id="2"/>
      <w:bookmarkEnd w:id="3"/>
      <w:bookmarkEnd w:id="4"/>
      <w:bookmarkEnd w:id="5"/>
      <w:bookmarkEnd w:id="6"/>
    </w:p>
    <w:p w14:paraId="4110FFCF" w14:textId="77777777" w:rsidR="00773978" w:rsidRDefault="007105B6">
      <w:pPr>
        <w:pStyle w:val="10"/>
        <w:spacing w:line="300" w:lineRule="auto"/>
        <w:ind w:firstLine="480"/>
        <w:rPr>
          <w:rFonts w:cs="Times New Roman"/>
        </w:rPr>
      </w:pPr>
      <w:r>
        <w:rPr>
          <w:rFonts w:cs="Times New Roman" w:ascii="Times New Roman" w:hAnsi="Times New Roman" w:eastAsia="宋体"/>
          <w:sz w:val="24"/>
        </w:rPr>
        <w:t>This design carries out the preliminary design of a 50,000 DWT supporting coal wharf for Shanwei Power Plant according to the fuel coal transportation demand. Based on the analysis of hydrological, meteorological and geological conditions, and in accordance with the current port engineering codes, including JTS 165-2025 and JTS 167-2018, the general layout, cargo handling system, hydraulic structure scheme comparison, main structural calculation and quantity estimation are completed. The design vessel is a 50,000 DWT bulk carrier. The wharf operates 321 days per year and 21 effective hours per day. The project is located in a sheltered water area, with a design high water level of 1.91 m, a design low water level of 0.22 m, an extreme high water level of 3.56 m and an extreme low water level of -0.35 m. Through calculations of berth scale, front water depth, turning basin, handling capacity, yard capacity and pile bearing capacity, the berth length is determined as 260 m, the deck elevation as 3.60 m, and the front design water depth as 12.50 m. A piled beam-slab wharf is recommended. The structural system consists of PHC pipe piles, cast-in-place transverse beams, precast longitudinal beams and composite deck slabs. The preliminary checks cover vertical load, horizontal load, single pile capacity, pile number, beam-slab dimensions and major quantities. The results show that the piled beam-slab scheme can adapt to the soft muddy soil and weathered granite foundation of the site. Compared with a gravity caisson scheme, it requires less foundation treatment, has lower construction risk and more reasonable overall cost, and can meet the safety, continuity and efficiency requirements of the dedicated coal wharf.</w:t>
      </w:r>
      <w:r>
        <w:rPr>
          <w:rFonts w:cs="Times New Roman"/>
        </w:rPr>
      </w:r>
      <w:r>
        <w:rPr>
          <w:rFonts w:cs="Times New Roman"/>
        </w:rPr>
      </w:r>
      <w:r>
        <w:rPr>
          <w:rFonts w:cs="Times New Roman"/>
        </w:rPr>
      </w:r>
      <w:r>
        <w:rPr>
          <w:rFonts w:cs="Times New Roman"/>
        </w:rPr>
      </w:r>
      <w:r>
        <w:rPr>
          <w:rFonts w:cs="Times New Roman"/>
        </w:rPr>
      </w:r>
      <w:r>
        <w:rPr>
          <w:rFonts w:cs="Times New Roman"/>
        </w:rPr>
      </w:r>
    </w:p>
    <w:p w14:paraId="4432760D" w14:textId="77777777" w:rsidR="00773978" w:rsidRDefault="00773978">
      <w:pPr>
        <w:pStyle w:val="10"/>
        <w:spacing w:line="300" w:lineRule="auto"/>
        <w:ind w:firstLine="480"/>
        <w:rPr>
          <w:rFonts w:cs="Times New Roman"/>
        </w:rPr>
      </w:pPr>
    </w:p>
    <w:p w14:paraId="5EE79FFF" w14:textId="77777777" w:rsidR="00773978" w:rsidRDefault="007105B6">
      <w:pPr>
        <w:spacing w:before="48"/>
        <w:ind w:firstLine="562"/>
      </w:pPr>
      <w:r>
        <w:rPr>
          <w:rFonts w:ascii="Times New Roman" w:hAnsi="Times New Roman" w:eastAsia="宋体"/>
          <w:b/>
          <w:bCs/>
          <w:sz w:val="28"/>
          <w:szCs w:val="28"/>
        </w:rPr>
        <w:t>KEY WORDS: coal wharf; preliminary design; piled beam-slab structure; handling process; structural calculation</w:t>
      </w:r>
      <w:r>
        <w:rPr>
          <w:rFonts w:hint="eastAsia"/>
          <w:b/>
          <w:bCs/>
          <w:sz w:val="28"/>
          <w:szCs w:val="28"/>
        </w:rPr>
      </w:r>
      <w:r/>
      <w:r>
        <w:rPr>
          <w:rFonts w:hint="eastAsia"/>
        </w:rPr>
      </w:r>
      <w:r/>
      <w:r>
        <w:rPr>
          <w:rFonts w:hint="eastAsia"/>
        </w:rPr>
      </w:r>
      <w:r/>
      <w:r>
        <w:rPr>
          <w:rFonts w:hint="eastAsia"/>
        </w:rPr>
      </w:r>
      <w:r/>
      <w:r>
        <w:rPr>
          <w:rFonts w:hint="eastAsia"/>
        </w:rPr>
      </w:r>
      <w:r/>
    </w:p>
    <w:p w14:paraId="76F1DA37" w14:textId="77777777" w:rsidR="00773978" w:rsidRDefault="00773978">
      <w:pPr>
        <w:pStyle w:val="10"/>
        <w:ind w:firstLine="480"/>
      </w:pPr>
    </w:p>
    <w:p w14:paraId="374D755B" w14:textId="77777777" w:rsidR="00773978" w:rsidRDefault="00773978">
      <w:pPr>
        <w:pStyle w:val="10"/>
        <w:ind w:firstLine="480"/>
        <w:sectPr w:rsidR="00773978">
          <w:footerReference w:type="default" r:id="rId18"/>
          <w:headerReference w:type="default" r:id="rId29"/>
          <w:pgSz w:w="11906" w:h="16838"/>
          <w:pgMar w:top="1559" w:right="1571" w:bottom="1440" w:left="2024" w:header="851" w:footer="992" w:gutter="0"/>
          <w:pgNumType w:fmt="upperRoman" w:start="2"/>
          <w:cols w:space="425"/>
          <w:docGrid w:linePitch="419" w:charSpace="1783"/>
        </w:sectPr>
      </w:pPr>
    </w:p>
    <w:p w14:paraId="319BE3D3" w14:textId="77777777" w:rsidR="00773978" w:rsidRDefault="007105B6">
      <w:pPr>
        <w:pStyle w:val="Char"/>
        <w:spacing w:before="600" w:after="600" w:line="240" w:lineRule="auto"/>
        <w:jc w:val="center"/>
        <w:rPr>
          <w:rFonts w:ascii="黑体" w:eastAsia="黑体" w:hAnsi="黑体" w:hint="eastAsia"/>
        </w:rPr>
      </w:pPr>
      <w:bookmarkStart w:id="7" w:name="_Toc464327623"/>
      <w:bookmarkStart w:id="8" w:name="_Toc464325079"/>
      <w:r>
        <w:rPr>
          <w:rFonts w:ascii="黑体" w:eastAsia="黑体" w:hAnsi="黑体" w:hint="eastAsia"/>
        </w:rPr>
        <w:lastRenderedPageBreak/>
        <w:t>目  录</w:t>
      </w:r>
      <w:bookmarkEnd w:id="7"/>
      <w:bookmarkEnd w:id="8"/>
    </w:p>
    <w:bookmarkStart w:id="9" w:name="_Ref43021124"/>
    <w:bookmarkStart w:id="10" w:name="_Ref43021134"/>
    <w:bookmarkStart w:id="11" w:name="_Ref43021352"/>
    <w:bookmarkStart w:id="12" w:name="_Ref43021047"/>
    <w:bookmarkStart w:id="13" w:name="_Ref43021537"/>
    <w:bookmarkStart w:id="14" w:name="_Ref43021213"/>
    <w:bookmarkStart w:id="15" w:name="_Ref43021099"/>
    <w:bookmarkStart w:id="16" w:name="_Ref43021538"/>
    <w:p>
      <w:pPr>
        <w:tabs>
          <w:tab w:pos="8200" w:val="right" w:leader="dot"/>
        </w:tabs>
        <w:spacing w:lineRule="auto" w:line="240" w:before="0" w:after="0"/>
        <w:ind w:left="0"/>
      </w:pPr>
      <w:r>
        <w:rPr>
          <w:rFonts w:ascii="Times New Roman" w:hAnsi="Times New Roman" w:eastAsia="宋体"/>
          <w:b/>
          <w:sz w:val="24"/>
        </w:rPr>
        <w:t>第一章 绪论</w:t>
        <w:tab/>
        <w:t>1</w:t>
      </w:r>
    </w:p>
    <w:p>
      <w:pPr>
        <w:tabs>
          <w:tab w:pos="8200" w:val="right" w:leader="dot"/>
        </w:tabs>
        <w:spacing w:lineRule="auto" w:line="240" w:before="0" w:after="0"/>
        <w:ind w:left="360"/>
      </w:pPr>
      <w:r>
        <w:rPr>
          <w:rFonts w:ascii="Times New Roman" w:hAnsi="Times New Roman" w:eastAsia="宋体"/>
          <w:b w:val="0"/>
          <w:sz w:val="20"/>
        </w:rPr>
        <w:t>1.1 工程背景与研究意义</w:t>
        <w:tab/>
        <w:t>1</w:t>
      </w:r>
    </w:p>
    <w:p>
      <w:pPr>
        <w:tabs>
          <w:tab w:pos="8200" w:val="right" w:leader="dot"/>
        </w:tabs>
        <w:spacing w:lineRule="auto" w:line="240" w:before="0" w:after="0"/>
        <w:ind w:left="720"/>
      </w:pPr>
      <w:r>
        <w:rPr>
          <w:rFonts w:ascii="Times New Roman" w:hAnsi="Times New Roman" w:eastAsia="宋体"/>
          <w:b w:val="0"/>
          <w:sz w:val="20"/>
        </w:rPr>
        <w:t>1.1.1 工程背景</w:t>
        <w:tab/>
        <w:t>1</w:t>
      </w:r>
    </w:p>
    <w:p>
      <w:pPr>
        <w:tabs>
          <w:tab w:pos="8200" w:val="right" w:leader="dot"/>
        </w:tabs>
        <w:spacing w:lineRule="auto" w:line="240" w:before="0" w:after="0"/>
        <w:ind w:left="720"/>
      </w:pPr>
      <w:r>
        <w:rPr>
          <w:rFonts w:ascii="Times New Roman" w:hAnsi="Times New Roman" w:eastAsia="宋体"/>
          <w:b w:val="0"/>
          <w:sz w:val="20"/>
        </w:rPr>
        <w:t>1.1.2 研究意义</w:t>
        <w:tab/>
        <w:t>1</w:t>
      </w:r>
    </w:p>
    <w:p>
      <w:pPr>
        <w:tabs>
          <w:tab w:pos="8200" w:val="right" w:leader="dot"/>
        </w:tabs>
        <w:spacing w:lineRule="auto" w:line="240" w:before="0" w:after="0"/>
        <w:ind w:left="360"/>
      </w:pPr>
      <w:r>
        <w:rPr>
          <w:rFonts w:ascii="Times New Roman" w:hAnsi="Times New Roman" w:eastAsia="宋体"/>
          <w:b w:val="0"/>
          <w:sz w:val="20"/>
        </w:rPr>
        <w:t>1.2 国内外煤码头工程技术发展现状</w:t>
        <w:tab/>
        <w:t>2</w:t>
      </w:r>
    </w:p>
    <w:p>
      <w:pPr>
        <w:tabs>
          <w:tab w:pos="8200" w:val="right" w:leader="dot"/>
        </w:tabs>
        <w:spacing w:lineRule="auto" w:line="240" w:before="0" w:after="0"/>
        <w:ind w:left="720"/>
      </w:pPr>
      <w:r>
        <w:rPr>
          <w:rFonts w:ascii="Times New Roman" w:hAnsi="Times New Roman" w:eastAsia="宋体"/>
          <w:b w:val="0"/>
          <w:sz w:val="20"/>
        </w:rPr>
        <w:t>1.2.1 国外发展现状</w:t>
        <w:tab/>
        <w:t>2</w:t>
      </w:r>
    </w:p>
    <w:p>
      <w:pPr>
        <w:tabs>
          <w:tab w:pos="8200" w:val="right" w:leader="dot"/>
        </w:tabs>
        <w:spacing w:lineRule="auto" w:line="240" w:before="0" w:after="0"/>
        <w:ind w:left="720"/>
      </w:pPr>
      <w:r>
        <w:rPr>
          <w:rFonts w:ascii="Times New Roman" w:hAnsi="Times New Roman" w:eastAsia="宋体"/>
          <w:b w:val="0"/>
          <w:sz w:val="20"/>
        </w:rPr>
        <w:t>1.2.2 国内发展现状</w:t>
        <w:tab/>
        <w:t>2</w:t>
      </w:r>
    </w:p>
    <w:p>
      <w:pPr>
        <w:tabs>
          <w:tab w:pos="8200" w:val="right" w:leader="dot"/>
        </w:tabs>
        <w:spacing w:lineRule="auto" w:line="240" w:before="0" w:after="0"/>
        <w:ind w:left="360"/>
      </w:pPr>
      <w:r>
        <w:rPr>
          <w:rFonts w:ascii="Times New Roman" w:hAnsi="Times New Roman" w:eastAsia="宋体"/>
          <w:b w:val="0"/>
          <w:sz w:val="20"/>
        </w:rPr>
        <w:t>1.3 研究内容与技术路线</w:t>
        <w:tab/>
        <w:t>3</w:t>
      </w:r>
    </w:p>
    <w:p>
      <w:pPr>
        <w:tabs>
          <w:tab w:pos="8200" w:val="right" w:leader="dot"/>
        </w:tabs>
        <w:spacing w:lineRule="auto" w:line="240" w:before="0" w:after="0"/>
        <w:ind w:left="720"/>
      </w:pPr>
      <w:r>
        <w:rPr>
          <w:rFonts w:ascii="Times New Roman" w:hAnsi="Times New Roman" w:eastAsia="宋体"/>
          <w:b w:val="0"/>
          <w:sz w:val="20"/>
        </w:rPr>
        <w:t>1.3.1 研究内容</w:t>
        <w:tab/>
        <w:t>3</w:t>
      </w:r>
    </w:p>
    <w:p>
      <w:pPr>
        <w:tabs>
          <w:tab w:pos="8200" w:val="right" w:leader="dot"/>
        </w:tabs>
        <w:spacing w:lineRule="auto" w:line="240" w:before="0" w:after="0"/>
        <w:ind w:left="720"/>
      </w:pPr>
      <w:r>
        <w:rPr>
          <w:rFonts w:ascii="Times New Roman" w:hAnsi="Times New Roman" w:eastAsia="宋体"/>
          <w:b w:val="0"/>
          <w:sz w:val="20"/>
        </w:rPr>
        <w:t>1.3.2 技术路线</w:t>
        <w:tab/>
        <w:t>3</w:t>
      </w:r>
    </w:p>
    <w:p>
      <w:pPr>
        <w:tabs>
          <w:tab w:pos="8200" w:val="right" w:leader="dot"/>
        </w:tabs>
        <w:spacing w:lineRule="auto" w:line="240" w:before="0" w:after="0"/>
        <w:ind w:left="360"/>
      </w:pPr>
      <w:r>
        <w:rPr>
          <w:rFonts w:ascii="Times New Roman" w:hAnsi="Times New Roman" w:eastAsia="宋体"/>
          <w:b w:val="0"/>
          <w:sz w:val="20"/>
        </w:rPr>
        <w:t>1.4 本章小结</w:t>
        <w:tab/>
        <w:t>4</w:t>
      </w:r>
    </w:p>
    <w:p>
      <w:pPr>
        <w:tabs>
          <w:tab w:pos="8200" w:val="right" w:leader="dot"/>
        </w:tabs>
        <w:spacing w:lineRule="auto" w:line="240" w:before="0" w:after="0"/>
        <w:ind w:left="0"/>
      </w:pPr>
      <w:r>
        <w:rPr>
          <w:rFonts w:ascii="Times New Roman" w:hAnsi="Times New Roman" w:eastAsia="宋体"/>
          <w:b/>
          <w:sz w:val="24"/>
        </w:rPr>
        <w:t>第二章 工程概况与设计基础资料</w:t>
        <w:tab/>
        <w:t>5</w:t>
      </w:r>
    </w:p>
    <w:p>
      <w:pPr>
        <w:tabs>
          <w:tab w:pos="8200" w:val="right" w:leader="dot"/>
        </w:tabs>
        <w:spacing w:lineRule="auto" w:line="240" w:before="0" w:after="0"/>
        <w:ind w:left="360"/>
      </w:pPr>
      <w:r>
        <w:rPr>
          <w:rFonts w:ascii="Times New Roman" w:hAnsi="Times New Roman" w:eastAsia="宋体"/>
          <w:b w:val="0"/>
          <w:sz w:val="20"/>
        </w:rPr>
        <w:t>2.1 工程地理位置</w:t>
        <w:tab/>
        <w:t>5</w:t>
      </w:r>
    </w:p>
    <w:p>
      <w:pPr>
        <w:tabs>
          <w:tab w:pos="8200" w:val="right" w:leader="dot"/>
        </w:tabs>
        <w:spacing w:lineRule="auto" w:line="240" w:before="0" w:after="0"/>
        <w:ind w:left="360"/>
      </w:pPr>
      <w:r>
        <w:rPr>
          <w:rFonts w:ascii="Times New Roman" w:hAnsi="Times New Roman" w:eastAsia="宋体"/>
          <w:b w:val="0"/>
          <w:sz w:val="20"/>
        </w:rPr>
        <w:t>2.2 气象条件</w:t>
        <w:tab/>
        <w:t>6</w:t>
      </w:r>
    </w:p>
    <w:p>
      <w:pPr>
        <w:tabs>
          <w:tab w:pos="8200" w:val="right" w:leader="dot"/>
        </w:tabs>
        <w:spacing w:lineRule="auto" w:line="240" w:before="0" w:after="0"/>
        <w:ind w:left="720"/>
      </w:pPr>
      <w:r>
        <w:rPr>
          <w:rFonts w:ascii="Times New Roman" w:hAnsi="Times New Roman" w:eastAsia="宋体"/>
          <w:b w:val="0"/>
          <w:sz w:val="20"/>
        </w:rPr>
        <w:t>2.2.1 气温</w:t>
        <w:tab/>
        <w:t>6</w:t>
      </w:r>
    </w:p>
    <w:p>
      <w:pPr>
        <w:tabs>
          <w:tab w:pos="8200" w:val="right" w:leader="dot"/>
        </w:tabs>
        <w:spacing w:lineRule="auto" w:line="240" w:before="0" w:after="0"/>
        <w:ind w:left="720"/>
      </w:pPr>
      <w:r>
        <w:rPr>
          <w:rFonts w:ascii="Times New Roman" w:hAnsi="Times New Roman" w:eastAsia="宋体"/>
          <w:b w:val="0"/>
          <w:sz w:val="20"/>
        </w:rPr>
        <w:t>2.2.2 降水</w:t>
        <w:tab/>
        <w:t>6</w:t>
      </w:r>
    </w:p>
    <w:p>
      <w:pPr>
        <w:tabs>
          <w:tab w:pos="8200" w:val="right" w:leader="dot"/>
        </w:tabs>
        <w:spacing w:lineRule="auto" w:line="240" w:before="0" w:after="0"/>
        <w:ind w:left="720"/>
      </w:pPr>
      <w:r>
        <w:rPr>
          <w:rFonts w:ascii="Times New Roman" w:hAnsi="Times New Roman" w:eastAsia="宋体"/>
          <w:b w:val="0"/>
          <w:sz w:val="20"/>
        </w:rPr>
        <w:t>2.2.3 风况</w:t>
        <w:tab/>
        <w:t>6</w:t>
      </w:r>
    </w:p>
    <w:p>
      <w:pPr>
        <w:tabs>
          <w:tab w:pos="8200" w:val="right" w:leader="dot"/>
        </w:tabs>
        <w:spacing w:lineRule="auto" w:line="240" w:before="0" w:after="0"/>
        <w:ind w:left="720"/>
      </w:pPr>
      <w:r>
        <w:rPr>
          <w:rFonts w:ascii="Times New Roman" w:hAnsi="Times New Roman" w:eastAsia="宋体"/>
          <w:b w:val="0"/>
          <w:sz w:val="20"/>
        </w:rPr>
        <w:t>2.2.4 台风</w:t>
        <w:tab/>
        <w:t>6</w:t>
      </w:r>
    </w:p>
    <w:p>
      <w:pPr>
        <w:tabs>
          <w:tab w:pos="8200" w:val="right" w:leader="dot"/>
        </w:tabs>
        <w:spacing w:lineRule="auto" w:line="240" w:before="0" w:after="0"/>
        <w:ind w:left="720"/>
      </w:pPr>
      <w:r>
        <w:rPr>
          <w:rFonts w:ascii="Times New Roman" w:hAnsi="Times New Roman" w:eastAsia="宋体"/>
          <w:b w:val="0"/>
          <w:sz w:val="20"/>
        </w:rPr>
        <w:t>2.2.5 雾况与湿度</w:t>
        <w:tab/>
        <w:t>6</w:t>
      </w:r>
    </w:p>
    <w:p>
      <w:pPr>
        <w:tabs>
          <w:tab w:pos="8200" w:val="right" w:leader="dot"/>
        </w:tabs>
        <w:spacing w:lineRule="auto" w:line="240" w:before="0" w:after="0"/>
        <w:ind w:left="360"/>
      </w:pPr>
      <w:r>
        <w:rPr>
          <w:rFonts w:ascii="Times New Roman" w:hAnsi="Times New Roman" w:eastAsia="宋体"/>
          <w:b w:val="0"/>
          <w:sz w:val="20"/>
        </w:rPr>
        <w:t>2.3 水文条件</w:t>
        <w:tab/>
        <w:t>7</w:t>
      </w:r>
    </w:p>
    <w:p>
      <w:pPr>
        <w:tabs>
          <w:tab w:pos="8200" w:val="right" w:leader="dot"/>
        </w:tabs>
        <w:spacing w:lineRule="auto" w:line="240" w:before="0" w:after="0"/>
        <w:ind w:left="720"/>
      </w:pPr>
      <w:r>
        <w:rPr>
          <w:rFonts w:ascii="Times New Roman" w:hAnsi="Times New Roman" w:eastAsia="宋体"/>
          <w:b w:val="0"/>
          <w:sz w:val="20"/>
        </w:rPr>
        <w:t>2.3.1 潮型与潮位特征</w:t>
        <w:tab/>
        <w:t>7</w:t>
      </w:r>
    </w:p>
    <w:p>
      <w:pPr>
        <w:tabs>
          <w:tab w:pos="8200" w:val="right" w:leader="dot"/>
        </w:tabs>
        <w:spacing w:lineRule="auto" w:line="240" w:before="0" w:after="0"/>
        <w:ind w:left="720"/>
      </w:pPr>
      <w:r>
        <w:rPr>
          <w:rFonts w:ascii="Times New Roman" w:hAnsi="Times New Roman" w:eastAsia="宋体"/>
          <w:b w:val="0"/>
          <w:sz w:val="20"/>
        </w:rPr>
        <w:t>2.3.2 设计水位</w:t>
        <w:tab/>
        <w:t>7</w:t>
      </w:r>
    </w:p>
    <w:p>
      <w:pPr>
        <w:tabs>
          <w:tab w:pos="8200" w:val="right" w:leader="dot"/>
        </w:tabs>
        <w:spacing w:lineRule="auto" w:line="240" w:before="0" w:after="0"/>
        <w:ind w:left="720"/>
      </w:pPr>
      <w:r>
        <w:rPr>
          <w:rFonts w:ascii="Times New Roman" w:hAnsi="Times New Roman" w:eastAsia="宋体"/>
          <w:b w:val="0"/>
          <w:sz w:val="20"/>
        </w:rPr>
        <w:t>2.3.3 台风增减水</w:t>
        <w:tab/>
        <w:t>8</w:t>
      </w:r>
    </w:p>
    <w:p>
      <w:pPr>
        <w:tabs>
          <w:tab w:pos="8200" w:val="right" w:leader="dot"/>
        </w:tabs>
        <w:spacing w:lineRule="auto" w:line="240" w:before="0" w:after="0"/>
        <w:ind w:left="720"/>
      </w:pPr>
      <w:r>
        <w:rPr>
          <w:rFonts w:ascii="Times New Roman" w:hAnsi="Times New Roman" w:eastAsia="宋体"/>
          <w:b w:val="0"/>
          <w:sz w:val="20"/>
        </w:rPr>
        <w:t>2.3.4 海流条件</w:t>
        <w:tab/>
        <w:t>8</w:t>
      </w:r>
    </w:p>
    <w:p>
      <w:pPr>
        <w:tabs>
          <w:tab w:pos="8200" w:val="right" w:leader="dot"/>
        </w:tabs>
        <w:spacing w:lineRule="auto" w:line="240" w:before="0" w:after="0"/>
        <w:ind w:left="360"/>
      </w:pPr>
      <w:r>
        <w:rPr>
          <w:rFonts w:ascii="Times New Roman" w:hAnsi="Times New Roman" w:eastAsia="宋体"/>
          <w:b w:val="0"/>
          <w:sz w:val="20"/>
        </w:rPr>
        <w:t>2.4 工程地质条件</w:t>
        <w:tab/>
        <w:t>8</w:t>
      </w:r>
    </w:p>
    <w:p>
      <w:pPr>
        <w:tabs>
          <w:tab w:pos="8200" w:val="right" w:leader="dot"/>
        </w:tabs>
        <w:spacing w:lineRule="auto" w:line="240" w:before="0" w:after="0"/>
        <w:ind w:left="360"/>
      </w:pPr>
      <w:r>
        <w:rPr>
          <w:rFonts w:ascii="Times New Roman" w:hAnsi="Times New Roman" w:eastAsia="宋体"/>
          <w:b w:val="0"/>
          <w:sz w:val="20"/>
        </w:rPr>
        <w:t>2.5 地震与设计基本参数</w:t>
        <w:tab/>
        <w:t>9</w:t>
      </w:r>
    </w:p>
    <w:p>
      <w:pPr>
        <w:tabs>
          <w:tab w:pos="8200" w:val="right" w:leader="dot"/>
        </w:tabs>
        <w:spacing w:lineRule="auto" w:line="240" w:before="0" w:after="0"/>
        <w:ind w:left="360"/>
      </w:pPr>
      <w:r>
        <w:rPr>
          <w:rFonts w:ascii="Times New Roman" w:hAnsi="Times New Roman" w:eastAsia="宋体"/>
          <w:b w:val="0"/>
          <w:sz w:val="20"/>
        </w:rPr>
        <w:t>2.6 本章小结</w:t>
        <w:tab/>
        <w:t>10</w:t>
      </w:r>
    </w:p>
    <w:p>
      <w:pPr>
        <w:tabs>
          <w:tab w:pos="8200" w:val="right" w:leader="dot"/>
        </w:tabs>
        <w:spacing w:lineRule="auto" w:line="240" w:before="0" w:after="0"/>
        <w:ind w:left="0"/>
      </w:pPr>
      <w:r>
        <w:rPr>
          <w:rFonts w:ascii="Times New Roman" w:hAnsi="Times New Roman" w:eastAsia="宋体"/>
          <w:b/>
          <w:sz w:val="24"/>
        </w:rPr>
        <w:t>第三章 码头总平面布置设计</w:t>
        <w:tab/>
        <w:t>11</w:t>
      </w:r>
    </w:p>
    <w:p>
      <w:pPr>
        <w:tabs>
          <w:tab w:pos="8200" w:val="right" w:leader="dot"/>
        </w:tabs>
        <w:spacing w:lineRule="auto" w:line="240" w:before="0" w:after="0"/>
        <w:ind w:left="360"/>
      </w:pPr>
      <w:r>
        <w:rPr>
          <w:rFonts w:ascii="Times New Roman" w:hAnsi="Times New Roman" w:eastAsia="宋体"/>
          <w:b w:val="0"/>
          <w:sz w:val="20"/>
        </w:rPr>
        <w:t>3.1 设计船型与核心设计参数</w:t>
        <w:tab/>
        <w:t>11</w:t>
      </w:r>
    </w:p>
    <w:p>
      <w:pPr>
        <w:tabs>
          <w:tab w:pos="8200" w:val="right" w:leader="dot"/>
        </w:tabs>
        <w:spacing w:lineRule="auto" w:line="240" w:before="0" w:after="0"/>
        <w:ind w:left="720"/>
      </w:pPr>
      <w:r>
        <w:rPr>
          <w:rFonts w:ascii="Times New Roman" w:hAnsi="Times New Roman" w:eastAsia="宋体"/>
          <w:b w:val="0"/>
          <w:sz w:val="20"/>
        </w:rPr>
        <w:t>3.1.1 设计船型确定</w:t>
        <w:tab/>
        <w:t>11</w:t>
      </w:r>
    </w:p>
    <w:p>
      <w:pPr>
        <w:tabs>
          <w:tab w:pos="8200" w:val="right" w:leader="dot"/>
        </w:tabs>
        <w:spacing w:lineRule="auto" w:line="240" w:before="0" w:after="0"/>
        <w:ind w:left="720"/>
      </w:pPr>
      <w:r>
        <w:rPr>
          <w:rFonts w:ascii="Times New Roman" w:hAnsi="Times New Roman" w:eastAsia="宋体"/>
          <w:b w:val="0"/>
          <w:sz w:val="20"/>
        </w:rPr>
        <w:t>3.1.2 作业与设计控制参数</w:t>
        <w:tab/>
        <w:t>11</w:t>
      </w:r>
    </w:p>
    <w:p>
      <w:pPr>
        <w:tabs>
          <w:tab w:pos="8200" w:val="right" w:leader="dot"/>
        </w:tabs>
        <w:spacing w:lineRule="auto" w:line="240" w:before="0" w:after="0"/>
        <w:ind w:left="360"/>
      </w:pPr>
      <w:r>
        <w:rPr>
          <w:rFonts w:ascii="Times New Roman" w:hAnsi="Times New Roman" w:eastAsia="宋体"/>
          <w:b w:val="0"/>
          <w:sz w:val="20"/>
        </w:rPr>
        <w:t>3.2 码头泊位尺度设计</w:t>
        <w:tab/>
        <w:t>11</w:t>
      </w:r>
    </w:p>
    <w:p>
      <w:pPr>
        <w:tabs>
          <w:tab w:pos="8200" w:val="right" w:leader="dot"/>
        </w:tabs>
        <w:spacing w:lineRule="auto" w:line="240" w:before="0" w:after="0"/>
        <w:ind w:left="720"/>
      </w:pPr>
      <w:r>
        <w:rPr>
          <w:rFonts w:ascii="Times New Roman" w:hAnsi="Times New Roman" w:eastAsia="宋体"/>
          <w:b w:val="0"/>
          <w:sz w:val="20"/>
        </w:rPr>
        <w:t>3.2.1 泊位长度设计</w:t>
        <w:tab/>
        <w:t>11</w:t>
      </w:r>
    </w:p>
    <w:p>
      <w:pPr>
        <w:tabs>
          <w:tab w:pos="8200" w:val="right" w:leader="dot"/>
        </w:tabs>
        <w:spacing w:lineRule="auto" w:line="240" w:before="0" w:after="0"/>
        <w:ind w:left="720"/>
      </w:pPr>
      <w:r>
        <w:rPr>
          <w:rFonts w:ascii="Times New Roman" w:hAnsi="Times New Roman" w:eastAsia="宋体"/>
          <w:b w:val="0"/>
          <w:sz w:val="20"/>
        </w:rPr>
        <w:t>3.2.2 码头面高程设计</w:t>
        <w:tab/>
        <w:t>12</w:t>
      </w:r>
    </w:p>
    <w:p>
      <w:pPr>
        <w:tabs>
          <w:tab w:pos="8200" w:val="right" w:leader="dot"/>
        </w:tabs>
        <w:spacing w:lineRule="auto" w:line="240" w:before="0" w:after="0"/>
        <w:ind w:left="720"/>
      </w:pPr>
      <w:r>
        <w:rPr>
          <w:rFonts w:ascii="Times New Roman" w:hAnsi="Times New Roman" w:eastAsia="宋体"/>
          <w:b w:val="0"/>
          <w:sz w:val="20"/>
        </w:rPr>
        <w:t>3.2.3 码头前沿水深设计</w:t>
        <w:tab/>
        <w:t>12</w:t>
      </w:r>
    </w:p>
    <w:p>
      <w:pPr>
        <w:tabs>
          <w:tab w:pos="8200" w:val="right" w:leader="dot"/>
        </w:tabs>
        <w:spacing w:lineRule="auto" w:line="240" w:before="0" w:after="0"/>
        <w:ind w:left="360"/>
      </w:pPr>
      <w:r>
        <w:rPr>
          <w:rFonts w:ascii="Times New Roman" w:hAnsi="Times New Roman" w:eastAsia="宋体"/>
          <w:b w:val="0"/>
          <w:sz w:val="20"/>
        </w:rPr>
        <w:t>3.3 水域布置设计</w:t>
        <w:tab/>
        <w:t>12</w:t>
      </w:r>
    </w:p>
    <w:p>
      <w:pPr>
        <w:tabs>
          <w:tab w:pos="8200" w:val="right" w:leader="dot"/>
        </w:tabs>
        <w:spacing w:lineRule="auto" w:line="240" w:before="0" w:after="0"/>
        <w:ind w:left="720"/>
      </w:pPr>
      <w:r>
        <w:rPr>
          <w:rFonts w:ascii="Times New Roman" w:hAnsi="Times New Roman" w:eastAsia="宋体"/>
          <w:b w:val="0"/>
          <w:sz w:val="20"/>
        </w:rPr>
        <w:t>3.3.1 停泊水域</w:t>
        <w:tab/>
        <w:t>12</w:t>
      </w:r>
    </w:p>
    <w:p>
      <w:pPr>
        <w:tabs>
          <w:tab w:pos="8200" w:val="right" w:leader="dot"/>
        </w:tabs>
        <w:spacing w:lineRule="auto" w:line="240" w:before="0" w:after="0"/>
        <w:ind w:left="720"/>
      </w:pPr>
      <w:r>
        <w:rPr>
          <w:rFonts w:ascii="Times New Roman" w:hAnsi="Times New Roman" w:eastAsia="宋体"/>
          <w:b w:val="0"/>
          <w:sz w:val="20"/>
        </w:rPr>
        <w:t>3.3.2 回旋水域</w:t>
        <w:tab/>
        <w:t>13</w:t>
      </w:r>
    </w:p>
    <w:p>
      <w:pPr>
        <w:tabs>
          <w:tab w:pos="8200" w:val="right" w:leader="dot"/>
        </w:tabs>
        <w:spacing w:lineRule="auto" w:line="240" w:before="0" w:after="0"/>
        <w:ind w:left="720"/>
      </w:pPr>
      <w:r>
        <w:rPr>
          <w:rFonts w:ascii="Times New Roman" w:hAnsi="Times New Roman" w:eastAsia="宋体"/>
          <w:b w:val="0"/>
          <w:sz w:val="20"/>
        </w:rPr>
        <w:t>3.3.3 航道设计</w:t>
        <w:tab/>
        <w:t>13</w:t>
      </w:r>
    </w:p>
    <w:p>
      <w:pPr>
        <w:tabs>
          <w:tab w:pos="8200" w:val="right" w:leader="dot"/>
        </w:tabs>
        <w:spacing w:lineRule="auto" w:line="240" w:before="0" w:after="0"/>
        <w:ind w:left="720"/>
      </w:pPr>
      <w:r>
        <w:rPr>
          <w:rFonts w:ascii="Times New Roman" w:hAnsi="Times New Roman" w:eastAsia="宋体"/>
          <w:b w:val="0"/>
          <w:sz w:val="20"/>
        </w:rPr>
        <w:t>3.3.4 锚地设计</w:t>
        <w:tab/>
        <w:t>13</w:t>
      </w:r>
    </w:p>
    <w:p>
      <w:pPr>
        <w:tabs>
          <w:tab w:pos="8200" w:val="right" w:leader="dot"/>
        </w:tabs>
        <w:spacing w:lineRule="auto" w:line="240" w:before="0" w:after="0"/>
        <w:ind w:left="360"/>
      </w:pPr>
      <w:r>
        <w:rPr>
          <w:rFonts w:ascii="Times New Roman" w:hAnsi="Times New Roman" w:eastAsia="宋体"/>
          <w:b w:val="0"/>
          <w:sz w:val="20"/>
        </w:rPr>
        <w:t>3.4 陆域布置设计</w:t>
        <w:tab/>
        <w:t>14</w:t>
      </w:r>
    </w:p>
    <w:p>
      <w:pPr>
        <w:tabs>
          <w:tab w:pos="8200" w:val="right" w:leader="dot"/>
        </w:tabs>
        <w:spacing w:lineRule="auto" w:line="240" w:before="0" w:after="0"/>
        <w:ind w:left="720"/>
      </w:pPr>
      <w:r>
        <w:rPr>
          <w:rFonts w:ascii="Times New Roman" w:hAnsi="Times New Roman" w:eastAsia="宋体"/>
          <w:b w:val="0"/>
          <w:sz w:val="20"/>
        </w:rPr>
        <w:t>3.4.1 前方作业区</w:t>
        <w:tab/>
        <w:t>14</w:t>
      </w:r>
    </w:p>
    <w:p>
      <w:pPr>
        <w:tabs>
          <w:tab w:pos="8200" w:val="right" w:leader="dot"/>
        </w:tabs>
        <w:spacing w:lineRule="auto" w:line="240" w:before="0" w:after="0"/>
        <w:ind w:left="720"/>
      </w:pPr>
      <w:r>
        <w:rPr>
          <w:rFonts w:ascii="Times New Roman" w:hAnsi="Times New Roman" w:eastAsia="宋体"/>
          <w:b w:val="0"/>
          <w:sz w:val="20"/>
        </w:rPr>
        <w:t>3.4.2 煤炭堆场区</w:t>
        <w:tab/>
        <w:t>14</w:t>
      </w:r>
    </w:p>
    <w:p>
      <w:pPr>
        <w:tabs>
          <w:tab w:pos="8200" w:val="right" w:leader="dot"/>
        </w:tabs>
        <w:spacing w:lineRule="auto" w:line="240" w:before="0" w:after="0"/>
        <w:ind w:left="720"/>
      </w:pPr>
      <w:r>
        <w:rPr>
          <w:rFonts w:ascii="Times New Roman" w:hAnsi="Times New Roman" w:eastAsia="宋体"/>
          <w:b w:val="0"/>
          <w:sz w:val="20"/>
        </w:rPr>
        <w:t>3.4.3 生产辅助区</w:t>
        <w:tab/>
        <w:t>14</w:t>
      </w:r>
    </w:p>
    <w:p>
      <w:pPr>
        <w:tabs>
          <w:tab w:pos="8200" w:val="right" w:leader="dot"/>
        </w:tabs>
        <w:spacing w:lineRule="auto" w:line="240" w:before="0" w:after="0"/>
        <w:ind w:left="360"/>
      </w:pPr>
      <w:r>
        <w:rPr>
          <w:rFonts w:ascii="Times New Roman" w:hAnsi="Times New Roman" w:eastAsia="宋体"/>
          <w:b w:val="0"/>
          <w:sz w:val="20"/>
        </w:rPr>
        <w:t>3.5 总平面布置方案合理性分析</w:t>
        <w:tab/>
        <w:t>15</w:t>
      </w:r>
    </w:p>
    <w:p>
      <w:pPr>
        <w:tabs>
          <w:tab w:pos="8200" w:val="right" w:leader="dot"/>
        </w:tabs>
        <w:spacing w:lineRule="auto" w:line="240" w:before="0" w:after="0"/>
        <w:ind w:left="360"/>
      </w:pPr>
      <w:r>
        <w:rPr>
          <w:rFonts w:ascii="Times New Roman" w:hAnsi="Times New Roman" w:eastAsia="宋体"/>
          <w:b w:val="0"/>
          <w:sz w:val="20"/>
        </w:rPr>
        <w:t>3.6 本章小结</w:t>
        <w:tab/>
        <w:t>16</w:t>
      </w:r>
    </w:p>
    <w:p>
      <w:pPr>
        <w:tabs>
          <w:tab w:pos="8200" w:val="right" w:leader="dot"/>
        </w:tabs>
        <w:spacing w:lineRule="auto" w:line="240" w:before="0" w:after="0"/>
        <w:ind w:left="0"/>
      </w:pPr>
      <w:r>
        <w:rPr>
          <w:rFonts w:ascii="Times New Roman" w:hAnsi="Times New Roman" w:eastAsia="宋体"/>
          <w:b/>
          <w:sz w:val="24"/>
        </w:rPr>
        <w:t>第四章 装卸工艺设计与设备选型</w:t>
        <w:tab/>
        <w:t>17</w:t>
      </w:r>
    </w:p>
    <w:p>
      <w:pPr>
        <w:tabs>
          <w:tab w:pos="8200" w:val="right" w:leader="dot"/>
        </w:tabs>
        <w:spacing w:lineRule="auto" w:line="240" w:before="0" w:after="0"/>
        <w:ind w:left="360"/>
      </w:pPr>
      <w:r>
        <w:rPr>
          <w:rFonts w:ascii="Times New Roman" w:hAnsi="Times New Roman" w:eastAsia="宋体"/>
          <w:b w:val="0"/>
          <w:sz w:val="20"/>
        </w:rPr>
        <w:t>4.1 装卸工艺设计原则与工艺流程确定</w:t>
        <w:tab/>
        <w:t>17</w:t>
      </w:r>
    </w:p>
    <w:p>
      <w:pPr>
        <w:tabs>
          <w:tab w:pos="8200" w:val="right" w:leader="dot"/>
        </w:tabs>
        <w:spacing w:lineRule="auto" w:line="240" w:before="0" w:after="0"/>
        <w:ind w:left="720"/>
      </w:pPr>
      <w:r>
        <w:rPr>
          <w:rFonts w:ascii="Times New Roman" w:hAnsi="Times New Roman" w:eastAsia="宋体"/>
          <w:b w:val="0"/>
          <w:sz w:val="20"/>
        </w:rPr>
        <w:t>4.1.1 设计原则</w:t>
        <w:tab/>
        <w:t>17</w:t>
      </w:r>
    </w:p>
    <w:p>
      <w:pPr>
        <w:tabs>
          <w:tab w:pos="8200" w:val="right" w:leader="dot"/>
        </w:tabs>
        <w:spacing w:lineRule="auto" w:line="240" w:before="0" w:after="0"/>
        <w:ind w:left="720"/>
      </w:pPr>
      <w:r>
        <w:rPr>
          <w:rFonts w:ascii="Times New Roman" w:hAnsi="Times New Roman" w:eastAsia="宋体"/>
          <w:b w:val="0"/>
          <w:sz w:val="20"/>
        </w:rPr>
        <w:t>4.1.2 工艺流程确定</w:t>
        <w:tab/>
        <w:t>17</w:t>
      </w:r>
    </w:p>
    <w:p>
      <w:pPr>
        <w:tabs>
          <w:tab w:pos="8200" w:val="right" w:leader="dot"/>
        </w:tabs>
        <w:spacing w:lineRule="auto" w:line="240" w:before="0" w:after="0"/>
        <w:ind w:left="360"/>
      </w:pPr>
      <w:r>
        <w:rPr>
          <w:rFonts w:ascii="Times New Roman" w:hAnsi="Times New Roman" w:eastAsia="宋体"/>
          <w:b w:val="0"/>
          <w:sz w:val="20"/>
        </w:rPr>
        <w:t>4.2 装卸能力计算</w:t>
        <w:tab/>
        <w:t>18</w:t>
      </w:r>
    </w:p>
    <w:p>
      <w:pPr>
        <w:tabs>
          <w:tab w:pos="8200" w:val="right" w:leader="dot"/>
        </w:tabs>
        <w:spacing w:lineRule="auto" w:line="240" w:before="0" w:after="0"/>
        <w:ind w:left="720"/>
      </w:pPr>
      <w:r>
        <w:rPr>
          <w:rFonts w:ascii="Times New Roman" w:hAnsi="Times New Roman" w:eastAsia="宋体"/>
          <w:b w:val="0"/>
          <w:sz w:val="20"/>
        </w:rPr>
        <w:t>4.2.1 设计吞吐量</w:t>
        <w:tab/>
        <w:t>18</w:t>
      </w:r>
    </w:p>
    <w:p>
      <w:pPr>
        <w:tabs>
          <w:tab w:pos="8200" w:val="right" w:leader="dot"/>
        </w:tabs>
        <w:spacing w:lineRule="auto" w:line="240" w:before="0" w:after="0"/>
        <w:ind w:left="720"/>
      </w:pPr>
      <w:r>
        <w:rPr>
          <w:rFonts w:ascii="Times New Roman" w:hAnsi="Times New Roman" w:eastAsia="宋体"/>
          <w:b w:val="0"/>
          <w:sz w:val="20"/>
        </w:rPr>
        <w:t>4.2.2 作业效率计算</w:t>
        <w:tab/>
        <w:t>18</w:t>
      </w:r>
    </w:p>
    <w:p>
      <w:pPr>
        <w:tabs>
          <w:tab w:pos="8200" w:val="right" w:leader="dot"/>
        </w:tabs>
        <w:spacing w:lineRule="auto" w:line="240" w:before="0" w:after="0"/>
        <w:ind w:left="360"/>
      </w:pPr>
      <w:r>
        <w:rPr>
          <w:rFonts w:ascii="Times New Roman" w:hAnsi="Times New Roman" w:eastAsia="宋体"/>
          <w:b w:val="0"/>
          <w:sz w:val="20"/>
        </w:rPr>
        <w:t>4.3 主要装卸设备选型</w:t>
        <w:tab/>
        <w:t>19</w:t>
      </w:r>
    </w:p>
    <w:p>
      <w:pPr>
        <w:tabs>
          <w:tab w:pos="8200" w:val="right" w:leader="dot"/>
        </w:tabs>
        <w:spacing w:lineRule="auto" w:line="240" w:before="0" w:after="0"/>
        <w:ind w:left="720"/>
      </w:pPr>
      <w:r>
        <w:rPr>
          <w:rFonts w:ascii="Times New Roman" w:hAnsi="Times New Roman" w:eastAsia="宋体"/>
          <w:b w:val="0"/>
          <w:sz w:val="20"/>
        </w:rPr>
        <w:t>4.3.1 卸船设备选型</w:t>
        <w:tab/>
        <w:t>19</w:t>
      </w:r>
    </w:p>
    <w:p>
      <w:pPr>
        <w:tabs>
          <w:tab w:pos="8200" w:val="right" w:leader="dot"/>
        </w:tabs>
        <w:spacing w:lineRule="auto" w:line="240" w:before="0" w:after="0"/>
        <w:ind w:left="720"/>
      </w:pPr>
      <w:r>
        <w:rPr>
          <w:rFonts w:ascii="Times New Roman" w:hAnsi="Times New Roman" w:eastAsia="宋体"/>
          <w:b w:val="0"/>
          <w:sz w:val="20"/>
        </w:rPr>
        <w:t>4.3.2 水平输送设备选型</w:t>
        <w:tab/>
        <w:t>19</w:t>
      </w:r>
    </w:p>
    <w:p>
      <w:pPr>
        <w:tabs>
          <w:tab w:pos="8200" w:val="right" w:leader="dot"/>
        </w:tabs>
        <w:spacing w:lineRule="auto" w:line="240" w:before="0" w:after="0"/>
        <w:ind w:left="720"/>
      </w:pPr>
      <w:r>
        <w:rPr>
          <w:rFonts w:ascii="Times New Roman" w:hAnsi="Times New Roman" w:eastAsia="宋体"/>
          <w:b w:val="0"/>
          <w:sz w:val="20"/>
        </w:rPr>
        <w:t>4.3.3 堆取料设备选型</w:t>
        <w:tab/>
        <w:t>19</w:t>
      </w:r>
    </w:p>
    <w:p>
      <w:pPr>
        <w:tabs>
          <w:tab w:pos="8200" w:val="right" w:leader="dot"/>
        </w:tabs>
        <w:spacing w:lineRule="auto" w:line="240" w:before="0" w:after="0"/>
        <w:ind w:left="720"/>
      </w:pPr>
      <w:r>
        <w:rPr>
          <w:rFonts w:ascii="Times New Roman" w:hAnsi="Times New Roman" w:eastAsia="宋体"/>
          <w:b w:val="0"/>
          <w:sz w:val="20"/>
        </w:rPr>
        <w:t>4.3.4 辅助设备配置</w:t>
        <w:tab/>
        <w:t>20</w:t>
      </w:r>
    </w:p>
    <w:p>
      <w:pPr>
        <w:tabs>
          <w:tab w:pos="8200" w:val="right" w:leader="dot"/>
        </w:tabs>
        <w:spacing w:lineRule="auto" w:line="240" w:before="0" w:after="0"/>
        <w:ind w:left="360"/>
      </w:pPr>
      <w:r>
        <w:rPr>
          <w:rFonts w:ascii="Times New Roman" w:hAnsi="Times New Roman" w:eastAsia="宋体"/>
          <w:b w:val="0"/>
          <w:sz w:val="20"/>
        </w:rPr>
        <w:t>4.4 库场容量与面积计算</w:t>
        <w:tab/>
        <w:t>20</w:t>
      </w:r>
    </w:p>
    <w:p>
      <w:pPr>
        <w:tabs>
          <w:tab w:pos="8200" w:val="right" w:leader="dot"/>
        </w:tabs>
        <w:spacing w:lineRule="auto" w:line="240" w:before="0" w:after="0"/>
        <w:ind w:left="720"/>
      </w:pPr>
      <w:r>
        <w:rPr>
          <w:rFonts w:ascii="Times New Roman" w:hAnsi="Times New Roman" w:eastAsia="宋体"/>
          <w:b w:val="0"/>
          <w:sz w:val="20"/>
        </w:rPr>
        <w:t>4.4.1 库场设计原则</w:t>
        <w:tab/>
        <w:t>20</w:t>
      </w:r>
    </w:p>
    <w:p>
      <w:pPr>
        <w:tabs>
          <w:tab w:pos="8200" w:val="right" w:leader="dot"/>
        </w:tabs>
        <w:spacing w:lineRule="auto" w:line="240" w:before="0" w:after="0"/>
        <w:ind w:left="720"/>
      </w:pPr>
      <w:r>
        <w:rPr>
          <w:rFonts w:ascii="Times New Roman" w:hAnsi="Times New Roman" w:eastAsia="宋体"/>
          <w:b w:val="0"/>
          <w:sz w:val="20"/>
        </w:rPr>
        <w:t>4.4.2 堆场容量计算</w:t>
        <w:tab/>
        <w:t>21</w:t>
      </w:r>
    </w:p>
    <w:p>
      <w:pPr>
        <w:tabs>
          <w:tab w:pos="8200" w:val="right" w:leader="dot"/>
        </w:tabs>
        <w:spacing w:lineRule="auto" w:line="240" w:before="0" w:after="0"/>
        <w:ind w:left="720"/>
      </w:pPr>
      <w:r>
        <w:rPr>
          <w:rFonts w:ascii="Times New Roman" w:hAnsi="Times New Roman" w:eastAsia="宋体"/>
          <w:b w:val="0"/>
          <w:sz w:val="20"/>
        </w:rPr>
        <w:t>4.4.3 堆场面积计算</w:t>
        <w:tab/>
        <w:t>21</w:t>
      </w:r>
    </w:p>
    <w:p>
      <w:pPr>
        <w:tabs>
          <w:tab w:pos="8200" w:val="right" w:leader="dot"/>
        </w:tabs>
        <w:spacing w:lineRule="auto" w:line="240" w:before="0" w:after="0"/>
        <w:ind w:left="360"/>
      </w:pPr>
      <w:r>
        <w:rPr>
          <w:rFonts w:ascii="Times New Roman" w:hAnsi="Times New Roman" w:eastAsia="宋体"/>
          <w:b w:val="0"/>
          <w:sz w:val="20"/>
        </w:rPr>
        <w:t>4.5 装卸工艺系统合理性分析</w:t>
        <w:tab/>
        <w:t>21</w:t>
      </w:r>
    </w:p>
    <w:p>
      <w:pPr>
        <w:tabs>
          <w:tab w:pos="8200" w:val="right" w:leader="dot"/>
        </w:tabs>
        <w:spacing w:lineRule="auto" w:line="240" w:before="0" w:after="0"/>
        <w:ind w:left="360"/>
      </w:pPr>
      <w:r>
        <w:rPr>
          <w:rFonts w:ascii="Times New Roman" w:hAnsi="Times New Roman" w:eastAsia="宋体"/>
          <w:b w:val="0"/>
          <w:sz w:val="20"/>
        </w:rPr>
        <w:t>4.6 本章小结</w:t>
        <w:tab/>
        <w:t>22</w:t>
      </w:r>
    </w:p>
    <w:p>
      <w:pPr>
        <w:tabs>
          <w:tab w:pos="8200" w:val="right" w:leader="dot"/>
        </w:tabs>
        <w:spacing w:lineRule="auto" w:line="240" w:before="0" w:after="0"/>
        <w:ind w:left="0"/>
      </w:pPr>
      <w:r>
        <w:rPr>
          <w:rFonts w:ascii="Times New Roman" w:hAnsi="Times New Roman" w:eastAsia="宋体"/>
          <w:b/>
          <w:sz w:val="24"/>
        </w:rPr>
        <w:t>第五章 码头结构选型</w:t>
        <w:tab/>
        <w:t>23</w:t>
      </w:r>
    </w:p>
    <w:p>
      <w:pPr>
        <w:tabs>
          <w:tab w:pos="8200" w:val="right" w:leader="dot"/>
        </w:tabs>
        <w:spacing w:lineRule="auto" w:line="240" w:before="0" w:after="0"/>
        <w:ind w:left="360"/>
      </w:pPr>
      <w:r>
        <w:rPr>
          <w:rFonts w:ascii="Times New Roman" w:hAnsi="Times New Roman" w:eastAsia="宋体"/>
          <w:b w:val="0"/>
          <w:sz w:val="20"/>
        </w:rPr>
        <w:t>5.1 工程条件与结构选型依据</w:t>
        <w:tab/>
        <w:t>23</w:t>
      </w:r>
    </w:p>
    <w:p>
      <w:pPr>
        <w:tabs>
          <w:tab w:pos="8200" w:val="right" w:leader="dot"/>
        </w:tabs>
        <w:spacing w:lineRule="auto" w:line="240" w:before="0" w:after="0"/>
        <w:ind w:left="360"/>
      </w:pPr>
      <w:r>
        <w:rPr>
          <w:rFonts w:ascii="Times New Roman" w:hAnsi="Times New Roman" w:eastAsia="宋体"/>
          <w:b w:val="0"/>
          <w:sz w:val="20"/>
        </w:rPr>
        <w:t>5.2 方案一：高桩梁板式结构</w:t>
        <w:tab/>
        <w:t>23</w:t>
      </w:r>
    </w:p>
    <w:p>
      <w:pPr>
        <w:tabs>
          <w:tab w:pos="8200" w:val="right" w:leader="dot"/>
        </w:tabs>
        <w:spacing w:lineRule="auto" w:line="240" w:before="0" w:after="0"/>
        <w:ind w:left="720"/>
      </w:pPr>
      <w:r>
        <w:rPr>
          <w:rFonts w:ascii="Times New Roman" w:hAnsi="Times New Roman" w:eastAsia="宋体"/>
          <w:b w:val="0"/>
          <w:sz w:val="20"/>
        </w:rPr>
        <w:t>5.2.1 结构布置</w:t>
        <w:tab/>
        <w:t>23</w:t>
      </w:r>
    </w:p>
    <w:p>
      <w:pPr>
        <w:tabs>
          <w:tab w:pos="8200" w:val="right" w:leader="dot"/>
        </w:tabs>
        <w:spacing w:lineRule="auto" w:line="240" w:before="0" w:after="0"/>
        <w:ind w:left="720"/>
      </w:pPr>
      <w:r>
        <w:rPr>
          <w:rFonts w:ascii="Times New Roman" w:hAnsi="Times New Roman" w:eastAsia="宋体"/>
          <w:b w:val="0"/>
          <w:sz w:val="20"/>
        </w:rPr>
        <w:t>5.2.2 方案特点</w:t>
        <w:tab/>
        <w:t>24</w:t>
      </w:r>
    </w:p>
    <w:p>
      <w:pPr>
        <w:tabs>
          <w:tab w:pos="8200" w:val="right" w:leader="dot"/>
        </w:tabs>
        <w:spacing w:lineRule="auto" w:line="240" w:before="0" w:after="0"/>
        <w:ind w:left="360"/>
      </w:pPr>
      <w:r>
        <w:rPr>
          <w:rFonts w:ascii="Times New Roman" w:hAnsi="Times New Roman" w:eastAsia="宋体"/>
          <w:b w:val="0"/>
          <w:sz w:val="20"/>
        </w:rPr>
        <w:t>5.3 方案二：重力式沉箱结构</w:t>
        <w:tab/>
        <w:t>25</w:t>
      </w:r>
    </w:p>
    <w:p>
      <w:pPr>
        <w:tabs>
          <w:tab w:pos="8200" w:val="right" w:leader="dot"/>
        </w:tabs>
        <w:spacing w:lineRule="auto" w:line="240" w:before="0" w:after="0"/>
        <w:ind w:left="720"/>
      </w:pPr>
      <w:r>
        <w:rPr>
          <w:rFonts w:ascii="Times New Roman" w:hAnsi="Times New Roman" w:eastAsia="宋体"/>
          <w:b w:val="0"/>
          <w:sz w:val="20"/>
        </w:rPr>
        <w:t>5.3.1 结构布置</w:t>
        <w:tab/>
        <w:t>25</w:t>
      </w:r>
    </w:p>
    <w:p>
      <w:pPr>
        <w:tabs>
          <w:tab w:pos="8200" w:val="right" w:leader="dot"/>
        </w:tabs>
        <w:spacing w:lineRule="auto" w:line="240" w:before="0" w:after="0"/>
        <w:ind w:left="720"/>
      </w:pPr>
      <w:r>
        <w:rPr>
          <w:rFonts w:ascii="Times New Roman" w:hAnsi="Times New Roman" w:eastAsia="宋体"/>
          <w:b w:val="0"/>
          <w:sz w:val="20"/>
        </w:rPr>
        <w:t>5.3.2 方案特点</w:t>
        <w:tab/>
        <w:t>25</w:t>
      </w:r>
    </w:p>
    <w:p>
      <w:pPr>
        <w:tabs>
          <w:tab w:pos="8200" w:val="right" w:leader="dot"/>
        </w:tabs>
        <w:spacing w:lineRule="auto" w:line="240" w:before="0" w:after="0"/>
        <w:ind w:left="360"/>
      </w:pPr>
      <w:r>
        <w:rPr>
          <w:rFonts w:ascii="Times New Roman" w:hAnsi="Times New Roman" w:eastAsia="宋体"/>
          <w:b w:val="0"/>
          <w:sz w:val="20"/>
        </w:rPr>
        <w:t>5.4 结构方案比选</w:t>
        <w:tab/>
        <w:t>27</w:t>
      </w:r>
    </w:p>
    <w:p>
      <w:pPr>
        <w:tabs>
          <w:tab w:pos="8200" w:val="right" w:leader="dot"/>
        </w:tabs>
        <w:spacing w:lineRule="auto" w:line="240" w:before="0" w:after="0"/>
        <w:ind w:left="720"/>
      </w:pPr>
      <w:r>
        <w:rPr>
          <w:rFonts w:ascii="Times New Roman" w:hAnsi="Times New Roman" w:eastAsia="宋体"/>
          <w:b w:val="0"/>
          <w:sz w:val="20"/>
        </w:rPr>
        <w:t>5.4.1 技术可行性比选</w:t>
        <w:tab/>
        <w:t>27</w:t>
      </w:r>
    </w:p>
    <w:p>
      <w:pPr>
        <w:tabs>
          <w:tab w:pos="8200" w:val="right" w:leader="dot"/>
        </w:tabs>
        <w:spacing w:lineRule="auto" w:line="240" w:before="0" w:after="0"/>
        <w:ind w:left="720"/>
      </w:pPr>
      <w:r>
        <w:rPr>
          <w:rFonts w:ascii="Times New Roman" w:hAnsi="Times New Roman" w:eastAsia="宋体"/>
          <w:b w:val="0"/>
          <w:sz w:val="20"/>
        </w:rPr>
        <w:t>5.4.2 经济性比选</w:t>
        <w:tab/>
        <w:t>28</w:t>
      </w:r>
    </w:p>
    <w:p>
      <w:pPr>
        <w:tabs>
          <w:tab w:pos="8200" w:val="right" w:leader="dot"/>
        </w:tabs>
        <w:spacing w:lineRule="auto" w:line="240" w:before="0" w:after="0"/>
        <w:ind w:left="720"/>
      </w:pPr>
      <w:r>
        <w:rPr>
          <w:rFonts w:ascii="Times New Roman" w:hAnsi="Times New Roman" w:eastAsia="宋体"/>
          <w:b w:val="0"/>
          <w:sz w:val="20"/>
        </w:rPr>
        <w:t>5.4.3 推荐方案</w:t>
        <w:tab/>
        <w:t>29</w:t>
      </w:r>
    </w:p>
    <w:p>
      <w:pPr>
        <w:tabs>
          <w:tab w:pos="8200" w:val="right" w:leader="dot"/>
        </w:tabs>
        <w:spacing w:lineRule="auto" w:line="240" w:before="0" w:after="0"/>
        <w:ind w:left="360"/>
      </w:pPr>
      <w:r>
        <w:rPr>
          <w:rFonts w:ascii="Times New Roman" w:hAnsi="Times New Roman" w:eastAsia="宋体"/>
          <w:b w:val="0"/>
          <w:sz w:val="20"/>
        </w:rPr>
        <w:t>5.5 本章小结</w:t>
        <w:tab/>
        <w:t>30</w:t>
      </w:r>
    </w:p>
    <w:p>
      <w:pPr>
        <w:tabs>
          <w:tab w:pos="8200" w:val="right" w:leader="dot"/>
        </w:tabs>
        <w:spacing w:lineRule="auto" w:line="240" w:before="0" w:after="0"/>
        <w:ind w:left="0"/>
      </w:pPr>
      <w:r>
        <w:rPr>
          <w:rFonts w:ascii="Times New Roman" w:hAnsi="Times New Roman" w:eastAsia="宋体"/>
          <w:b/>
          <w:sz w:val="24"/>
        </w:rPr>
        <w:t>第六章 推荐方案结构计算</w:t>
        <w:tab/>
        <w:t>31</w:t>
      </w:r>
    </w:p>
    <w:p>
      <w:pPr>
        <w:tabs>
          <w:tab w:pos="8200" w:val="right" w:leader="dot"/>
        </w:tabs>
        <w:spacing w:lineRule="auto" w:line="240" w:before="0" w:after="0"/>
        <w:ind w:left="360"/>
      </w:pPr>
      <w:r>
        <w:rPr>
          <w:rFonts w:ascii="Times New Roman" w:hAnsi="Times New Roman" w:eastAsia="宋体"/>
          <w:b w:val="0"/>
          <w:sz w:val="20"/>
        </w:rPr>
        <w:t>6.1 结构计算原则与计算单元</w:t>
        <w:tab/>
        <w:t>31</w:t>
      </w:r>
    </w:p>
    <w:p>
      <w:pPr>
        <w:tabs>
          <w:tab w:pos="8200" w:val="right" w:leader="dot"/>
        </w:tabs>
        <w:spacing w:lineRule="auto" w:line="240" w:before="0" w:after="0"/>
        <w:ind w:left="720"/>
      </w:pPr>
      <w:r>
        <w:rPr>
          <w:rFonts w:ascii="Times New Roman" w:hAnsi="Times New Roman" w:eastAsia="宋体"/>
          <w:b w:val="0"/>
          <w:sz w:val="20"/>
        </w:rPr>
        <w:t>6.1.1 设计依据</w:t>
        <w:tab/>
        <w:t>31</w:t>
      </w:r>
    </w:p>
    <w:p>
      <w:pPr>
        <w:tabs>
          <w:tab w:pos="8200" w:val="right" w:leader="dot"/>
        </w:tabs>
        <w:spacing w:lineRule="auto" w:line="240" w:before="0" w:after="0"/>
        <w:ind w:left="720"/>
      </w:pPr>
      <w:r>
        <w:rPr>
          <w:rFonts w:ascii="Times New Roman" w:hAnsi="Times New Roman" w:eastAsia="宋体"/>
          <w:b w:val="0"/>
          <w:sz w:val="20"/>
        </w:rPr>
        <w:t>6.1.2 计算工况与荷载组合</w:t>
        <w:tab/>
        <w:t>31</w:t>
      </w:r>
    </w:p>
    <w:p>
      <w:pPr>
        <w:tabs>
          <w:tab w:pos="8200" w:val="right" w:leader="dot"/>
        </w:tabs>
        <w:spacing w:lineRule="auto" w:line="240" w:before="0" w:after="0"/>
        <w:ind w:left="720"/>
      </w:pPr>
      <w:r>
        <w:rPr>
          <w:rFonts w:ascii="Times New Roman" w:hAnsi="Times New Roman" w:eastAsia="宋体"/>
          <w:b w:val="0"/>
          <w:sz w:val="20"/>
        </w:rPr>
        <w:t>6.1.3 计算单元确定</w:t>
        <w:tab/>
        <w:t>32</w:t>
      </w:r>
    </w:p>
    <w:p>
      <w:pPr>
        <w:tabs>
          <w:tab w:pos="8200" w:val="right" w:leader="dot"/>
        </w:tabs>
        <w:spacing w:lineRule="auto" w:line="240" w:before="0" w:after="0"/>
        <w:ind w:left="360"/>
      </w:pPr>
      <w:r>
        <w:rPr>
          <w:rFonts w:ascii="Times New Roman" w:hAnsi="Times New Roman" w:eastAsia="宋体"/>
          <w:b w:val="0"/>
          <w:sz w:val="20"/>
        </w:rPr>
        <w:t>6.2 码头结构布置与构件尺寸</w:t>
        <w:tab/>
        <w:t>32</w:t>
      </w:r>
    </w:p>
    <w:p>
      <w:pPr>
        <w:tabs>
          <w:tab w:pos="8200" w:val="right" w:leader="dot"/>
        </w:tabs>
        <w:spacing w:lineRule="auto" w:line="240" w:before="0" w:after="0"/>
        <w:ind w:left="720"/>
      </w:pPr>
      <w:r>
        <w:rPr>
          <w:rFonts w:ascii="Times New Roman" w:hAnsi="Times New Roman" w:eastAsia="宋体"/>
          <w:b w:val="0"/>
          <w:sz w:val="20"/>
        </w:rPr>
        <w:t>6.2.1 平面布置</w:t>
        <w:tab/>
        <w:t>32</w:t>
      </w:r>
    </w:p>
    <w:p>
      <w:pPr>
        <w:tabs>
          <w:tab w:pos="8200" w:val="right" w:leader="dot"/>
        </w:tabs>
        <w:spacing w:lineRule="auto" w:line="240" w:before="0" w:after="0"/>
        <w:ind w:left="720"/>
      </w:pPr>
      <w:r>
        <w:rPr>
          <w:rFonts w:ascii="Times New Roman" w:hAnsi="Times New Roman" w:eastAsia="宋体"/>
          <w:b w:val="0"/>
          <w:sz w:val="20"/>
        </w:rPr>
        <w:t>6.2.2 断面布置</w:t>
        <w:tab/>
        <w:t>33</w:t>
      </w:r>
    </w:p>
    <w:p>
      <w:pPr>
        <w:tabs>
          <w:tab w:pos="8200" w:val="right" w:leader="dot"/>
        </w:tabs>
        <w:spacing w:lineRule="auto" w:line="240" w:before="0" w:after="0"/>
        <w:ind w:left="720"/>
      </w:pPr>
      <w:r>
        <w:rPr>
          <w:rFonts w:ascii="Times New Roman" w:hAnsi="Times New Roman" w:eastAsia="宋体"/>
          <w:b w:val="0"/>
          <w:sz w:val="20"/>
        </w:rPr>
        <w:t>6.2.3 主要构件尺寸拟定</w:t>
        <w:tab/>
        <w:t>34</w:t>
      </w:r>
    </w:p>
    <w:p>
      <w:pPr>
        <w:tabs>
          <w:tab w:pos="8200" w:val="right" w:leader="dot"/>
        </w:tabs>
        <w:spacing w:lineRule="auto" w:line="240" w:before="0" w:after="0"/>
        <w:ind w:left="360"/>
      </w:pPr>
      <w:r>
        <w:rPr>
          <w:rFonts w:ascii="Times New Roman" w:hAnsi="Times New Roman" w:eastAsia="宋体"/>
          <w:b w:val="0"/>
          <w:sz w:val="20"/>
        </w:rPr>
        <w:t>6.3 作用与荷载计算</w:t>
        <w:tab/>
        <w:t>35</w:t>
      </w:r>
    </w:p>
    <w:p>
      <w:pPr>
        <w:tabs>
          <w:tab w:pos="8200" w:val="right" w:leader="dot"/>
        </w:tabs>
        <w:spacing w:lineRule="auto" w:line="240" w:before="0" w:after="0"/>
        <w:ind w:left="720"/>
      </w:pPr>
      <w:r>
        <w:rPr>
          <w:rFonts w:ascii="Times New Roman" w:hAnsi="Times New Roman" w:eastAsia="宋体"/>
          <w:b w:val="0"/>
          <w:sz w:val="20"/>
        </w:rPr>
        <w:t>6.3.1 永久作用</w:t>
        <w:tab/>
        <w:t>35</w:t>
      </w:r>
    </w:p>
    <w:p>
      <w:pPr>
        <w:tabs>
          <w:tab w:pos="8200" w:val="right" w:leader="dot"/>
        </w:tabs>
        <w:spacing w:lineRule="auto" w:line="240" w:before="0" w:after="0"/>
        <w:ind w:left="720"/>
      </w:pPr>
      <w:r>
        <w:rPr>
          <w:rFonts w:ascii="Times New Roman" w:hAnsi="Times New Roman" w:eastAsia="宋体"/>
          <w:b w:val="0"/>
          <w:sz w:val="20"/>
        </w:rPr>
        <w:t>6.3.2 堆货与设备荷载</w:t>
        <w:tab/>
        <w:t>36</w:t>
      </w:r>
    </w:p>
    <w:p>
      <w:pPr>
        <w:tabs>
          <w:tab w:pos="8200" w:val="right" w:leader="dot"/>
        </w:tabs>
        <w:spacing w:lineRule="auto" w:line="240" w:before="0" w:after="0"/>
        <w:ind w:left="720"/>
      </w:pPr>
      <w:r>
        <w:rPr>
          <w:rFonts w:ascii="Times New Roman" w:hAnsi="Times New Roman" w:eastAsia="宋体"/>
          <w:b w:val="0"/>
          <w:sz w:val="20"/>
        </w:rPr>
        <w:t>6.3.3 船舶撞击力</w:t>
        <w:tab/>
        <w:t>36</w:t>
      </w:r>
    </w:p>
    <w:p>
      <w:pPr>
        <w:tabs>
          <w:tab w:pos="8200" w:val="right" w:leader="dot"/>
        </w:tabs>
        <w:spacing w:lineRule="auto" w:line="240" w:before="0" w:after="0"/>
        <w:ind w:left="720"/>
      </w:pPr>
      <w:r>
        <w:rPr>
          <w:rFonts w:ascii="Times New Roman" w:hAnsi="Times New Roman" w:eastAsia="宋体"/>
          <w:b w:val="0"/>
          <w:sz w:val="20"/>
        </w:rPr>
        <w:t>6.3.4 系缆力</w:t>
        <w:tab/>
        <w:t>36</w:t>
      </w:r>
    </w:p>
    <w:p>
      <w:pPr>
        <w:tabs>
          <w:tab w:pos="8200" w:val="right" w:leader="dot"/>
        </w:tabs>
        <w:spacing w:lineRule="auto" w:line="240" w:before="0" w:after="0"/>
        <w:ind w:left="720"/>
      </w:pPr>
      <w:r>
        <w:rPr>
          <w:rFonts w:ascii="Times New Roman" w:hAnsi="Times New Roman" w:eastAsia="宋体"/>
          <w:b w:val="0"/>
          <w:sz w:val="20"/>
        </w:rPr>
        <w:t>6.3.5 作用效应组合</w:t>
        <w:tab/>
        <w:t>36</w:t>
      </w:r>
    </w:p>
    <w:p>
      <w:pPr>
        <w:tabs>
          <w:tab w:pos="8200" w:val="right" w:leader="dot"/>
        </w:tabs>
        <w:spacing w:lineRule="auto" w:line="240" w:before="0" w:after="0"/>
        <w:ind w:left="360"/>
      </w:pPr>
      <w:r>
        <w:rPr>
          <w:rFonts w:ascii="Times New Roman" w:hAnsi="Times New Roman" w:eastAsia="宋体"/>
          <w:b w:val="0"/>
          <w:sz w:val="20"/>
        </w:rPr>
        <w:t>6.4 面板计算</w:t>
        <w:tab/>
        <w:t>38</w:t>
      </w:r>
    </w:p>
    <w:p>
      <w:pPr>
        <w:tabs>
          <w:tab w:pos="8200" w:val="right" w:leader="dot"/>
        </w:tabs>
        <w:spacing w:lineRule="auto" w:line="240" w:before="0" w:after="0"/>
        <w:ind w:left="720"/>
      </w:pPr>
      <w:r>
        <w:rPr>
          <w:rFonts w:ascii="Times New Roman" w:hAnsi="Times New Roman" w:eastAsia="宋体"/>
          <w:b w:val="0"/>
          <w:sz w:val="20"/>
        </w:rPr>
        <w:t>6.4.1 计算简图</w:t>
        <w:tab/>
        <w:t>38</w:t>
      </w:r>
    </w:p>
    <w:p>
      <w:pPr>
        <w:tabs>
          <w:tab w:pos="8200" w:val="right" w:leader="dot"/>
        </w:tabs>
        <w:spacing w:lineRule="auto" w:line="240" w:before="0" w:after="0"/>
        <w:ind w:left="720"/>
      </w:pPr>
      <w:r>
        <w:rPr>
          <w:rFonts w:ascii="Times New Roman" w:hAnsi="Times New Roman" w:eastAsia="宋体"/>
          <w:b w:val="0"/>
          <w:sz w:val="20"/>
        </w:rPr>
        <w:t>6.4.2 内力计算</w:t>
        <w:tab/>
        <w:t>39</w:t>
      </w:r>
    </w:p>
    <w:p>
      <w:pPr>
        <w:tabs>
          <w:tab w:pos="8200" w:val="right" w:leader="dot"/>
        </w:tabs>
        <w:spacing w:lineRule="auto" w:line="240" w:before="0" w:after="0"/>
        <w:ind w:left="720"/>
      </w:pPr>
      <w:r>
        <w:rPr>
          <w:rFonts w:ascii="Times New Roman" w:hAnsi="Times New Roman" w:eastAsia="宋体"/>
          <w:b w:val="0"/>
          <w:sz w:val="20"/>
        </w:rPr>
        <w:t>6.4.3 配筋与裂缝验算</w:t>
        <w:tab/>
        <w:t>39</w:t>
      </w:r>
    </w:p>
    <w:p>
      <w:pPr>
        <w:tabs>
          <w:tab w:pos="8200" w:val="right" w:leader="dot"/>
        </w:tabs>
        <w:spacing w:lineRule="auto" w:line="240" w:before="0" w:after="0"/>
        <w:ind w:left="720"/>
      </w:pPr>
      <w:r>
        <w:rPr>
          <w:rFonts w:ascii="Times New Roman" w:hAnsi="Times New Roman" w:eastAsia="宋体"/>
          <w:b w:val="0"/>
          <w:sz w:val="20"/>
        </w:rPr>
        <w:t>6.4.4 受剪与局部冲切控制</w:t>
        <w:tab/>
        <w:t>39</w:t>
      </w:r>
    </w:p>
    <w:p>
      <w:pPr>
        <w:tabs>
          <w:tab w:pos="8200" w:val="right" w:leader="dot"/>
        </w:tabs>
        <w:spacing w:lineRule="auto" w:line="240" w:before="0" w:after="0"/>
        <w:ind w:left="360"/>
      </w:pPr>
      <w:r>
        <w:rPr>
          <w:rFonts w:ascii="Times New Roman" w:hAnsi="Times New Roman" w:eastAsia="宋体"/>
          <w:b w:val="0"/>
          <w:sz w:val="20"/>
        </w:rPr>
        <w:t>6.5 纵梁计算</w:t>
        <w:tab/>
        <w:t>40</w:t>
      </w:r>
    </w:p>
    <w:p>
      <w:pPr>
        <w:tabs>
          <w:tab w:pos="8200" w:val="right" w:leader="dot"/>
        </w:tabs>
        <w:spacing w:lineRule="auto" w:line="240" w:before="0" w:after="0"/>
        <w:ind w:left="720"/>
      </w:pPr>
      <w:r>
        <w:rPr>
          <w:rFonts w:ascii="Times New Roman" w:hAnsi="Times New Roman" w:eastAsia="宋体"/>
          <w:b w:val="0"/>
          <w:sz w:val="20"/>
        </w:rPr>
        <w:t>6.5.1 计算简图</w:t>
        <w:tab/>
        <w:t>40</w:t>
      </w:r>
    </w:p>
    <w:p>
      <w:pPr>
        <w:tabs>
          <w:tab w:pos="8200" w:val="right" w:leader="dot"/>
        </w:tabs>
        <w:spacing w:lineRule="auto" w:line="240" w:before="0" w:after="0"/>
        <w:ind w:left="720"/>
      </w:pPr>
      <w:r>
        <w:rPr>
          <w:rFonts w:ascii="Times New Roman" w:hAnsi="Times New Roman" w:eastAsia="宋体"/>
          <w:b w:val="0"/>
          <w:sz w:val="20"/>
        </w:rPr>
        <w:t>6.5.2 内力计算</w:t>
        <w:tab/>
        <w:t>40</w:t>
      </w:r>
    </w:p>
    <w:p>
      <w:pPr>
        <w:tabs>
          <w:tab w:pos="8200" w:val="right" w:leader="dot"/>
        </w:tabs>
        <w:spacing w:lineRule="auto" w:line="240" w:before="0" w:after="0"/>
        <w:ind w:left="720"/>
      </w:pPr>
      <w:r>
        <w:rPr>
          <w:rFonts w:ascii="Times New Roman" w:hAnsi="Times New Roman" w:eastAsia="宋体"/>
          <w:b w:val="0"/>
          <w:sz w:val="20"/>
        </w:rPr>
        <w:t>6.5.3 配筋验算</w:t>
        <w:tab/>
        <w:t>40</w:t>
      </w:r>
    </w:p>
    <w:p>
      <w:pPr>
        <w:tabs>
          <w:tab w:pos="8200" w:val="right" w:leader="dot"/>
        </w:tabs>
        <w:spacing w:lineRule="auto" w:line="240" w:before="0" w:after="0"/>
        <w:ind w:left="360"/>
      </w:pPr>
      <w:r>
        <w:rPr>
          <w:rFonts w:ascii="Times New Roman" w:hAnsi="Times New Roman" w:eastAsia="宋体"/>
          <w:b w:val="0"/>
          <w:sz w:val="20"/>
        </w:rPr>
        <w:t>6.6 横梁与横向排架计算</w:t>
        <w:tab/>
        <w:t>41</w:t>
      </w:r>
    </w:p>
    <w:p>
      <w:pPr>
        <w:tabs>
          <w:tab w:pos="8200" w:val="right" w:leader="dot"/>
        </w:tabs>
        <w:spacing w:lineRule="auto" w:line="240" w:before="0" w:after="0"/>
        <w:ind w:left="720"/>
      </w:pPr>
      <w:r>
        <w:rPr>
          <w:rFonts w:ascii="Times New Roman" w:hAnsi="Times New Roman" w:eastAsia="宋体"/>
          <w:b w:val="0"/>
          <w:sz w:val="20"/>
        </w:rPr>
        <w:t>6.6.1 横梁荷载计算</w:t>
        <w:tab/>
        <w:t>41</w:t>
      </w:r>
    </w:p>
    <w:p>
      <w:pPr>
        <w:tabs>
          <w:tab w:pos="8200" w:val="right" w:leader="dot"/>
        </w:tabs>
        <w:spacing w:lineRule="auto" w:line="240" w:before="0" w:after="0"/>
        <w:ind w:left="720"/>
      </w:pPr>
      <w:r>
        <w:rPr>
          <w:rFonts w:ascii="Times New Roman" w:hAnsi="Times New Roman" w:eastAsia="宋体"/>
          <w:b w:val="0"/>
          <w:sz w:val="20"/>
        </w:rPr>
        <w:t>6.6.2 排架内力计算</w:t>
        <w:tab/>
        <w:t>42</w:t>
      </w:r>
    </w:p>
    <w:p>
      <w:pPr>
        <w:tabs>
          <w:tab w:pos="8200" w:val="right" w:leader="dot"/>
        </w:tabs>
        <w:spacing w:lineRule="auto" w:line="240" w:before="0" w:after="0"/>
        <w:ind w:left="720"/>
      </w:pPr>
      <w:r>
        <w:rPr>
          <w:rFonts w:ascii="Times New Roman" w:hAnsi="Times New Roman" w:eastAsia="宋体"/>
          <w:b w:val="0"/>
          <w:sz w:val="20"/>
        </w:rPr>
        <w:t>6.6.3 横梁配筋验算</w:t>
        <w:tab/>
        <w:t>43</w:t>
      </w:r>
    </w:p>
    <w:p>
      <w:pPr>
        <w:tabs>
          <w:tab w:pos="8200" w:val="right" w:leader="dot"/>
        </w:tabs>
        <w:spacing w:lineRule="auto" w:line="240" w:before="0" w:after="0"/>
        <w:ind w:left="360"/>
      </w:pPr>
      <w:r>
        <w:rPr>
          <w:rFonts w:ascii="Times New Roman" w:hAnsi="Times New Roman" w:eastAsia="宋体"/>
          <w:b w:val="0"/>
          <w:sz w:val="20"/>
        </w:rPr>
        <w:t>6.7 桩基承载力验算</w:t>
        <w:tab/>
        <w:t>43</w:t>
      </w:r>
    </w:p>
    <w:p>
      <w:pPr>
        <w:tabs>
          <w:tab w:pos="8200" w:val="right" w:leader="dot"/>
        </w:tabs>
        <w:spacing w:lineRule="auto" w:line="240" w:before="0" w:after="0"/>
        <w:ind w:left="720"/>
      </w:pPr>
      <w:r>
        <w:rPr>
          <w:rFonts w:ascii="Times New Roman" w:hAnsi="Times New Roman" w:eastAsia="宋体"/>
          <w:b w:val="0"/>
          <w:sz w:val="20"/>
        </w:rPr>
        <w:t>6.7.1 桩型与桩长确定</w:t>
        <w:tab/>
        <w:t>43</w:t>
      </w:r>
    </w:p>
    <w:p>
      <w:pPr>
        <w:tabs>
          <w:tab w:pos="8200" w:val="right" w:leader="dot"/>
        </w:tabs>
        <w:spacing w:lineRule="auto" w:line="240" w:before="0" w:after="0"/>
        <w:ind w:left="720"/>
      </w:pPr>
      <w:r>
        <w:rPr>
          <w:rFonts w:ascii="Times New Roman" w:hAnsi="Times New Roman" w:eastAsia="宋体"/>
          <w:b w:val="0"/>
          <w:sz w:val="20"/>
        </w:rPr>
        <w:t>6.7.2 单桩竖向承载力验算</w:t>
        <w:tab/>
        <w:t>44</w:t>
      </w:r>
    </w:p>
    <w:p>
      <w:pPr>
        <w:tabs>
          <w:tab w:pos="8200" w:val="right" w:leader="dot"/>
        </w:tabs>
        <w:spacing w:lineRule="auto" w:line="240" w:before="0" w:after="0"/>
        <w:ind w:left="720"/>
      </w:pPr>
      <w:r>
        <w:rPr>
          <w:rFonts w:ascii="Times New Roman" w:hAnsi="Times New Roman" w:eastAsia="宋体"/>
          <w:b w:val="0"/>
          <w:sz w:val="20"/>
        </w:rPr>
        <w:t>6.7.3 桩基水平承载与位移验算</w:t>
        <w:tab/>
        <w:t>44</w:t>
      </w:r>
    </w:p>
    <w:p>
      <w:pPr>
        <w:tabs>
          <w:tab w:pos="8200" w:val="right" w:leader="dot"/>
        </w:tabs>
        <w:spacing w:lineRule="auto" w:line="240" w:before="0" w:after="0"/>
        <w:ind w:left="720"/>
      </w:pPr>
      <w:r>
        <w:rPr>
          <w:rFonts w:ascii="Times New Roman" w:hAnsi="Times New Roman" w:eastAsia="宋体"/>
          <w:b w:val="0"/>
          <w:sz w:val="20"/>
        </w:rPr>
        <w:t>6.7.4 桩距、桩顶连接与耐久性复核</w:t>
        <w:tab/>
        <w:t>45</w:t>
      </w:r>
    </w:p>
    <w:p>
      <w:pPr>
        <w:tabs>
          <w:tab w:pos="8200" w:val="right" w:leader="dot"/>
        </w:tabs>
        <w:spacing w:lineRule="auto" w:line="240" w:before="0" w:after="0"/>
        <w:ind w:left="360"/>
      </w:pPr>
      <w:r>
        <w:rPr>
          <w:rFonts w:ascii="Times New Roman" w:hAnsi="Times New Roman" w:eastAsia="宋体"/>
          <w:b w:val="0"/>
          <w:sz w:val="20"/>
        </w:rPr>
        <w:t>6.8 靠船与系缆构件验算</w:t>
        <w:tab/>
        <w:t>46</w:t>
      </w:r>
    </w:p>
    <w:p>
      <w:pPr>
        <w:tabs>
          <w:tab w:pos="8200" w:val="right" w:leader="dot"/>
        </w:tabs>
        <w:spacing w:lineRule="auto" w:line="240" w:before="0" w:after="0"/>
        <w:ind w:left="720"/>
      </w:pPr>
      <w:r>
        <w:rPr>
          <w:rFonts w:ascii="Times New Roman" w:hAnsi="Times New Roman" w:eastAsia="宋体"/>
          <w:b w:val="0"/>
          <w:sz w:val="20"/>
        </w:rPr>
        <w:t>6.8.1 靠船构件验算</w:t>
        <w:tab/>
        <w:t>46</w:t>
      </w:r>
    </w:p>
    <w:p>
      <w:pPr>
        <w:tabs>
          <w:tab w:pos="8200" w:val="right" w:leader="dot"/>
        </w:tabs>
        <w:spacing w:lineRule="auto" w:line="240" w:before="0" w:after="0"/>
        <w:ind w:left="720"/>
      </w:pPr>
      <w:r>
        <w:rPr>
          <w:rFonts w:ascii="Times New Roman" w:hAnsi="Times New Roman" w:eastAsia="宋体"/>
          <w:b w:val="0"/>
          <w:sz w:val="20"/>
        </w:rPr>
        <w:t>6.8.2 系船柱与系缆力验算</w:t>
        <w:tab/>
        <w:t>46</w:t>
      </w:r>
    </w:p>
    <w:p>
      <w:pPr>
        <w:tabs>
          <w:tab w:pos="8200" w:val="right" w:leader="dot"/>
        </w:tabs>
        <w:spacing w:lineRule="auto" w:line="240" w:before="0" w:after="0"/>
        <w:ind w:left="360"/>
      </w:pPr>
      <w:r>
        <w:rPr>
          <w:rFonts w:ascii="Times New Roman" w:hAnsi="Times New Roman" w:eastAsia="宋体"/>
          <w:b w:val="0"/>
          <w:sz w:val="20"/>
        </w:rPr>
        <w:t>6.9 本章小结</w:t>
        <w:tab/>
        <w:t>48</w:t>
      </w:r>
    </w:p>
    <w:p>
      <w:pPr>
        <w:tabs>
          <w:tab w:pos="8200" w:val="right" w:leader="dot"/>
        </w:tabs>
        <w:spacing w:lineRule="auto" w:line="240" w:before="0" w:after="0"/>
        <w:ind w:left="0"/>
      </w:pPr>
      <w:r>
        <w:rPr>
          <w:rFonts w:ascii="Times New Roman" w:hAnsi="Times New Roman" w:eastAsia="宋体"/>
          <w:b/>
          <w:sz w:val="24"/>
        </w:rPr>
        <w:t>第七章 工程量、概算与施工组织</w:t>
        <w:tab/>
        <w:t>49</w:t>
      </w:r>
    </w:p>
    <w:p>
      <w:pPr>
        <w:tabs>
          <w:tab w:pos="8200" w:val="right" w:leader="dot"/>
        </w:tabs>
        <w:spacing w:lineRule="auto" w:line="240" w:before="0" w:after="0"/>
        <w:ind w:left="360"/>
      </w:pPr>
      <w:r>
        <w:rPr>
          <w:rFonts w:ascii="Times New Roman" w:hAnsi="Times New Roman" w:eastAsia="宋体"/>
          <w:b w:val="0"/>
          <w:sz w:val="20"/>
        </w:rPr>
        <w:t>7.1 主要工程量估算</w:t>
        <w:tab/>
        <w:t>49</w:t>
      </w:r>
    </w:p>
    <w:p>
      <w:pPr>
        <w:tabs>
          <w:tab w:pos="8200" w:val="right" w:leader="dot"/>
        </w:tabs>
        <w:spacing w:lineRule="auto" w:line="240" w:before="0" w:after="0"/>
        <w:ind w:left="720"/>
      </w:pPr>
      <w:r>
        <w:rPr>
          <w:rFonts w:ascii="Times New Roman" w:hAnsi="Times New Roman" w:eastAsia="宋体"/>
          <w:b w:val="0"/>
          <w:sz w:val="20"/>
        </w:rPr>
        <w:t>7.1.1 桩基工程量</w:t>
        <w:tab/>
        <w:t>49</w:t>
      </w:r>
    </w:p>
    <w:p>
      <w:pPr>
        <w:tabs>
          <w:tab w:pos="8200" w:val="right" w:leader="dot"/>
        </w:tabs>
        <w:spacing w:lineRule="auto" w:line="240" w:before="0" w:after="0"/>
        <w:ind w:left="720"/>
      </w:pPr>
      <w:r>
        <w:rPr>
          <w:rFonts w:ascii="Times New Roman" w:hAnsi="Times New Roman" w:eastAsia="宋体"/>
          <w:b w:val="0"/>
          <w:sz w:val="20"/>
        </w:rPr>
        <w:t>7.1.2 上部结构工程量</w:t>
        <w:tab/>
        <w:t>49</w:t>
      </w:r>
    </w:p>
    <w:p>
      <w:pPr>
        <w:tabs>
          <w:tab w:pos="8200" w:val="right" w:leader="dot"/>
        </w:tabs>
        <w:spacing w:lineRule="auto" w:line="240" w:before="0" w:after="0"/>
        <w:ind w:left="720"/>
      </w:pPr>
      <w:r>
        <w:rPr>
          <w:rFonts w:ascii="Times New Roman" w:hAnsi="Times New Roman" w:eastAsia="宋体"/>
          <w:b w:val="0"/>
          <w:sz w:val="20"/>
        </w:rPr>
        <w:t>7.1.3 附属设施工程量</w:t>
        <w:tab/>
        <w:t>50</w:t>
      </w:r>
    </w:p>
    <w:p>
      <w:pPr>
        <w:tabs>
          <w:tab w:pos="8200" w:val="right" w:leader="dot"/>
        </w:tabs>
        <w:spacing w:lineRule="auto" w:line="240" w:before="0" w:after="0"/>
        <w:ind w:left="360"/>
      </w:pPr>
      <w:r>
        <w:rPr>
          <w:rFonts w:ascii="Times New Roman" w:hAnsi="Times New Roman" w:eastAsia="宋体"/>
          <w:b w:val="0"/>
          <w:sz w:val="20"/>
        </w:rPr>
        <w:t>7.2 工程概算</w:t>
        <w:tab/>
        <w:t>52</w:t>
      </w:r>
    </w:p>
    <w:p>
      <w:pPr>
        <w:tabs>
          <w:tab w:pos="8200" w:val="right" w:leader="dot"/>
        </w:tabs>
        <w:spacing w:lineRule="auto" w:line="240" w:before="0" w:after="0"/>
        <w:ind w:left="720"/>
      </w:pPr>
      <w:r>
        <w:rPr>
          <w:rFonts w:ascii="Times New Roman" w:hAnsi="Times New Roman" w:eastAsia="宋体"/>
          <w:b w:val="0"/>
          <w:sz w:val="20"/>
        </w:rPr>
        <w:t>7.2.1 概算编制依据</w:t>
        <w:tab/>
        <w:t>52</w:t>
      </w:r>
    </w:p>
    <w:p>
      <w:pPr>
        <w:tabs>
          <w:tab w:pos="8200" w:val="right" w:leader="dot"/>
        </w:tabs>
        <w:spacing w:lineRule="auto" w:line="240" w:before="0" w:after="0"/>
        <w:ind w:left="720"/>
      </w:pPr>
      <w:r>
        <w:rPr>
          <w:rFonts w:ascii="Times New Roman" w:hAnsi="Times New Roman" w:eastAsia="宋体"/>
          <w:b w:val="0"/>
          <w:sz w:val="20"/>
        </w:rPr>
        <w:t>7.2.2 分项费用估算</w:t>
        <w:tab/>
        <w:t>53</w:t>
      </w:r>
    </w:p>
    <w:p>
      <w:pPr>
        <w:tabs>
          <w:tab w:pos="8200" w:val="right" w:leader="dot"/>
        </w:tabs>
        <w:spacing w:lineRule="auto" w:line="240" w:before="0" w:after="0"/>
        <w:ind w:left="720"/>
      </w:pPr>
      <w:r>
        <w:rPr>
          <w:rFonts w:ascii="Times New Roman" w:hAnsi="Times New Roman" w:eastAsia="宋体"/>
          <w:b w:val="0"/>
          <w:sz w:val="20"/>
        </w:rPr>
        <w:t>7.2.3 总投资估算</w:t>
        <w:tab/>
        <w:t>54</w:t>
      </w:r>
    </w:p>
    <w:p>
      <w:pPr>
        <w:tabs>
          <w:tab w:pos="8200" w:val="right" w:leader="dot"/>
        </w:tabs>
        <w:spacing w:lineRule="auto" w:line="240" w:before="0" w:after="0"/>
        <w:ind w:left="360"/>
      </w:pPr>
      <w:r>
        <w:rPr>
          <w:rFonts w:ascii="Times New Roman" w:hAnsi="Times New Roman" w:eastAsia="宋体"/>
          <w:b w:val="0"/>
          <w:sz w:val="20"/>
        </w:rPr>
        <w:t>7.3 施工组织建议</w:t>
        <w:tab/>
        <w:t>55</w:t>
      </w:r>
    </w:p>
    <w:p>
      <w:pPr>
        <w:tabs>
          <w:tab w:pos="8200" w:val="right" w:leader="dot"/>
        </w:tabs>
        <w:spacing w:lineRule="auto" w:line="240" w:before="0" w:after="0"/>
        <w:ind w:left="720"/>
      </w:pPr>
      <w:r>
        <w:rPr>
          <w:rFonts w:ascii="Times New Roman" w:hAnsi="Times New Roman" w:eastAsia="宋体"/>
          <w:b w:val="0"/>
          <w:sz w:val="20"/>
        </w:rPr>
        <w:t>7.3.1 施工顺序</w:t>
        <w:tab/>
        <w:t>55</w:t>
      </w:r>
    </w:p>
    <w:p>
      <w:pPr>
        <w:tabs>
          <w:tab w:pos="8200" w:val="right" w:leader="dot"/>
        </w:tabs>
        <w:spacing w:lineRule="auto" w:line="240" w:before="0" w:after="0"/>
        <w:ind w:left="720"/>
      </w:pPr>
      <w:r>
        <w:rPr>
          <w:rFonts w:ascii="Times New Roman" w:hAnsi="Times New Roman" w:eastAsia="宋体"/>
          <w:b w:val="0"/>
          <w:sz w:val="20"/>
        </w:rPr>
        <w:t>7.3.2 主要施工方法</w:t>
        <w:tab/>
        <w:t>55</w:t>
      </w:r>
    </w:p>
    <w:p>
      <w:pPr>
        <w:tabs>
          <w:tab w:pos="8200" w:val="right" w:leader="dot"/>
        </w:tabs>
        <w:spacing w:lineRule="auto" w:line="240" w:before="0" w:after="0"/>
        <w:ind w:left="720"/>
      </w:pPr>
      <w:r>
        <w:rPr>
          <w:rFonts w:ascii="Times New Roman" w:hAnsi="Times New Roman" w:eastAsia="宋体"/>
          <w:b w:val="0"/>
          <w:sz w:val="20"/>
        </w:rPr>
        <w:t>7.3.3 施工进度安排</w:t>
        <w:tab/>
        <w:t>56</w:t>
      </w:r>
    </w:p>
    <w:p>
      <w:pPr>
        <w:tabs>
          <w:tab w:pos="8200" w:val="right" w:leader="dot"/>
        </w:tabs>
        <w:spacing w:lineRule="auto" w:line="240" w:before="0" w:after="0"/>
        <w:ind w:left="720"/>
      </w:pPr>
      <w:r>
        <w:rPr>
          <w:rFonts w:ascii="Times New Roman" w:hAnsi="Times New Roman" w:eastAsia="宋体"/>
          <w:b w:val="0"/>
          <w:sz w:val="20"/>
        </w:rPr>
        <w:t>7.3.4 临时工程与施工交通</w:t>
        <w:tab/>
        <w:t>57</w:t>
      </w:r>
    </w:p>
    <w:p>
      <w:pPr>
        <w:tabs>
          <w:tab w:pos="8200" w:val="right" w:leader="dot"/>
        </w:tabs>
        <w:spacing w:lineRule="auto" w:line="240" w:before="0" w:after="0"/>
        <w:ind w:left="360"/>
      </w:pPr>
      <w:r>
        <w:rPr>
          <w:rFonts w:ascii="Times New Roman" w:hAnsi="Times New Roman" w:eastAsia="宋体"/>
          <w:b w:val="0"/>
          <w:sz w:val="20"/>
        </w:rPr>
        <w:t>7.4 质量、安全与环保控制措施</w:t>
        <w:tab/>
        <w:t>57</w:t>
      </w:r>
    </w:p>
    <w:p>
      <w:pPr>
        <w:tabs>
          <w:tab w:pos="8200" w:val="right" w:leader="dot"/>
        </w:tabs>
        <w:spacing w:lineRule="auto" w:line="240" w:before="0" w:after="0"/>
        <w:ind w:left="360"/>
      </w:pPr>
      <w:r>
        <w:rPr>
          <w:rFonts w:ascii="Times New Roman" w:hAnsi="Times New Roman" w:eastAsia="宋体"/>
          <w:b w:val="0"/>
          <w:sz w:val="20"/>
        </w:rPr>
        <w:t>7.5 本章小结</w:t>
        <w:tab/>
        <w:t>58</w:t>
      </w:r>
    </w:p>
    <w:p>
      <w:pPr>
        <w:tabs>
          <w:tab w:pos="8200" w:val="right" w:leader="dot"/>
        </w:tabs>
        <w:spacing w:lineRule="auto" w:line="240" w:before="0" w:after="0"/>
        <w:ind w:left="0"/>
      </w:pPr>
      <w:r>
        <w:rPr>
          <w:rFonts w:ascii="Times New Roman" w:hAnsi="Times New Roman" w:eastAsia="宋体"/>
          <w:b/>
          <w:sz w:val="24"/>
        </w:rPr>
        <w:t>第八章 环境保护、安全设计与结论</w:t>
        <w:tab/>
        <w:t>60</w:t>
      </w:r>
    </w:p>
    <w:p>
      <w:pPr>
        <w:tabs>
          <w:tab w:pos="8200" w:val="right" w:leader="dot"/>
        </w:tabs>
        <w:spacing w:lineRule="auto" w:line="240" w:before="0" w:after="0"/>
        <w:ind w:left="360"/>
      </w:pPr>
      <w:r>
        <w:rPr>
          <w:rFonts w:ascii="Times New Roman" w:hAnsi="Times New Roman" w:eastAsia="宋体"/>
          <w:b w:val="0"/>
          <w:sz w:val="20"/>
        </w:rPr>
        <w:t>8.1 环境保护设计</w:t>
        <w:tab/>
        <w:t>60</w:t>
      </w:r>
    </w:p>
    <w:p>
      <w:pPr>
        <w:tabs>
          <w:tab w:pos="8200" w:val="right" w:leader="dot"/>
        </w:tabs>
        <w:spacing w:lineRule="auto" w:line="240" w:before="0" w:after="0"/>
        <w:ind w:left="720"/>
      </w:pPr>
      <w:r>
        <w:rPr>
          <w:rFonts w:ascii="Times New Roman" w:hAnsi="Times New Roman" w:eastAsia="宋体"/>
          <w:b w:val="0"/>
          <w:sz w:val="20"/>
        </w:rPr>
        <w:t>8.1.1 粉尘控制</w:t>
        <w:tab/>
        <w:t>60</w:t>
      </w:r>
    </w:p>
    <w:p>
      <w:pPr>
        <w:tabs>
          <w:tab w:pos="8200" w:val="right" w:leader="dot"/>
        </w:tabs>
        <w:spacing w:lineRule="auto" w:line="240" w:before="0" w:after="0"/>
        <w:ind w:left="720"/>
      </w:pPr>
      <w:r>
        <w:rPr>
          <w:rFonts w:ascii="Times New Roman" w:hAnsi="Times New Roman" w:eastAsia="宋体"/>
          <w:b w:val="0"/>
          <w:sz w:val="20"/>
        </w:rPr>
        <w:t>8.1.2 污水与雨水控制</w:t>
        <w:tab/>
        <w:t>60</w:t>
      </w:r>
    </w:p>
    <w:p>
      <w:pPr>
        <w:tabs>
          <w:tab w:pos="8200" w:val="right" w:leader="dot"/>
        </w:tabs>
        <w:spacing w:lineRule="auto" w:line="240" w:before="0" w:after="0"/>
        <w:ind w:left="720"/>
      </w:pPr>
      <w:r>
        <w:rPr>
          <w:rFonts w:ascii="Times New Roman" w:hAnsi="Times New Roman" w:eastAsia="宋体"/>
          <w:b w:val="0"/>
          <w:sz w:val="20"/>
        </w:rPr>
        <w:t>8.1.3 噪声控制</w:t>
        <w:tab/>
        <w:t>61</w:t>
      </w:r>
    </w:p>
    <w:p>
      <w:pPr>
        <w:tabs>
          <w:tab w:pos="8200" w:val="right" w:leader="dot"/>
        </w:tabs>
        <w:spacing w:lineRule="auto" w:line="240" w:before="0" w:after="0"/>
        <w:ind w:left="360"/>
      </w:pPr>
      <w:r>
        <w:rPr>
          <w:rFonts w:ascii="Times New Roman" w:hAnsi="Times New Roman" w:eastAsia="宋体"/>
          <w:b w:val="0"/>
          <w:sz w:val="20"/>
        </w:rPr>
        <w:t>8.2 安全与职业卫生设计</w:t>
        <w:tab/>
        <w:t>61</w:t>
      </w:r>
    </w:p>
    <w:p>
      <w:pPr>
        <w:tabs>
          <w:tab w:pos="8200" w:val="right" w:leader="dot"/>
        </w:tabs>
        <w:spacing w:lineRule="auto" w:line="240" w:before="0" w:after="0"/>
        <w:ind w:left="720"/>
      </w:pPr>
      <w:r>
        <w:rPr>
          <w:rFonts w:ascii="Times New Roman" w:hAnsi="Times New Roman" w:eastAsia="宋体"/>
          <w:b w:val="0"/>
          <w:sz w:val="20"/>
        </w:rPr>
        <w:t>8.2.1 码头作业安全</w:t>
        <w:tab/>
        <w:t>61</w:t>
      </w:r>
    </w:p>
    <w:p>
      <w:pPr>
        <w:tabs>
          <w:tab w:pos="8200" w:val="right" w:leader="dot"/>
        </w:tabs>
        <w:spacing w:lineRule="auto" w:line="240" w:before="0" w:after="0"/>
        <w:ind w:left="720"/>
      </w:pPr>
      <w:r>
        <w:rPr>
          <w:rFonts w:ascii="Times New Roman" w:hAnsi="Times New Roman" w:eastAsia="宋体"/>
          <w:b w:val="0"/>
          <w:sz w:val="20"/>
        </w:rPr>
        <w:t>8.2.2 消防与防爆措施</w:t>
        <w:tab/>
        <w:t>61</w:t>
      </w:r>
    </w:p>
    <w:p>
      <w:pPr>
        <w:tabs>
          <w:tab w:pos="8200" w:val="right" w:leader="dot"/>
        </w:tabs>
        <w:spacing w:lineRule="auto" w:line="240" w:before="0" w:after="0"/>
        <w:ind w:left="720"/>
      </w:pPr>
      <w:r>
        <w:rPr>
          <w:rFonts w:ascii="Times New Roman" w:hAnsi="Times New Roman" w:eastAsia="宋体"/>
          <w:b w:val="0"/>
          <w:sz w:val="20"/>
        </w:rPr>
        <w:t>8.2.3 职业卫生措施</w:t>
        <w:tab/>
        <w:t>61</w:t>
      </w:r>
    </w:p>
    <w:p>
      <w:pPr>
        <w:tabs>
          <w:tab w:pos="8200" w:val="right" w:leader="dot"/>
        </w:tabs>
        <w:spacing w:lineRule="auto" w:line="240" w:before="0" w:after="0"/>
        <w:ind w:left="360"/>
      </w:pPr>
      <w:r>
        <w:rPr>
          <w:rFonts w:ascii="Times New Roman" w:hAnsi="Times New Roman" w:eastAsia="宋体"/>
          <w:b w:val="0"/>
          <w:sz w:val="20"/>
        </w:rPr>
        <w:t>8.3 设计成果汇总</w:t>
        <w:tab/>
        <w:t>61</w:t>
      </w:r>
    </w:p>
    <w:p>
      <w:pPr>
        <w:tabs>
          <w:tab w:pos="8200" w:val="right" w:leader="dot"/>
        </w:tabs>
        <w:spacing w:lineRule="auto" w:line="240" w:before="0" w:after="0"/>
        <w:ind w:left="360"/>
      </w:pPr>
      <w:r>
        <w:rPr>
          <w:rFonts w:ascii="Times New Roman" w:hAnsi="Times New Roman" w:eastAsia="宋体"/>
          <w:b w:val="0"/>
          <w:sz w:val="20"/>
        </w:rPr>
        <w:t>8.4 结论</w:t>
        <w:tab/>
        <w:t>62</w:t>
      </w:r>
    </w:p>
    <w:p>
      <w:pPr>
        <w:tabs>
          <w:tab w:pos="8200" w:val="right" w:leader="dot"/>
        </w:tabs>
        <w:spacing w:lineRule="auto" w:line="240" w:before="0" w:after="0"/>
        <w:ind w:left="360"/>
      </w:pPr>
      <w:r>
        <w:rPr>
          <w:rFonts w:ascii="Times New Roman" w:hAnsi="Times New Roman" w:eastAsia="宋体"/>
          <w:b w:val="0"/>
          <w:sz w:val="20"/>
        </w:rPr>
        <w:t>8.5 展望</w:t>
        <w:tab/>
        <w:t>63</w:t>
      </w:r>
    </w:p>
    <w:p>
      <w:pPr>
        <w:tabs>
          <w:tab w:pos="8200" w:val="right" w:leader="dot"/>
        </w:tabs>
        <w:spacing w:lineRule="auto" w:line="240" w:before="0" w:after="0"/>
        <w:ind w:left="0"/>
      </w:pPr>
      <w:r>
        <w:rPr>
          <w:rFonts w:ascii="Times New Roman" w:hAnsi="Times New Roman" w:eastAsia="宋体"/>
          <w:b/>
          <w:sz w:val="24"/>
        </w:rPr>
        <w:t>参考文献</w:t>
        <w:tab/>
        <w:t>64</w:t>
      </w:r>
    </w:p>
    <w:p>
      <w:pPr>
        <w:tabs>
          <w:tab w:pos="8200" w:val="right" w:leader="dot"/>
        </w:tabs>
        <w:spacing w:lineRule="auto" w:line="240" w:before="0" w:after="0"/>
        <w:ind w:left="0"/>
      </w:pPr>
      <w:r>
        <w:rPr>
          <w:rFonts w:ascii="Times New Roman" w:hAnsi="Times New Roman" w:eastAsia="宋体"/>
          <w:b/>
          <w:sz w:val="24"/>
        </w:rPr>
        <w:t>致 谢</w:t>
        <w:tab/>
        <w:t>66</w:t>
      </w:r>
    </w:p>
    <w:p>
      <w:pPr>
        <w:sectPr>
          <w:headerReference w:type="even" r:id="rId22"/>
          <w:footerReference w:type="default" r:id="rId25"/>
          <w:headerReference w:type="default" r:id="rId30"/>
          <w:pgSz w:w="11906" w:h="16838"/>
          <w:pgMar w:top="1559" w:right="1571" w:bottom="1440" w:left="2024" w:header="851" w:footer="992" w:gutter="0"/>
          <w:cols w:space="425"/>
          <w:docGrid w:linePitch="312"/>
          <w:pgNumType w:start="3" w:fmt="upperRoman"/>
        </w:sectPr>
      </w:pPr>
    </w:p>
    <w:p>
      <w:pPr>
        <w:pStyle w:val="1"/>
        <w:jc w:val="center"/>
      </w:pPr>
      <w:r>
        <w:rPr>
          <w:rFonts w:ascii="Times New Roman" w:hAnsi="Times New Roman" w:eastAsia="宋体"/>
          <w:b/>
          <w:sz w:val="30"/>
        </w:rPr>
        <w:t xml:space="preserve"> 绪论</w:t>
      </w:r>
    </w:p>
    <w:p>
      <w:pPr>
        <w:pStyle w:val="2"/>
        <w:jc w:val="left"/>
      </w:pPr>
      <w:r>
        <w:rPr>
          <w:rFonts w:ascii="Times New Roman" w:hAnsi="Times New Roman" w:eastAsia="宋体"/>
          <w:b/>
          <w:sz w:val="24"/>
        </w:rPr>
        <w:t xml:space="preserve"> 工程背景与研究意义</w:t>
      </w:r>
    </w:p>
    <w:p>
      <w:pPr>
        <w:pStyle w:val="3"/>
        <w:jc w:val="left"/>
      </w:pPr>
      <w:r>
        <w:rPr>
          <w:rFonts w:ascii="Times New Roman" w:hAnsi="Times New Roman" w:eastAsia="宋体"/>
          <w:b/>
          <w:sz w:val="24"/>
        </w:rPr>
        <w:t xml:space="preserve"> 工程背景</w:t>
      </w:r>
    </w:p>
    <w:p>
      <w:pPr>
        <w:spacing w:lineRule="auto" w:line="360" w:before="0" w:after="0"/>
        <w:ind w:firstLine="480"/>
      </w:pPr>
      <w:r>
        <w:rPr>
          <w:rFonts w:ascii="Times New Roman" w:hAnsi="Times New Roman" w:eastAsia="宋体"/>
          <w:sz w:val="24"/>
        </w:rPr>
        <w:t>能源供应是区域经济稳定发展的重要基础。火力发电在沿海地区电力结构中仍承担基础负荷和调峰保障功能，燃料煤运输的连续性直接影响机组安全稳定运行。汕尾电厂位于广东省粤东沿海地区，受燃料来源、海运组织和厂区储煤条件影响，建设专业化配套煤码头具有较强工程必要性。</w:t>
      </w:r>
    </w:p>
    <w:p>
      <w:pPr>
        <w:spacing w:lineRule="auto" w:line="360" w:before="0" w:after="0"/>
        <w:ind w:firstLine="480"/>
      </w:pPr>
      <w:r>
        <w:rPr>
          <w:rFonts w:ascii="Times New Roman" w:hAnsi="Times New Roman" w:eastAsia="宋体"/>
          <w:sz w:val="24"/>
        </w:rPr>
        <w:t>本设计以汕尾电厂配套煤码头工程为对象，按照任务书给定条件完成5万DWT散货船专用泊位的初步设计。港址位于碣石湾西部、白沙湖内，处于有掩护海域，波浪影响较小，周边陆域较平坦，具备布置码头前方作业区、煤炭堆场和生产辅助设施的基本条件。</w:t>
      </w:r>
    </w:p>
    <w:p>
      <w:pPr>
        <w:spacing w:lineRule="auto" w:line="360" w:before="0" w:after="0"/>
        <w:ind w:firstLine="480"/>
      </w:pPr>
      <w:r>
        <w:rPr>
          <w:rFonts w:ascii="Times New Roman" w:hAnsi="Times New Roman" w:eastAsia="宋体"/>
          <w:sz w:val="24"/>
        </w:rPr>
        <w:t>煤码头作为电厂燃料供应链的前端工程，其设计不只涉及单个泊位能否靠船，还关系到卸船、输送、堆存、取料、除尘、排水和消防等系统能否连续运行。汕尾电厂配套煤码头需要把海侧船舶到港条件、陆侧煤场容量和电厂用煤节奏统筹起来，形成稳定的燃料保障通道。</w:t>
      </w:r>
    </w:p>
    <w:p>
      <w:pPr>
        <w:spacing w:lineRule="auto" w:line="360" w:before="0" w:after="0"/>
        <w:ind w:firstLine="480"/>
      </w:pPr>
      <w:r>
        <w:rPr>
          <w:rFonts w:ascii="Times New Roman" w:hAnsi="Times New Roman" w:eastAsia="宋体"/>
          <w:sz w:val="24"/>
        </w:rPr>
        <w:t>本设计以初步设计深度为控制，重点解决总平面尺度、装卸工艺、结构方案、推荐结构计算和施工组织等问题。对于施工图阶段才能最终确定的参数，如桩长、桩端持力层、设备轮压、沉桩终锤标准和局部配筋，本说明书先给出估算口径和复核要求，避免把初设假定当作施工最终值。</w:t>
      </w:r>
    </w:p>
    <w:p>
      <w:pPr>
        <w:pStyle w:val="3"/>
        <w:jc w:val="left"/>
      </w:pPr>
      <w:r>
        <w:rPr>
          <w:rFonts w:ascii="Times New Roman" w:hAnsi="Times New Roman" w:eastAsia="宋体"/>
          <w:b/>
          <w:sz w:val="24"/>
        </w:rPr>
        <w:t xml:space="preserve"> 研究意义</w:t>
      </w:r>
    </w:p>
    <w:p>
      <w:pPr>
        <w:spacing w:lineRule="auto" w:line="360" w:before="0" w:after="0"/>
        <w:ind w:firstLine="480"/>
      </w:pPr>
      <w:r>
        <w:rPr>
          <w:rFonts w:ascii="Times New Roman" w:hAnsi="Times New Roman" w:eastAsia="宋体"/>
          <w:sz w:val="24"/>
        </w:rPr>
        <w:t>从工程应用角度看，专用煤码头能够缩短燃料煤转运链条，提高卸船、输送和堆存效率，降低综合运输成本。合理的码头总平面布置可减少船舶调头和靠离泊风险，连续化装卸工艺可提高泊位通过能力，安全可靠的水工结构可保障码头长期运行。</w:t>
      </w:r>
    </w:p>
    <w:p>
      <w:pPr>
        <w:spacing w:lineRule="auto" w:line="360" w:before="0" w:after="0"/>
        <w:ind w:firstLine="480"/>
      </w:pPr>
      <w:r>
        <w:rPr>
          <w:rFonts w:ascii="Times New Roman" w:hAnsi="Times New Roman" w:eastAsia="宋体"/>
          <w:sz w:val="24"/>
        </w:rPr>
        <w:t>从专业训练角度看，本设计覆盖港口总平面、装卸工艺、水工结构、地基基础和工程经济等港口航道与海岸工程专业核心内容。总平面设计主要依据《海港总体设计规范》（JTS 165-2025）开展</w:t>
      </w:r>
      <w:r>
        <w:rPr>
          <w:rFonts w:ascii="Times New Roman" w:hAnsi="Times New Roman" w:eastAsia="宋体"/>
          <w:sz w:val="24"/>
          <w:vertAlign w:val="superscript"/>
        </w:rPr>
        <w:t>[1]</w:t>
      </w:r>
      <w:r>
        <w:rPr>
          <w:rFonts w:ascii="Times New Roman" w:hAnsi="Times New Roman" w:eastAsia="宋体"/>
          <w:sz w:val="24"/>
        </w:rPr>
        <w:t>。结构方案与主要构件计算主要依据《码头结构设计规范》（JTS 167-2018）开展</w:t>
      </w:r>
      <w:r>
        <w:rPr>
          <w:rFonts w:ascii="Times New Roman" w:hAnsi="Times New Roman" w:eastAsia="宋体"/>
          <w:sz w:val="24"/>
          <w:vertAlign w:val="superscript"/>
        </w:rPr>
        <w:t>[2]</w:t>
      </w:r>
      <w:r>
        <w:rPr>
          <w:rFonts w:ascii="Times New Roman" w:hAnsi="Times New Roman" w:eastAsia="宋体"/>
          <w:sz w:val="24"/>
        </w:rPr>
        <w:t>。</w:t>
      </w:r>
    </w:p>
    <w:p>
      <w:pPr>
        <w:pStyle w:val="2"/>
        <w:jc w:val="left"/>
      </w:pPr>
      <w:r>
        <w:rPr>
          <w:rFonts w:ascii="Times New Roman" w:hAnsi="Times New Roman" w:eastAsia="宋体"/>
          <w:b/>
          <w:sz w:val="24"/>
        </w:rPr>
        <w:t xml:space="preserve"> 国内外煤码头工程技术发展现状</w:t>
      </w:r>
    </w:p>
    <w:p>
      <w:pPr>
        <w:pStyle w:val="3"/>
        <w:jc w:val="left"/>
      </w:pPr>
      <w:r>
        <w:rPr>
          <w:rFonts w:ascii="Times New Roman" w:hAnsi="Times New Roman" w:eastAsia="宋体"/>
          <w:b/>
          <w:sz w:val="24"/>
        </w:rPr>
        <w:t xml:space="preserve"> 国外发展现状</w:t>
      </w:r>
    </w:p>
    <w:p>
      <w:pPr>
        <w:spacing w:lineRule="auto" w:line="360" w:before="0" w:after="0"/>
        <w:ind w:firstLine="480"/>
      </w:pPr>
      <w:r>
        <w:rPr>
          <w:rFonts w:ascii="Times New Roman" w:hAnsi="Times New Roman" w:eastAsia="宋体"/>
          <w:sz w:val="24"/>
        </w:rPr>
        <w:t>国外大型专业化散货码头建设起步较早，连续输送、封闭转运、堆场自动管理和环保抑尘技术应用较成熟。为降低远距离海运成本，运煤船舶逐步向大型化发展，码头泊位尺度、水深条件和装卸设备能力也相应提高。大型电厂煤码头通常采用桥式抓斗卸船机、带式输送机和堆取料机组成连续作业系统，以提高卸船效率并降低单位能耗。</w:t>
      </w:r>
    </w:p>
    <w:p>
      <w:pPr>
        <w:spacing w:lineRule="auto" w:line="360" w:before="0" w:after="0"/>
        <w:ind w:firstLine="480"/>
      </w:pPr>
      <w:r>
        <w:rPr>
          <w:rFonts w:ascii="Times New Roman" w:hAnsi="Times New Roman" w:eastAsia="宋体"/>
          <w:sz w:val="24"/>
        </w:rPr>
        <w:t>在结构型式方面，国外港口工程通常根据地基条件、波浪条件和施工装备选择高桩码头、重力式码头或板桩码头。对于软土地基和有掩护港池，高桩梁板式结构因自重较轻、适应沉降能力较强、施工组织灵活，在专业化散货码头中应用广泛。</w:t>
      </w:r>
    </w:p>
    <w:p>
      <w:pPr>
        <w:pStyle w:val="3"/>
        <w:jc w:val="left"/>
      </w:pPr>
      <w:r>
        <w:rPr>
          <w:rFonts w:ascii="Times New Roman" w:hAnsi="Times New Roman" w:eastAsia="宋体"/>
          <w:b/>
          <w:sz w:val="24"/>
        </w:rPr>
        <w:t xml:space="preserve"> 国内发展现状</w:t>
      </w:r>
    </w:p>
    <w:p>
      <w:pPr>
        <w:spacing w:lineRule="auto" w:line="360" w:before="0" w:after="0"/>
        <w:ind w:firstLine="480"/>
      </w:pPr>
      <w:r>
        <w:rPr>
          <w:rFonts w:ascii="Times New Roman" w:hAnsi="Times New Roman" w:eastAsia="宋体"/>
          <w:sz w:val="24"/>
        </w:rPr>
        <w:t>我国沿海煤码头建设已形成较完整的设计、制造和施工体系。国内大型煤码头普遍采用专业化卸船设备、封闭式皮带机廊道、堆场喷淋和防风抑尘设施，以满足高效率和绿色港口要求。现行设计更加重视安全等级、耐久性、抗震、环保和运维便利性。</w:t>
      </w:r>
    </w:p>
    <w:p>
      <w:pPr>
        <w:spacing w:lineRule="auto" w:line="360" w:before="0" w:after="0"/>
        <w:ind w:firstLine="480"/>
      </w:pPr>
      <w:r>
        <w:rPr>
          <w:rFonts w:ascii="Times New Roman" w:hAnsi="Times New Roman" w:eastAsia="宋体"/>
          <w:sz w:val="24"/>
        </w:rPr>
        <w:t>国内港口工程设计强调根据工程地质条件进行结构选型。对于表层软弱土较厚的场区，若采用重力式结构通常需要较大规模换填、加固和基床处理；高桩结构可将荷载传递至深层较好持力层，常用于软土地基和有掩护水域的专用码头。</w:t>
      </w:r>
    </w:p>
    <w:p>
      <w:pPr>
        <w:pStyle w:val="2"/>
        <w:jc w:val="left"/>
      </w:pPr>
      <w:r>
        <w:rPr>
          <w:rFonts w:ascii="Times New Roman" w:hAnsi="Times New Roman" w:eastAsia="宋体"/>
          <w:b/>
          <w:sz w:val="24"/>
        </w:rPr>
        <w:t xml:space="preserve"> 研究内容与技术路线</w:t>
      </w:r>
    </w:p>
    <w:p>
      <w:pPr>
        <w:pStyle w:val="3"/>
        <w:jc w:val="left"/>
      </w:pPr>
      <w:r>
        <w:rPr>
          <w:rFonts w:ascii="Times New Roman" w:hAnsi="Times New Roman" w:eastAsia="宋体"/>
          <w:b/>
          <w:sz w:val="24"/>
        </w:rPr>
        <w:t xml:space="preserve"> 研究内容</w:t>
      </w:r>
    </w:p>
    <w:p>
      <w:pPr>
        <w:spacing w:lineRule="auto" w:line="360" w:before="0" w:after="0"/>
        <w:ind w:firstLine="480"/>
      </w:pPr>
      <w:r>
        <w:rPr>
          <w:rFonts w:ascii="Times New Roman" w:hAnsi="Times New Roman" w:eastAsia="宋体"/>
          <w:sz w:val="24"/>
        </w:rPr>
        <w:t>本设计主要内容包括：分析工程自然条件和设计控制参数；确定设计船型、泊位长度、码头面高程、前沿水深、停泊水域、回旋水域和航道尺度；选择卸船、输送、堆取料及辅助设备；计算堆场容量和面积；进行高桩梁板式与重力式沉箱结构方案比选；对推荐高桩梁板式结构进行主要荷载、桩基承载力、梁板尺寸和工程量的初步验算；提出工程概算、安全环保与施工组织建议。</w:t>
      </w:r>
    </w:p>
    <w:p>
      <w:pPr>
        <w:pStyle w:val="3"/>
        <w:jc w:val="left"/>
      </w:pPr>
      <w:r>
        <w:rPr>
          <w:rFonts w:ascii="Times New Roman" w:hAnsi="Times New Roman" w:eastAsia="宋体"/>
          <w:b/>
          <w:sz w:val="24"/>
        </w:rPr>
        <w:t xml:space="preserve"> 技术路线</w:t>
      </w:r>
    </w:p>
    <w:p>
      <w:pPr>
        <w:spacing w:lineRule="auto" w:line="360" w:before="0" w:after="0"/>
        <w:ind w:firstLine="480"/>
      </w:pPr>
      <w:r>
        <w:rPr>
          <w:rFonts w:ascii="Times New Roman" w:hAnsi="Times New Roman" w:eastAsia="宋体"/>
          <w:sz w:val="24"/>
        </w:rPr>
        <w:t>本设计采用“资料整理—规范查阅—参数确定—方案设计—结构计算—方案比选—成果整理”的技术路线。首先依据任务书和原始资料确定港址、船型、水位、风况、地质等边界条件；其次查阅现行规范并确定总平面和结构计算方法；然后开展总平面布置、装卸工艺设计和结构方案设计；最后通过技术经济比较确定推荐方案，并形成设计说明书。</w:t>
      </w:r>
    </w:p>
    <w:p>
      <w:pPr>
        <w:spacing w:before="120" w:after="0"/>
        <w:jc w:val="center"/>
      </w:pPr>
      <w:r>
        <w:drawing>
          <wp:inline xmlns:a="http://schemas.openxmlformats.org/drawingml/2006/main" xmlns:pic="http://schemas.openxmlformats.org/drawingml/2006/picture">
            <wp:extent cx="5166360" cy="1722120"/>
            <wp:docPr id="3" name="Picture 3"/>
            <wp:cNvGraphicFramePr>
              <a:graphicFrameLocks noChangeAspect="1"/>
            </wp:cNvGraphicFramePr>
            <a:graphic>
              <a:graphicData uri="http://schemas.openxmlformats.org/drawingml/2006/picture">
                <pic:pic>
                  <pic:nvPicPr>
                    <pic:cNvPr id="0" name="fig1-1-technical-route.png"/>
                    <pic:cNvPicPr/>
                  </pic:nvPicPr>
                  <pic:blipFill>
                    <a:blip r:embed="rId32"/>
                    <a:stretch>
                      <a:fillRect/>
                    </a:stretch>
                  </pic:blipFill>
                  <pic:spPr>
                    <a:xfrm>
                      <a:off x="0" y="0"/>
                      <a:ext cx="5166360" cy="172212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图1-1 论文研究技术路线</w:t>
      </w:r>
    </w:p>
    <w:p>
      <w:pPr>
        <w:spacing w:lineRule="auto" w:line="360" w:before="0" w:after="0"/>
        <w:ind w:firstLine="480"/>
      </w:pPr>
      <w:r>
        <w:rPr>
          <w:rFonts w:ascii="Times New Roman" w:hAnsi="Times New Roman" w:eastAsia="宋体"/>
          <w:sz w:val="24"/>
        </w:rPr>
        <w:t>图1-1给出了本设计的技术路线。设计工作从工程条件和规范依据出发，先确定船型、泊位尺度和水域陆域布置，再进行装卸系统配置和结构方案比选，最后对推荐高桩梁板式结构进行构件、桩基和工程量计算。</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阐述了汕尾电厂配套煤码头建设的背景、意义和设计任务，梳理了国内外煤码头工程技术发展情况，明确了本设计的研究内容与技术路线。后续章节将依据任务书与现行规范，对工程自然条件、总平面布置、装卸工艺、结构方案和主要计算进行系统设计。</w:t>
      </w:r>
    </w:p>
    <w:p>
      <w:pPr>
        <w:pStyle w:val="1"/>
        <w:pageBreakBefore/>
        <w:jc w:val="center"/>
      </w:pPr>
      <w:r>
        <w:rPr>
          <w:rFonts w:ascii="Times New Roman" w:hAnsi="Times New Roman" w:eastAsia="宋体"/>
          <w:b/>
          <w:sz w:val="30"/>
        </w:rPr>
        <w:t xml:space="preserve"> 工程概况与设计基础资料</w:t>
      </w:r>
    </w:p>
    <w:p>
      <w:pPr>
        <w:pStyle w:val="2"/>
        <w:jc w:val="left"/>
      </w:pPr>
      <w:r>
        <w:rPr>
          <w:rFonts w:ascii="Times New Roman" w:hAnsi="Times New Roman" w:eastAsia="宋体"/>
          <w:b/>
          <w:sz w:val="24"/>
        </w:rPr>
        <w:t xml:space="preserve"> 工程地理位置</w:t>
      </w:r>
    </w:p>
    <w:p>
      <w:pPr>
        <w:spacing w:lineRule="auto" w:line="360" w:before="0" w:after="0"/>
        <w:ind w:firstLine="480"/>
      </w:pPr>
      <w:r>
        <w:rPr>
          <w:rFonts w:ascii="Times New Roman" w:hAnsi="Times New Roman" w:eastAsia="宋体"/>
          <w:sz w:val="24"/>
        </w:rPr>
        <w:t>本工程为汕尾电厂配套煤码头工程，港址位于碣石湾西部、汕尾市遮浪镇以北、施公寮半岛以西的白沙湖内，距汕尾市区约20km。港址周边陆域以天然荒地为主，地形较平坦开阔，具备布置码头前方作业区、煤炭堆场和生产辅助设施的空间条件。原始地质资料采用汕尾电厂港口工程岩土工程勘察成果作为基础资料</w:t>
      </w:r>
      <w:r>
        <w:rPr>
          <w:rFonts w:ascii="Times New Roman" w:hAnsi="Times New Roman" w:eastAsia="宋体"/>
          <w:sz w:val="24"/>
          <w:vertAlign w:val="superscript"/>
        </w:rPr>
        <w:t>[3]</w:t>
      </w:r>
      <w:r>
        <w:rPr>
          <w:rFonts w:ascii="Times New Roman" w:hAnsi="Times New Roman" w:eastAsia="宋体"/>
          <w:sz w:val="24"/>
        </w:rPr>
        <w:t>。地基承载、沉降和桩基持力层判断按水运工程地基设计要求进行初步分析</w:t>
      </w:r>
      <w:r>
        <w:rPr>
          <w:rFonts w:ascii="Times New Roman" w:hAnsi="Times New Roman" w:eastAsia="宋体"/>
          <w:sz w:val="24"/>
          <w:vertAlign w:val="superscript"/>
        </w:rPr>
        <w:t>[4]</w:t>
      </w:r>
      <w:r>
        <w:rPr>
          <w:rFonts w:ascii="Times New Roman" w:hAnsi="Times New Roman" w:eastAsia="宋体"/>
          <w:sz w:val="24"/>
        </w:rPr>
        <w:t>。</w:t>
      </w:r>
    </w:p>
    <w:p>
      <w:pPr>
        <w:keepNext/>
        <w:spacing w:lineRule="auto" w:line="300" w:before="0" w:after="120"/>
        <w:jc w:val="center"/>
      </w:pPr>
      <w:r>
        <w:rPr>
          <w:rFonts w:ascii="Times New Roman" w:hAnsi="Times New Roman" w:eastAsia="宋体"/>
          <w:b w:val="0"/>
          <w:sz w:val="20"/>
        </w:rPr>
        <w:t>表2-1 工程设计基础参数</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04"/>
        <w:gridCol w:w="2880"/>
        <w:gridCol w:w="3168"/>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取值</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说明</w:t>
            </w:r>
          </w:p>
        </w:tc>
      </w:tr>
      <w:tr>
        <w:trPr>
          <w:cantSplit/>
        </w:trPr>
        <w:tc>
          <w:tcPr>
            <w:tcW w:type="dxa" w:w="2304"/>
            <w:vAlign w:val="center"/>
          </w:tcPr>
          <w:p>
            <w:pPr>
              <w:keepLines/>
              <w:spacing w:lineRule="auto" w:line="276"/>
              <w:jc w:val="center"/>
            </w:pPr>
            <w:r>
              <w:rPr>
                <w:rFonts w:ascii="Times New Roman" w:hAnsi="Times New Roman" w:eastAsia="宋体"/>
                <w:b w:val="0"/>
                <w:sz w:val="18"/>
              </w:rPr>
              <w:t>工程性质</w:t>
            </w:r>
          </w:p>
        </w:tc>
        <w:tc>
          <w:tcPr>
            <w:tcW w:type="dxa" w:w="2880"/>
            <w:vAlign w:val="center"/>
          </w:tcPr>
          <w:p>
            <w:pPr>
              <w:keepLines/>
              <w:spacing w:lineRule="auto" w:line="276"/>
              <w:jc w:val="center"/>
            </w:pPr>
            <w:r>
              <w:rPr>
                <w:rFonts w:ascii="Times New Roman" w:hAnsi="Times New Roman" w:eastAsia="宋体"/>
                <w:b w:val="0"/>
                <w:sz w:val="18"/>
              </w:rPr>
              <w:t>电厂专用进口燃料煤码头</w:t>
            </w:r>
          </w:p>
        </w:tc>
        <w:tc>
          <w:tcPr>
            <w:tcW w:type="dxa" w:w="3168"/>
            <w:vAlign w:val="center"/>
          </w:tcPr>
          <w:p>
            <w:pPr>
              <w:keepLines/>
              <w:spacing w:lineRule="auto" w:line="276"/>
              <w:jc w:val="center"/>
            </w:pPr>
            <w:r>
              <w:rPr>
                <w:rFonts w:ascii="Times New Roman" w:hAnsi="Times New Roman" w:eastAsia="宋体"/>
                <w:b w:val="0"/>
                <w:sz w:val="18"/>
              </w:rPr>
              <w:t>服务汕尾电厂燃料煤运输</w:t>
            </w:r>
          </w:p>
        </w:tc>
      </w:tr>
      <w:tr>
        <w:trPr>
          <w:cantSplit/>
        </w:trPr>
        <w:tc>
          <w:tcPr>
            <w:tcW w:type="dxa" w:w="2304"/>
            <w:vAlign w:val="center"/>
          </w:tcPr>
          <w:p>
            <w:pPr>
              <w:keepLines/>
              <w:spacing w:lineRule="auto" w:line="276"/>
              <w:jc w:val="center"/>
            </w:pPr>
            <w:r>
              <w:rPr>
                <w:rFonts w:ascii="Times New Roman" w:hAnsi="Times New Roman" w:eastAsia="宋体"/>
                <w:b w:val="0"/>
                <w:sz w:val="18"/>
              </w:rPr>
              <w:t>设计船型</w:t>
            </w:r>
          </w:p>
        </w:tc>
        <w:tc>
          <w:tcPr>
            <w:tcW w:type="dxa" w:w="2880"/>
            <w:vAlign w:val="center"/>
          </w:tcPr>
          <w:p>
            <w:pPr>
              <w:keepLines/>
              <w:spacing w:lineRule="auto" w:line="276"/>
              <w:jc w:val="center"/>
            </w:pPr>
            <w:r>
              <w:rPr>
                <w:rFonts w:ascii="Times New Roman" w:hAnsi="Times New Roman" w:eastAsia="宋体"/>
                <w:b w:val="0"/>
                <w:sz w:val="18"/>
              </w:rPr>
              <w:t>5万DWT散货船</w:t>
            </w:r>
          </w:p>
        </w:tc>
        <w:tc>
          <w:tcPr>
            <w:tcW w:type="dxa" w:w="3168"/>
            <w:vAlign w:val="center"/>
          </w:tcPr>
          <w:p>
            <w:pPr>
              <w:keepLines/>
              <w:spacing w:lineRule="auto" w:line="276"/>
              <w:jc w:val="center"/>
            </w:pPr>
            <w:r>
              <w:rPr>
                <w:rFonts w:ascii="Times New Roman" w:hAnsi="Times New Roman" w:eastAsia="宋体"/>
                <w:b w:val="0"/>
                <w:sz w:val="18"/>
              </w:rPr>
              <w:t>按任务书确定</w:t>
            </w:r>
          </w:p>
        </w:tc>
      </w:tr>
      <w:tr>
        <w:trPr>
          <w:cantSplit/>
        </w:trPr>
        <w:tc>
          <w:tcPr>
            <w:tcW w:type="dxa" w:w="2304"/>
            <w:vAlign w:val="center"/>
          </w:tcPr>
          <w:p>
            <w:pPr>
              <w:keepLines/>
              <w:spacing w:lineRule="auto" w:line="276"/>
              <w:jc w:val="center"/>
            </w:pPr>
            <w:r>
              <w:rPr>
                <w:rFonts w:ascii="Times New Roman" w:hAnsi="Times New Roman" w:eastAsia="宋体"/>
                <w:b w:val="0"/>
                <w:sz w:val="18"/>
              </w:rPr>
              <w:t>年工作天数</w:t>
            </w:r>
          </w:p>
        </w:tc>
        <w:tc>
          <w:tcPr>
            <w:tcW w:type="dxa" w:w="2880"/>
            <w:vAlign w:val="center"/>
          </w:tcPr>
          <w:p>
            <w:pPr>
              <w:keepLines/>
              <w:spacing w:lineRule="auto" w:line="276"/>
              <w:jc w:val="center"/>
            </w:pPr>
            <w:r>
              <w:rPr>
                <w:rFonts w:ascii="Times New Roman" w:hAnsi="Times New Roman" w:eastAsia="宋体"/>
                <w:b w:val="0"/>
                <w:sz w:val="18"/>
              </w:rPr>
              <w:t>321d</w:t>
            </w:r>
          </w:p>
        </w:tc>
        <w:tc>
          <w:tcPr>
            <w:tcW w:type="dxa" w:w="3168"/>
            <w:vAlign w:val="center"/>
          </w:tcPr>
          <w:p>
            <w:pPr>
              <w:keepLines/>
              <w:spacing w:lineRule="auto" w:line="276"/>
              <w:jc w:val="center"/>
            </w:pPr>
            <w:r>
              <w:rPr>
                <w:rFonts w:ascii="Times New Roman" w:hAnsi="Times New Roman" w:eastAsia="宋体"/>
                <w:b w:val="0"/>
                <w:sz w:val="18"/>
              </w:rPr>
              <w:t>用于通过能力计算</w:t>
            </w:r>
          </w:p>
        </w:tc>
      </w:tr>
      <w:tr>
        <w:trPr>
          <w:cantSplit/>
        </w:trPr>
        <w:tc>
          <w:tcPr>
            <w:tcW w:type="dxa" w:w="2304"/>
            <w:vAlign w:val="center"/>
          </w:tcPr>
          <w:p>
            <w:pPr>
              <w:keepLines/>
              <w:spacing w:lineRule="auto" w:line="276"/>
              <w:jc w:val="center"/>
            </w:pPr>
            <w:r>
              <w:rPr>
                <w:rFonts w:ascii="Times New Roman" w:hAnsi="Times New Roman" w:eastAsia="宋体"/>
                <w:b w:val="0"/>
                <w:sz w:val="18"/>
              </w:rPr>
              <w:t>每日纯作业时间</w:t>
            </w:r>
          </w:p>
        </w:tc>
        <w:tc>
          <w:tcPr>
            <w:tcW w:type="dxa" w:w="2880"/>
            <w:vAlign w:val="center"/>
          </w:tcPr>
          <w:p>
            <w:pPr>
              <w:keepLines/>
              <w:spacing w:lineRule="auto" w:line="276"/>
              <w:jc w:val="center"/>
            </w:pPr>
            <w:r>
              <w:rPr>
                <w:rFonts w:ascii="Times New Roman" w:hAnsi="Times New Roman" w:eastAsia="宋体"/>
                <w:b w:val="0"/>
                <w:sz w:val="18"/>
              </w:rPr>
              <w:t>21h</w:t>
            </w:r>
          </w:p>
        </w:tc>
        <w:tc>
          <w:tcPr>
            <w:tcW w:type="dxa" w:w="3168"/>
            <w:vAlign w:val="center"/>
          </w:tcPr>
          <w:p>
            <w:pPr>
              <w:keepLines/>
              <w:spacing w:lineRule="auto" w:line="276"/>
              <w:jc w:val="center"/>
            </w:pPr>
            <w:r>
              <w:rPr>
                <w:rFonts w:ascii="Times New Roman" w:hAnsi="Times New Roman" w:eastAsia="宋体"/>
                <w:b w:val="0"/>
                <w:sz w:val="18"/>
              </w:rPr>
              <w:t>扣除检修及非作业时间</w:t>
            </w:r>
          </w:p>
        </w:tc>
      </w:tr>
      <w:tr>
        <w:trPr>
          <w:cantSplit/>
        </w:trPr>
        <w:tc>
          <w:tcPr>
            <w:tcW w:type="dxa" w:w="2304"/>
            <w:vAlign w:val="center"/>
          </w:tcPr>
          <w:p>
            <w:pPr>
              <w:keepLines/>
              <w:spacing w:lineRule="auto" w:line="276"/>
              <w:jc w:val="center"/>
            </w:pPr>
            <w:r>
              <w:rPr>
                <w:rFonts w:ascii="Times New Roman" w:hAnsi="Times New Roman" w:eastAsia="宋体"/>
                <w:b w:val="0"/>
                <w:sz w:val="18"/>
              </w:rPr>
              <w:t>结构安全等级</w:t>
            </w:r>
          </w:p>
        </w:tc>
        <w:tc>
          <w:tcPr>
            <w:tcW w:type="dxa" w:w="2880"/>
            <w:vAlign w:val="center"/>
          </w:tcPr>
          <w:p>
            <w:pPr>
              <w:keepLines/>
              <w:spacing w:lineRule="auto" w:line="276"/>
              <w:jc w:val="center"/>
            </w:pPr>
            <w:r>
              <w:rPr>
                <w:rFonts w:ascii="Times New Roman" w:hAnsi="Times New Roman" w:eastAsia="宋体"/>
                <w:b w:val="0"/>
                <w:sz w:val="18"/>
              </w:rPr>
              <w:t>二级</w:t>
            </w:r>
          </w:p>
        </w:tc>
        <w:tc>
          <w:tcPr>
            <w:tcW w:type="dxa" w:w="3168"/>
            <w:vAlign w:val="center"/>
          </w:tcPr>
          <w:p>
            <w:pPr>
              <w:keepLines/>
              <w:spacing w:lineRule="auto" w:line="276"/>
              <w:jc w:val="center"/>
            </w:pPr>
            <w:r>
              <w:rPr>
                <w:rFonts w:ascii="Times New Roman" w:hAnsi="Times New Roman" w:eastAsia="宋体"/>
                <w:b w:val="0"/>
                <w:sz w:val="18"/>
              </w:rPr>
              <w:t>按任务书取值</w:t>
            </w:r>
          </w:p>
        </w:tc>
      </w:tr>
      <w:tr>
        <w:trPr>
          <w:cantSplit/>
        </w:trPr>
        <w:tc>
          <w:tcPr>
            <w:tcW w:type="dxa" w:w="2304"/>
            <w:vAlign w:val="center"/>
          </w:tcPr>
          <w:p>
            <w:pPr>
              <w:keepLines/>
              <w:spacing w:lineRule="auto" w:line="276"/>
              <w:jc w:val="center"/>
            </w:pPr>
            <w:r>
              <w:rPr>
                <w:rFonts w:ascii="Times New Roman" w:hAnsi="Times New Roman" w:eastAsia="宋体"/>
                <w:b w:val="0"/>
                <w:sz w:val="18"/>
              </w:rPr>
              <w:t>设计烈度</w:t>
            </w:r>
          </w:p>
        </w:tc>
        <w:tc>
          <w:tcPr>
            <w:tcW w:type="dxa" w:w="2880"/>
            <w:vAlign w:val="center"/>
          </w:tcPr>
          <w:p>
            <w:pPr>
              <w:keepLines/>
              <w:spacing w:lineRule="auto" w:line="276"/>
              <w:jc w:val="center"/>
            </w:pPr>
            <w:r>
              <w:rPr>
                <w:rFonts w:ascii="Times New Roman" w:hAnsi="Times New Roman" w:eastAsia="宋体"/>
                <w:b w:val="0"/>
                <w:sz w:val="18"/>
              </w:rPr>
              <w:t>7度</w:t>
            </w:r>
          </w:p>
        </w:tc>
        <w:tc>
          <w:tcPr>
            <w:tcW w:type="dxa" w:w="3168"/>
            <w:vAlign w:val="center"/>
          </w:tcPr>
          <w:p>
            <w:pPr>
              <w:keepLines/>
              <w:spacing w:lineRule="auto" w:line="276"/>
              <w:jc w:val="center"/>
            </w:pPr>
            <w:r>
              <w:rPr>
                <w:rFonts w:ascii="Times New Roman" w:hAnsi="Times New Roman" w:eastAsia="宋体"/>
                <w:b w:val="0"/>
                <w:sz w:val="18"/>
              </w:rPr>
              <w:t>用于抗震设防说明</w:t>
            </w:r>
          </w:p>
        </w:tc>
      </w:tr>
    </w:tbl>
    <w:p/>
    <w:p>
      <w:pPr>
        <w:spacing w:lineRule="auto" w:line="360" w:before="0" w:after="0"/>
        <w:ind w:firstLine="480"/>
      </w:pPr>
      <w:r>
        <w:rPr>
          <w:rFonts w:ascii="Times New Roman" w:hAnsi="Times New Roman" w:eastAsia="宋体"/>
          <w:sz w:val="24"/>
        </w:rPr>
        <w:t>工程服务对象为电厂燃料煤接卸，码头布置应优先保证煤船靠泊后的连续卸煤能力。与公共散货码头相比，电厂专用煤码头的货种单一、流向明确，后方煤场和电厂煤仓对码头工艺具有直接约束，平面布置中应减少煤流折返和二次倒运。</w:t>
      </w:r>
    </w:p>
    <w:p>
      <w:pPr>
        <w:spacing w:lineRule="auto" w:line="360" w:before="0" w:after="0"/>
        <w:ind w:firstLine="480"/>
      </w:pPr>
      <w:r>
        <w:rPr>
          <w:rFonts w:ascii="Times New Roman" w:hAnsi="Times New Roman" w:eastAsia="宋体"/>
          <w:sz w:val="24"/>
        </w:rPr>
        <w:t>本工程外部水域处于有掩护海域，波浪条件相对较好，但台风、大风和强降雨仍会影响靠离泊、卸船机运行和煤场环保管理。设计中应把气象停工、船舶避风和煤场排水作为运行条件的一部分。</w:t>
      </w:r>
    </w:p>
    <w:p>
      <w:pPr>
        <w:pStyle w:val="2"/>
        <w:jc w:val="left"/>
      </w:pPr>
      <w:r>
        <w:rPr>
          <w:rFonts w:ascii="Times New Roman" w:hAnsi="Times New Roman" w:eastAsia="宋体"/>
          <w:b/>
          <w:sz w:val="24"/>
        </w:rPr>
        <w:t xml:space="preserve"> 气象条件</w:t>
      </w:r>
    </w:p>
    <w:p>
      <w:pPr>
        <w:pStyle w:val="3"/>
        <w:jc w:val="left"/>
      </w:pPr>
      <w:r>
        <w:rPr>
          <w:rFonts w:ascii="Times New Roman" w:hAnsi="Times New Roman" w:eastAsia="宋体"/>
          <w:b/>
          <w:sz w:val="24"/>
        </w:rPr>
        <w:t xml:space="preserve"> 气温</w:t>
      </w:r>
    </w:p>
    <w:p>
      <w:pPr>
        <w:spacing w:lineRule="auto" w:line="360" w:before="0" w:after="0"/>
        <w:ind w:firstLine="480"/>
      </w:pPr>
      <w:r>
        <w:rPr>
          <w:rFonts w:ascii="Times New Roman" w:hAnsi="Times New Roman" w:eastAsia="宋体"/>
          <w:sz w:val="24"/>
        </w:rPr>
        <w:t>工程所在区域多年平均气温为21.8℃，多年最高气温为36.5℃，多年最低气温为2.8℃。气温条件总体适宜港口工程施工和运行，但夏季高温与强降雨叠加时，应加强混凝土养护、设备防晒和作业人员防暑。</w:t>
      </w:r>
    </w:p>
    <w:p>
      <w:pPr>
        <w:pStyle w:val="3"/>
        <w:jc w:val="left"/>
      </w:pPr>
      <w:r>
        <w:rPr>
          <w:rFonts w:ascii="Times New Roman" w:hAnsi="Times New Roman" w:eastAsia="宋体"/>
          <w:b/>
          <w:sz w:val="24"/>
        </w:rPr>
        <w:t xml:space="preserve"> 降水</w:t>
      </w:r>
    </w:p>
    <w:p>
      <w:pPr>
        <w:spacing w:lineRule="auto" w:line="360" w:before="0" w:after="0"/>
        <w:ind w:firstLine="480"/>
      </w:pPr>
      <w:r>
        <w:rPr>
          <w:rFonts w:ascii="Times New Roman" w:hAnsi="Times New Roman" w:eastAsia="宋体"/>
          <w:sz w:val="24"/>
        </w:rPr>
        <w:t>本地区雨量充沛，每年4月至10月为雨季，雨季降水量占全年约89.5%。多年平均年降水量为1589.4mm，年最大降水量可达2496.0mm。降水对煤炭堆存含水率、皮带机廊道排水、堆场雨水收集和施工组织均有明显影响，设计中应设置堆场截排水和含煤污水收集处理设施。</w:t>
      </w:r>
    </w:p>
    <w:p>
      <w:pPr>
        <w:pStyle w:val="3"/>
        <w:jc w:val="left"/>
      </w:pPr>
      <w:r>
        <w:rPr>
          <w:rFonts w:ascii="Times New Roman" w:hAnsi="Times New Roman" w:eastAsia="宋体"/>
          <w:b/>
          <w:sz w:val="24"/>
        </w:rPr>
        <w:t xml:space="preserve"> 风况</w:t>
      </w:r>
    </w:p>
    <w:p>
      <w:pPr>
        <w:spacing w:lineRule="auto" w:line="360" w:before="0" w:after="0"/>
        <w:ind w:firstLine="480"/>
      </w:pPr>
      <w:r>
        <w:rPr>
          <w:rFonts w:ascii="Times New Roman" w:hAnsi="Times New Roman" w:eastAsia="宋体"/>
          <w:sz w:val="24"/>
        </w:rPr>
        <w:t>港区年常风向为ENE，频率为22.2%，次常风向为E，频率为19.5%。全年最大风速为40.0m/s，风向为NNE。任务书规定设计风力为9级，9级以上船舶至锚地避风，不设置风暴系船柱。风况对船舶靠泊、卸船机抗风锚定、堆场扬尘和施工安全均为控制因素。</w:t>
      </w:r>
    </w:p>
    <w:p>
      <w:pPr>
        <w:pStyle w:val="3"/>
        <w:jc w:val="left"/>
      </w:pPr>
      <w:r>
        <w:rPr>
          <w:rFonts w:ascii="Times New Roman" w:hAnsi="Times New Roman" w:eastAsia="宋体"/>
          <w:b/>
          <w:sz w:val="24"/>
        </w:rPr>
        <w:t xml:space="preserve"> 台风</w:t>
      </w:r>
    </w:p>
    <w:p>
      <w:pPr>
        <w:spacing w:lineRule="auto" w:line="360" w:before="0" w:after="0"/>
        <w:ind w:firstLine="480"/>
      </w:pPr>
      <w:r>
        <w:rPr>
          <w:rFonts w:ascii="Times New Roman" w:hAnsi="Times New Roman" w:eastAsia="宋体"/>
          <w:sz w:val="24"/>
        </w:rPr>
        <w:t>西太平洋和南海生成的台风每年6月至10月对港区影响较大。历史资料显示，附近海域受台风影响频率较高，强台风可能造成大风、暴雨和风暴增水。码头运营期应建立防台预案，台风影响前停止装卸作业，船舶离泊避风，卸船机和堆取料机按抗风要求锚定。</w:t>
      </w:r>
    </w:p>
    <w:p>
      <w:pPr>
        <w:pStyle w:val="3"/>
        <w:jc w:val="left"/>
      </w:pPr>
      <w:r>
        <w:rPr>
          <w:rFonts w:ascii="Times New Roman" w:hAnsi="Times New Roman" w:eastAsia="宋体"/>
          <w:b/>
          <w:sz w:val="24"/>
        </w:rPr>
        <w:t xml:space="preserve"> 雾况与湿度</w:t>
      </w:r>
    </w:p>
    <w:p>
      <w:pPr>
        <w:spacing w:lineRule="auto" w:line="360" w:before="0" w:after="0"/>
        <w:ind w:firstLine="480"/>
      </w:pPr>
      <w:r>
        <w:rPr>
          <w:rFonts w:ascii="Times New Roman" w:hAnsi="Times New Roman" w:eastAsia="宋体"/>
          <w:sz w:val="24"/>
        </w:rPr>
        <w:t>多年平均雾日数为17.9d，雾多出现于1月至5月。多年平均相对湿度为80.7%，3月至8月湿度较大。雾况会降低船舶进出港和码头作业能见度，湿度会影响煤炭含水率、设备电气防护和钢结构防腐。</w:t>
      </w:r>
    </w:p>
    <w:p>
      <w:pPr>
        <w:keepNext/>
        <w:spacing w:lineRule="auto" w:line="300" w:before="0" w:after="120"/>
        <w:jc w:val="center"/>
      </w:pPr>
      <w:r>
        <w:rPr>
          <w:rFonts w:ascii="Times New Roman" w:hAnsi="Times New Roman" w:eastAsia="宋体"/>
          <w:b w:val="0"/>
          <w:sz w:val="20"/>
        </w:rPr>
        <w:t>表2-2 主要气象条件汇总</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728"/>
        <w:gridCol w:w="3456"/>
        <w:gridCol w:w="3168"/>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类别</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主要指标</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设计影响</w:t>
            </w:r>
          </w:p>
        </w:tc>
      </w:tr>
      <w:tr>
        <w:trPr>
          <w:cantSplit/>
        </w:trPr>
        <w:tc>
          <w:tcPr>
            <w:tcW w:type="dxa" w:w="1728"/>
            <w:vAlign w:val="center"/>
          </w:tcPr>
          <w:p>
            <w:pPr>
              <w:keepLines/>
              <w:spacing w:lineRule="auto" w:line="276"/>
              <w:jc w:val="center"/>
            </w:pPr>
            <w:r>
              <w:rPr>
                <w:rFonts w:ascii="Times New Roman" w:hAnsi="Times New Roman" w:eastAsia="宋体"/>
                <w:b w:val="0"/>
                <w:sz w:val="18"/>
              </w:rPr>
              <w:t>气温</w:t>
            </w:r>
          </w:p>
        </w:tc>
        <w:tc>
          <w:tcPr>
            <w:tcW w:type="dxa" w:w="3456"/>
            <w:vAlign w:val="center"/>
          </w:tcPr>
          <w:p>
            <w:pPr>
              <w:keepLines/>
              <w:spacing w:lineRule="auto" w:line="276"/>
              <w:jc w:val="center"/>
            </w:pPr>
            <w:r>
              <w:rPr>
                <w:rFonts w:ascii="Times New Roman" w:hAnsi="Times New Roman" w:eastAsia="宋体"/>
                <w:b w:val="0"/>
                <w:sz w:val="18"/>
              </w:rPr>
              <w:t>多年平均21.8℃，最高36.5℃</w:t>
            </w:r>
          </w:p>
        </w:tc>
        <w:tc>
          <w:tcPr>
            <w:tcW w:type="dxa" w:w="3168"/>
            <w:vAlign w:val="center"/>
          </w:tcPr>
          <w:p>
            <w:pPr>
              <w:keepLines/>
              <w:spacing w:lineRule="auto" w:line="276"/>
              <w:jc w:val="center"/>
            </w:pPr>
            <w:r>
              <w:rPr>
                <w:rFonts w:ascii="Times New Roman" w:hAnsi="Times New Roman" w:eastAsia="宋体"/>
                <w:b w:val="0"/>
                <w:sz w:val="18"/>
              </w:rPr>
              <w:t>影响混凝土施工养护和设备运行</w:t>
            </w:r>
          </w:p>
        </w:tc>
      </w:tr>
      <w:tr>
        <w:trPr>
          <w:cantSplit/>
        </w:trPr>
        <w:tc>
          <w:tcPr>
            <w:tcW w:type="dxa" w:w="1728"/>
            <w:vAlign w:val="center"/>
          </w:tcPr>
          <w:p>
            <w:pPr>
              <w:keepLines/>
              <w:spacing w:lineRule="auto" w:line="276"/>
              <w:jc w:val="center"/>
            </w:pPr>
            <w:r>
              <w:rPr>
                <w:rFonts w:ascii="Times New Roman" w:hAnsi="Times New Roman" w:eastAsia="宋体"/>
                <w:b w:val="0"/>
                <w:sz w:val="18"/>
              </w:rPr>
              <w:t>降水</w:t>
            </w:r>
          </w:p>
        </w:tc>
        <w:tc>
          <w:tcPr>
            <w:tcW w:type="dxa" w:w="3456"/>
            <w:vAlign w:val="center"/>
          </w:tcPr>
          <w:p>
            <w:pPr>
              <w:keepLines/>
              <w:spacing w:lineRule="auto" w:line="276"/>
              <w:jc w:val="center"/>
            </w:pPr>
            <w:r>
              <w:rPr>
                <w:rFonts w:ascii="Times New Roman" w:hAnsi="Times New Roman" w:eastAsia="宋体"/>
                <w:b w:val="0"/>
                <w:sz w:val="18"/>
              </w:rPr>
              <w:t>多年平均1589.4mm，雨季集中</w:t>
            </w:r>
          </w:p>
        </w:tc>
        <w:tc>
          <w:tcPr>
            <w:tcW w:type="dxa" w:w="3168"/>
            <w:vAlign w:val="center"/>
          </w:tcPr>
          <w:p>
            <w:pPr>
              <w:keepLines/>
              <w:spacing w:lineRule="auto" w:line="276"/>
              <w:jc w:val="center"/>
            </w:pPr>
            <w:r>
              <w:rPr>
                <w:rFonts w:ascii="Times New Roman" w:hAnsi="Times New Roman" w:eastAsia="宋体"/>
                <w:b w:val="0"/>
                <w:sz w:val="18"/>
              </w:rPr>
              <w:t>需设置堆场排水和含煤污水处理</w:t>
            </w:r>
          </w:p>
        </w:tc>
      </w:tr>
      <w:tr>
        <w:trPr>
          <w:cantSplit/>
        </w:trPr>
        <w:tc>
          <w:tcPr>
            <w:tcW w:type="dxa" w:w="1728"/>
            <w:vAlign w:val="center"/>
          </w:tcPr>
          <w:p>
            <w:pPr>
              <w:keepLines/>
              <w:spacing w:lineRule="auto" w:line="276"/>
              <w:jc w:val="center"/>
            </w:pPr>
            <w:r>
              <w:rPr>
                <w:rFonts w:ascii="Times New Roman" w:hAnsi="Times New Roman" w:eastAsia="宋体"/>
                <w:b w:val="0"/>
                <w:sz w:val="18"/>
              </w:rPr>
              <w:t>风况</w:t>
            </w:r>
          </w:p>
        </w:tc>
        <w:tc>
          <w:tcPr>
            <w:tcW w:type="dxa" w:w="3456"/>
            <w:vAlign w:val="center"/>
          </w:tcPr>
          <w:p>
            <w:pPr>
              <w:keepLines/>
              <w:spacing w:lineRule="auto" w:line="276"/>
              <w:jc w:val="center"/>
            </w:pPr>
            <w:r>
              <w:rPr>
                <w:rFonts w:ascii="Times New Roman" w:hAnsi="Times New Roman" w:eastAsia="宋体"/>
                <w:b w:val="0"/>
                <w:sz w:val="18"/>
              </w:rPr>
              <w:t>常风向ENE，最大风速40.0m/s</w:t>
            </w:r>
          </w:p>
        </w:tc>
        <w:tc>
          <w:tcPr>
            <w:tcW w:type="dxa" w:w="3168"/>
            <w:vAlign w:val="center"/>
          </w:tcPr>
          <w:p>
            <w:pPr>
              <w:keepLines/>
              <w:spacing w:lineRule="auto" w:line="276"/>
              <w:jc w:val="center"/>
            </w:pPr>
            <w:r>
              <w:rPr>
                <w:rFonts w:ascii="Times New Roman" w:hAnsi="Times New Roman" w:eastAsia="宋体"/>
                <w:b w:val="0"/>
                <w:sz w:val="18"/>
              </w:rPr>
              <w:t>控制靠离泊、机械锚定和扬尘</w:t>
            </w:r>
          </w:p>
        </w:tc>
      </w:tr>
      <w:tr>
        <w:trPr>
          <w:cantSplit/>
        </w:trPr>
        <w:tc>
          <w:tcPr>
            <w:tcW w:type="dxa" w:w="1728"/>
            <w:vAlign w:val="center"/>
          </w:tcPr>
          <w:p>
            <w:pPr>
              <w:keepLines/>
              <w:spacing w:lineRule="auto" w:line="276"/>
              <w:jc w:val="center"/>
            </w:pPr>
            <w:r>
              <w:rPr>
                <w:rFonts w:ascii="Times New Roman" w:hAnsi="Times New Roman" w:eastAsia="宋体"/>
                <w:b w:val="0"/>
                <w:sz w:val="18"/>
              </w:rPr>
              <w:t>台风</w:t>
            </w:r>
          </w:p>
        </w:tc>
        <w:tc>
          <w:tcPr>
            <w:tcW w:type="dxa" w:w="3456"/>
            <w:vAlign w:val="center"/>
          </w:tcPr>
          <w:p>
            <w:pPr>
              <w:keepLines/>
              <w:spacing w:lineRule="auto" w:line="276"/>
              <w:jc w:val="center"/>
            </w:pPr>
            <w:r>
              <w:rPr>
                <w:rFonts w:ascii="Times New Roman" w:hAnsi="Times New Roman" w:eastAsia="宋体"/>
                <w:b w:val="0"/>
                <w:sz w:val="18"/>
              </w:rPr>
              <w:t>6月至10月影响较大</w:t>
            </w:r>
          </w:p>
        </w:tc>
        <w:tc>
          <w:tcPr>
            <w:tcW w:type="dxa" w:w="3168"/>
            <w:vAlign w:val="center"/>
          </w:tcPr>
          <w:p>
            <w:pPr>
              <w:keepLines/>
              <w:spacing w:lineRule="auto" w:line="276"/>
              <w:jc w:val="center"/>
            </w:pPr>
            <w:r>
              <w:rPr>
                <w:rFonts w:ascii="Times New Roman" w:hAnsi="Times New Roman" w:eastAsia="宋体"/>
                <w:b w:val="0"/>
                <w:sz w:val="18"/>
              </w:rPr>
              <w:t>需制定防台和船舶避风措施</w:t>
            </w:r>
          </w:p>
        </w:tc>
      </w:tr>
      <w:tr>
        <w:trPr>
          <w:cantSplit/>
        </w:trPr>
        <w:tc>
          <w:tcPr>
            <w:tcW w:type="dxa" w:w="1728"/>
            <w:vAlign w:val="center"/>
          </w:tcPr>
          <w:p>
            <w:pPr>
              <w:keepLines/>
              <w:spacing w:lineRule="auto" w:line="276"/>
              <w:jc w:val="center"/>
            </w:pPr>
            <w:r>
              <w:rPr>
                <w:rFonts w:ascii="Times New Roman" w:hAnsi="Times New Roman" w:eastAsia="宋体"/>
                <w:b w:val="0"/>
                <w:sz w:val="18"/>
              </w:rPr>
              <w:t>雾况</w:t>
            </w:r>
          </w:p>
        </w:tc>
        <w:tc>
          <w:tcPr>
            <w:tcW w:type="dxa" w:w="3456"/>
            <w:vAlign w:val="center"/>
          </w:tcPr>
          <w:p>
            <w:pPr>
              <w:keepLines/>
              <w:spacing w:lineRule="auto" w:line="276"/>
              <w:jc w:val="center"/>
            </w:pPr>
            <w:r>
              <w:rPr>
                <w:rFonts w:ascii="Times New Roman" w:hAnsi="Times New Roman" w:eastAsia="宋体"/>
                <w:b w:val="0"/>
                <w:sz w:val="18"/>
              </w:rPr>
              <w:t>多年平均雾日17.9d</w:t>
            </w:r>
          </w:p>
        </w:tc>
        <w:tc>
          <w:tcPr>
            <w:tcW w:type="dxa" w:w="3168"/>
            <w:vAlign w:val="center"/>
          </w:tcPr>
          <w:p>
            <w:pPr>
              <w:keepLines/>
              <w:spacing w:lineRule="auto" w:line="276"/>
              <w:jc w:val="center"/>
            </w:pPr>
            <w:r>
              <w:rPr>
                <w:rFonts w:ascii="Times New Roman" w:hAnsi="Times New Roman" w:eastAsia="宋体"/>
                <w:b w:val="0"/>
                <w:sz w:val="18"/>
              </w:rPr>
              <w:t>影响通航和装卸作业安全</w:t>
            </w:r>
          </w:p>
        </w:tc>
      </w:tr>
      <w:tr>
        <w:trPr>
          <w:cantSplit/>
        </w:trPr>
        <w:tc>
          <w:tcPr>
            <w:tcW w:type="dxa" w:w="1728"/>
            <w:vAlign w:val="center"/>
          </w:tcPr>
          <w:p>
            <w:pPr>
              <w:keepLines/>
              <w:spacing w:lineRule="auto" w:line="276"/>
              <w:jc w:val="center"/>
            </w:pPr>
            <w:r>
              <w:rPr>
                <w:rFonts w:ascii="Times New Roman" w:hAnsi="Times New Roman" w:eastAsia="宋体"/>
                <w:b w:val="0"/>
                <w:sz w:val="18"/>
              </w:rPr>
              <w:t>湿度</w:t>
            </w:r>
          </w:p>
        </w:tc>
        <w:tc>
          <w:tcPr>
            <w:tcW w:type="dxa" w:w="3456"/>
            <w:vAlign w:val="center"/>
          </w:tcPr>
          <w:p>
            <w:pPr>
              <w:keepLines/>
              <w:spacing w:lineRule="auto" w:line="276"/>
              <w:jc w:val="center"/>
            </w:pPr>
            <w:r>
              <w:rPr>
                <w:rFonts w:ascii="Times New Roman" w:hAnsi="Times New Roman" w:eastAsia="宋体"/>
                <w:b w:val="0"/>
                <w:sz w:val="18"/>
              </w:rPr>
              <w:t>多年平均相对湿度80.7%</w:t>
            </w:r>
          </w:p>
        </w:tc>
        <w:tc>
          <w:tcPr>
            <w:tcW w:type="dxa" w:w="3168"/>
            <w:vAlign w:val="center"/>
          </w:tcPr>
          <w:p>
            <w:pPr>
              <w:keepLines/>
              <w:spacing w:lineRule="auto" w:line="276"/>
              <w:jc w:val="center"/>
            </w:pPr>
            <w:r>
              <w:rPr>
                <w:rFonts w:ascii="Times New Roman" w:hAnsi="Times New Roman" w:eastAsia="宋体"/>
                <w:b w:val="0"/>
                <w:sz w:val="18"/>
              </w:rPr>
              <w:t>影响防腐和电气防潮</w:t>
            </w:r>
          </w:p>
        </w:tc>
      </w:tr>
    </w:tbl>
    <w:p/>
    <w:p>
      <w:pPr>
        <w:pStyle w:val="2"/>
        <w:jc w:val="left"/>
      </w:pPr>
      <w:r>
        <w:rPr>
          <w:rFonts w:ascii="Times New Roman" w:hAnsi="Times New Roman" w:eastAsia="宋体"/>
          <w:b/>
          <w:sz w:val="24"/>
        </w:rPr>
        <w:t xml:space="preserve"> 水文条件</w:t>
      </w:r>
    </w:p>
    <w:p>
      <w:pPr>
        <w:spacing w:lineRule="auto" w:line="360" w:before="0" w:after="0"/>
        <w:ind w:firstLine="480"/>
      </w:pPr>
      <w:r>
        <w:rPr>
          <w:rFonts w:ascii="Times New Roman" w:hAnsi="Times New Roman" w:eastAsia="宋体"/>
          <w:sz w:val="24"/>
        </w:rPr>
        <w:t>水文条件对本工程有两类影响：一类是船舶靠离泊和码头前沿水深控制，另一类是施工期水上作业窗口和临时设施安全。设计低水位控制前沿泥面标高和船舶吃水富裕，设计高水位和极端高水位控制码头面高程、防汛和排水，海流条件则影响沉桩船、起重船和混凝土运输船的定位。</w:t>
      </w:r>
    </w:p>
    <w:p>
      <w:pPr>
        <w:pStyle w:val="3"/>
        <w:jc w:val="left"/>
      </w:pPr>
      <w:r>
        <w:rPr>
          <w:rFonts w:ascii="Times New Roman" w:hAnsi="Times New Roman" w:eastAsia="宋体"/>
          <w:b/>
          <w:sz w:val="24"/>
        </w:rPr>
        <w:t xml:space="preserve"> 潮型与潮位特征</w:t>
      </w:r>
    </w:p>
    <w:p>
      <w:pPr>
        <w:spacing w:lineRule="auto" w:line="360" w:before="0" w:after="0"/>
        <w:ind w:firstLine="480"/>
      </w:pPr>
      <w:r>
        <w:rPr>
          <w:rFonts w:ascii="Times New Roman" w:hAnsi="Times New Roman" w:eastAsia="宋体"/>
          <w:sz w:val="24"/>
        </w:rPr>
        <w:t>根据原始资料，港区属不规则日潮混合潮，日潮不等现象明显。多年平均海面为1.00m，平均高高潮位为1.60m，平均低低潮位为0.50m，最大潮差为2.94m。潮位资料是确定码头面高程、前沿水深、施工水位和靠泊条件的重要依据，相关整理方法参考海港工程设计资料处理原则</w:t>
      </w:r>
      <w:r>
        <w:rPr>
          <w:rFonts w:ascii="Times New Roman" w:hAnsi="Times New Roman" w:eastAsia="宋体"/>
          <w:sz w:val="24"/>
          <w:vertAlign w:val="superscript"/>
        </w:rPr>
        <w:t>[5]</w:t>
      </w:r>
      <w:r>
        <w:rPr>
          <w:rFonts w:ascii="Times New Roman" w:hAnsi="Times New Roman" w:eastAsia="宋体"/>
          <w:sz w:val="24"/>
        </w:rPr>
        <w:t>。</w:t>
      </w:r>
    </w:p>
    <w:p>
      <w:pPr>
        <w:pStyle w:val="3"/>
        <w:jc w:val="left"/>
      </w:pPr>
      <w:r>
        <w:rPr>
          <w:rFonts w:ascii="Times New Roman" w:hAnsi="Times New Roman" w:eastAsia="宋体"/>
          <w:b/>
          <w:sz w:val="24"/>
        </w:rPr>
        <w:t xml:space="preserve"> 设计水位</w:t>
      </w:r>
    </w:p>
    <w:p>
      <w:pPr>
        <w:keepNext/>
        <w:spacing w:lineRule="auto" w:line="300" w:before="0" w:after="120"/>
        <w:jc w:val="center"/>
      </w:pPr>
      <w:r>
        <w:rPr>
          <w:rFonts w:ascii="Times New Roman" w:hAnsi="Times New Roman" w:eastAsia="宋体"/>
          <w:b w:val="0"/>
          <w:sz w:val="20"/>
        </w:rPr>
        <w:t>表2-3 设计水位取值</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592"/>
        <w:gridCol w:w="1872"/>
        <w:gridCol w:w="3888"/>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水位项目</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高程/m</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用途</w:t>
            </w:r>
          </w:p>
        </w:tc>
      </w:tr>
      <w:tr>
        <w:trPr>
          <w:cantSplit/>
        </w:trPr>
        <w:tc>
          <w:tcPr>
            <w:tcW w:type="dxa" w:w="2592"/>
            <w:vAlign w:val="center"/>
          </w:tcPr>
          <w:p>
            <w:pPr>
              <w:keepLines/>
              <w:spacing w:lineRule="auto" w:line="276"/>
              <w:jc w:val="center"/>
            </w:pPr>
            <w:r>
              <w:rPr>
                <w:rFonts w:ascii="Times New Roman" w:hAnsi="Times New Roman" w:eastAsia="宋体"/>
                <w:b w:val="0"/>
                <w:sz w:val="18"/>
              </w:rPr>
              <w:t>设计高水位</w:t>
            </w:r>
          </w:p>
        </w:tc>
        <w:tc>
          <w:tcPr>
            <w:tcW w:type="dxa" w:w="1872"/>
            <w:vAlign w:val="center"/>
          </w:tcPr>
          <w:p>
            <w:pPr>
              <w:keepLines/>
              <w:spacing w:lineRule="auto" w:line="276"/>
              <w:jc w:val="center"/>
            </w:pPr>
            <w:r>
              <w:rPr>
                <w:rFonts w:ascii="Times New Roman" w:hAnsi="Times New Roman" w:eastAsia="宋体"/>
                <w:b w:val="0"/>
                <w:sz w:val="18"/>
              </w:rPr>
              <w:t>1.91</w:t>
            </w:r>
          </w:p>
        </w:tc>
        <w:tc>
          <w:tcPr>
            <w:tcW w:type="dxa" w:w="3888"/>
            <w:vAlign w:val="center"/>
          </w:tcPr>
          <w:p>
            <w:pPr>
              <w:keepLines/>
              <w:spacing w:lineRule="auto" w:line="276"/>
              <w:jc w:val="center"/>
            </w:pPr>
            <w:r>
              <w:rPr>
                <w:rFonts w:ascii="Times New Roman" w:hAnsi="Times New Roman" w:eastAsia="宋体"/>
                <w:b w:val="0"/>
                <w:sz w:val="18"/>
              </w:rPr>
              <w:t>码头面高程和靠泊作业控制</w:t>
            </w:r>
          </w:p>
        </w:tc>
      </w:tr>
      <w:tr>
        <w:trPr>
          <w:cantSplit/>
        </w:trPr>
        <w:tc>
          <w:tcPr>
            <w:tcW w:type="dxa" w:w="2592"/>
            <w:vAlign w:val="center"/>
          </w:tcPr>
          <w:p>
            <w:pPr>
              <w:keepLines/>
              <w:spacing w:lineRule="auto" w:line="276"/>
              <w:jc w:val="center"/>
            </w:pPr>
            <w:r>
              <w:rPr>
                <w:rFonts w:ascii="Times New Roman" w:hAnsi="Times New Roman" w:eastAsia="宋体"/>
                <w:b w:val="0"/>
                <w:sz w:val="18"/>
              </w:rPr>
              <w:t>设计低水位</w:t>
            </w:r>
          </w:p>
        </w:tc>
        <w:tc>
          <w:tcPr>
            <w:tcW w:type="dxa" w:w="1872"/>
            <w:vAlign w:val="center"/>
          </w:tcPr>
          <w:p>
            <w:pPr>
              <w:keepLines/>
              <w:spacing w:lineRule="auto" w:line="276"/>
              <w:jc w:val="center"/>
            </w:pPr>
            <w:r>
              <w:rPr>
                <w:rFonts w:ascii="Times New Roman" w:hAnsi="Times New Roman" w:eastAsia="宋体"/>
                <w:b w:val="0"/>
                <w:sz w:val="18"/>
              </w:rPr>
              <w:t>0.22</w:t>
            </w:r>
          </w:p>
        </w:tc>
        <w:tc>
          <w:tcPr>
            <w:tcW w:type="dxa" w:w="3888"/>
            <w:vAlign w:val="center"/>
          </w:tcPr>
          <w:p>
            <w:pPr>
              <w:keepLines/>
              <w:spacing w:lineRule="auto" w:line="276"/>
              <w:jc w:val="center"/>
            </w:pPr>
            <w:r>
              <w:rPr>
                <w:rFonts w:ascii="Times New Roman" w:hAnsi="Times New Roman" w:eastAsia="宋体"/>
                <w:b w:val="0"/>
                <w:sz w:val="18"/>
              </w:rPr>
              <w:t>前沿水深和船舶吃水控制</w:t>
            </w:r>
          </w:p>
        </w:tc>
      </w:tr>
      <w:tr>
        <w:trPr>
          <w:cantSplit/>
        </w:trPr>
        <w:tc>
          <w:tcPr>
            <w:tcW w:type="dxa" w:w="2592"/>
            <w:vAlign w:val="center"/>
          </w:tcPr>
          <w:p>
            <w:pPr>
              <w:keepLines/>
              <w:spacing w:lineRule="auto" w:line="276"/>
              <w:jc w:val="center"/>
            </w:pPr>
            <w:r>
              <w:rPr>
                <w:rFonts w:ascii="Times New Roman" w:hAnsi="Times New Roman" w:eastAsia="宋体"/>
                <w:b w:val="0"/>
                <w:sz w:val="18"/>
              </w:rPr>
              <w:t>极端高水位</w:t>
            </w:r>
          </w:p>
        </w:tc>
        <w:tc>
          <w:tcPr>
            <w:tcW w:type="dxa" w:w="1872"/>
            <w:vAlign w:val="center"/>
          </w:tcPr>
          <w:p>
            <w:pPr>
              <w:keepLines/>
              <w:spacing w:lineRule="auto" w:line="276"/>
              <w:jc w:val="center"/>
            </w:pPr>
            <w:r>
              <w:rPr>
                <w:rFonts w:ascii="Times New Roman" w:hAnsi="Times New Roman" w:eastAsia="宋体"/>
                <w:b w:val="0"/>
                <w:sz w:val="18"/>
              </w:rPr>
              <w:t>3.56</w:t>
            </w:r>
          </w:p>
        </w:tc>
        <w:tc>
          <w:tcPr>
            <w:tcW w:type="dxa" w:w="3888"/>
            <w:vAlign w:val="center"/>
          </w:tcPr>
          <w:p>
            <w:pPr>
              <w:keepLines/>
              <w:spacing w:lineRule="auto" w:line="276"/>
              <w:jc w:val="center"/>
            </w:pPr>
            <w:r>
              <w:rPr>
                <w:rFonts w:ascii="Times New Roman" w:hAnsi="Times New Roman" w:eastAsia="宋体"/>
                <w:b w:val="0"/>
                <w:sz w:val="18"/>
              </w:rPr>
              <w:t>结构安全和防淹校核</w:t>
            </w:r>
          </w:p>
        </w:tc>
      </w:tr>
      <w:tr>
        <w:trPr>
          <w:cantSplit/>
        </w:trPr>
        <w:tc>
          <w:tcPr>
            <w:tcW w:type="dxa" w:w="2592"/>
            <w:vAlign w:val="center"/>
          </w:tcPr>
          <w:p>
            <w:pPr>
              <w:keepLines/>
              <w:spacing w:lineRule="auto" w:line="276"/>
              <w:jc w:val="center"/>
            </w:pPr>
            <w:r>
              <w:rPr>
                <w:rFonts w:ascii="Times New Roman" w:hAnsi="Times New Roman" w:eastAsia="宋体"/>
                <w:b w:val="0"/>
                <w:sz w:val="18"/>
              </w:rPr>
              <w:t>极端低水位</w:t>
            </w:r>
          </w:p>
        </w:tc>
        <w:tc>
          <w:tcPr>
            <w:tcW w:type="dxa" w:w="1872"/>
            <w:vAlign w:val="center"/>
          </w:tcPr>
          <w:p>
            <w:pPr>
              <w:keepLines/>
              <w:spacing w:lineRule="auto" w:line="276"/>
              <w:jc w:val="center"/>
            </w:pPr>
            <w:r>
              <w:rPr>
                <w:rFonts w:ascii="Times New Roman" w:hAnsi="Times New Roman" w:eastAsia="宋体"/>
                <w:b w:val="0"/>
                <w:sz w:val="18"/>
              </w:rPr>
              <w:t>-0.35</w:t>
            </w:r>
          </w:p>
        </w:tc>
        <w:tc>
          <w:tcPr>
            <w:tcW w:type="dxa" w:w="3888"/>
            <w:vAlign w:val="center"/>
          </w:tcPr>
          <w:p>
            <w:pPr>
              <w:keepLines/>
              <w:spacing w:lineRule="auto" w:line="276"/>
              <w:jc w:val="center"/>
            </w:pPr>
            <w:r>
              <w:rPr>
                <w:rFonts w:ascii="Times New Roman" w:hAnsi="Times New Roman" w:eastAsia="宋体"/>
                <w:b w:val="0"/>
                <w:sz w:val="18"/>
              </w:rPr>
              <w:t>最低通航水位校核</w:t>
            </w:r>
          </w:p>
        </w:tc>
      </w:tr>
      <w:tr>
        <w:trPr>
          <w:cantSplit/>
        </w:trPr>
        <w:tc>
          <w:tcPr>
            <w:tcW w:type="dxa" w:w="2592"/>
            <w:vAlign w:val="center"/>
          </w:tcPr>
          <w:p>
            <w:pPr>
              <w:keepLines/>
              <w:spacing w:lineRule="auto" w:line="276"/>
              <w:jc w:val="center"/>
            </w:pPr>
            <w:r>
              <w:rPr>
                <w:rFonts w:ascii="Times New Roman" w:hAnsi="Times New Roman" w:eastAsia="宋体"/>
                <w:b w:val="0"/>
                <w:sz w:val="18"/>
              </w:rPr>
              <w:t>1小时90%乘潮水位</w:t>
            </w:r>
          </w:p>
        </w:tc>
        <w:tc>
          <w:tcPr>
            <w:tcW w:type="dxa" w:w="1872"/>
            <w:vAlign w:val="center"/>
          </w:tcPr>
          <w:p>
            <w:pPr>
              <w:keepLines/>
              <w:spacing w:lineRule="auto" w:line="276"/>
              <w:jc w:val="center"/>
            </w:pPr>
            <w:r>
              <w:rPr>
                <w:rFonts w:ascii="Times New Roman" w:hAnsi="Times New Roman" w:eastAsia="宋体"/>
                <w:b w:val="0"/>
                <w:sz w:val="18"/>
              </w:rPr>
              <w:t>0.85</w:t>
            </w:r>
          </w:p>
        </w:tc>
        <w:tc>
          <w:tcPr>
            <w:tcW w:type="dxa" w:w="3888"/>
            <w:vAlign w:val="center"/>
          </w:tcPr>
          <w:p>
            <w:pPr>
              <w:keepLines/>
              <w:spacing w:lineRule="auto" w:line="276"/>
              <w:jc w:val="center"/>
            </w:pPr>
            <w:r>
              <w:rPr>
                <w:rFonts w:ascii="Times New Roman" w:hAnsi="Times New Roman" w:eastAsia="宋体"/>
                <w:b w:val="0"/>
                <w:sz w:val="18"/>
              </w:rPr>
              <w:t>乘潮进出港参考</w:t>
            </w:r>
          </w:p>
        </w:tc>
      </w:tr>
      <w:tr>
        <w:trPr>
          <w:cantSplit/>
        </w:trPr>
        <w:tc>
          <w:tcPr>
            <w:tcW w:type="dxa" w:w="2592"/>
            <w:vAlign w:val="center"/>
          </w:tcPr>
          <w:p>
            <w:pPr>
              <w:keepLines/>
              <w:spacing w:lineRule="auto" w:line="276"/>
              <w:jc w:val="center"/>
            </w:pPr>
            <w:r>
              <w:rPr>
                <w:rFonts w:ascii="Times New Roman" w:hAnsi="Times New Roman" w:eastAsia="宋体"/>
                <w:b w:val="0"/>
                <w:sz w:val="18"/>
              </w:rPr>
              <w:t>3小时90%乘潮水位</w:t>
            </w:r>
          </w:p>
        </w:tc>
        <w:tc>
          <w:tcPr>
            <w:tcW w:type="dxa" w:w="1872"/>
            <w:vAlign w:val="center"/>
          </w:tcPr>
          <w:p>
            <w:pPr>
              <w:keepLines/>
              <w:spacing w:lineRule="auto" w:line="276"/>
              <w:jc w:val="center"/>
            </w:pPr>
            <w:r>
              <w:rPr>
                <w:rFonts w:ascii="Times New Roman" w:hAnsi="Times New Roman" w:eastAsia="宋体"/>
                <w:b w:val="0"/>
                <w:sz w:val="18"/>
              </w:rPr>
              <w:t>0.75</w:t>
            </w:r>
          </w:p>
        </w:tc>
        <w:tc>
          <w:tcPr>
            <w:tcW w:type="dxa" w:w="3888"/>
            <w:vAlign w:val="center"/>
          </w:tcPr>
          <w:p>
            <w:pPr>
              <w:keepLines/>
              <w:spacing w:lineRule="auto" w:line="276"/>
              <w:jc w:val="center"/>
            </w:pPr>
            <w:r>
              <w:rPr>
                <w:rFonts w:ascii="Times New Roman" w:hAnsi="Times New Roman" w:eastAsia="宋体"/>
                <w:b w:val="0"/>
                <w:sz w:val="18"/>
              </w:rPr>
              <w:t>乘潮作业持续性参考</w:t>
            </w:r>
          </w:p>
        </w:tc>
      </w:tr>
    </w:tbl>
    <w:p/>
    <w:p>
      <w:pPr>
        <w:pStyle w:val="3"/>
        <w:jc w:val="left"/>
      </w:pPr>
      <w:r>
        <w:rPr>
          <w:rFonts w:ascii="Times New Roman" w:hAnsi="Times New Roman" w:eastAsia="宋体"/>
          <w:b/>
          <w:sz w:val="24"/>
        </w:rPr>
        <w:t xml:space="preserve"> 台风增减水</w:t>
      </w:r>
    </w:p>
    <w:p>
      <w:pPr>
        <w:spacing w:lineRule="auto" w:line="360" w:before="0" w:after="0"/>
        <w:ind w:firstLine="480"/>
      </w:pPr>
      <w:r>
        <w:rPr>
          <w:rFonts w:ascii="Times New Roman" w:hAnsi="Times New Roman" w:eastAsia="宋体"/>
          <w:sz w:val="24"/>
        </w:rPr>
        <w:t>台风过境时会引起工程海域增减水。原始资料给出100年一遇增水值1.83m、50年一遇增水值1.67m，100年一遇减水值-0.74m、33年一遇减水值-0.67m。台风增减水主要用于极端水位复核和施工期防台安排。</w:t>
      </w:r>
    </w:p>
    <w:p>
      <w:pPr>
        <w:pStyle w:val="3"/>
        <w:jc w:val="left"/>
      </w:pPr>
      <w:r>
        <w:rPr>
          <w:rFonts w:ascii="Times New Roman" w:hAnsi="Times New Roman" w:eastAsia="宋体"/>
          <w:b/>
          <w:sz w:val="24"/>
        </w:rPr>
        <w:t xml:space="preserve"> 海流条件</w:t>
      </w:r>
    </w:p>
    <w:p>
      <w:pPr>
        <w:spacing w:lineRule="auto" w:line="360" w:before="0" w:after="0"/>
        <w:ind w:firstLine="480"/>
      </w:pPr>
      <w:r>
        <w:rPr>
          <w:rFonts w:ascii="Times New Roman" w:hAnsi="Times New Roman" w:eastAsia="宋体"/>
          <w:sz w:val="24"/>
        </w:rPr>
        <w:t>碣石湾内海流主要包括潮流、南海沿岸流和风海流，其中潮流为主要成分。实测最大流速为0.38m/s，调和分析最大可能流速约0.40m/s，总体流速较小。海流条件对船舶靠泊和水下施工有一定影响，但相较风况和地基条件不是本工程的主要控制因素。</w:t>
      </w:r>
    </w:p>
    <w:p>
      <w:pPr>
        <w:pStyle w:val="2"/>
        <w:jc w:val="left"/>
      </w:pPr>
      <w:r>
        <w:rPr>
          <w:rFonts w:ascii="Times New Roman" w:hAnsi="Times New Roman" w:eastAsia="宋体"/>
          <w:b/>
          <w:sz w:val="24"/>
        </w:rPr>
        <w:t xml:space="preserve"> 工程地质条件</w:t>
      </w:r>
    </w:p>
    <w:p>
      <w:pPr>
        <w:spacing w:lineRule="auto" w:line="360" w:before="0" w:after="0"/>
        <w:ind w:firstLine="480"/>
      </w:pPr>
      <w:r>
        <w:rPr>
          <w:rFonts w:ascii="Times New Roman" w:hAnsi="Times New Roman" w:eastAsia="宋体"/>
          <w:sz w:val="24"/>
        </w:rPr>
        <w:t>拟建工程区土层自上而下主要包括淤泥～淤泥质土、粘土、淤泥质土、粘土～粉质粘土、粗砾砂、花岗岩残积土、全风化花岗岩、强风化花岗岩、中等风化花岗岩和微风化花岗岩。表层软弱土承载力低、压缩性大，下部风化花岗岩承载力较高。高桩码头结构能够将上部荷载通过桩基传至较好持力层，适合本工程软土地基条件；港工建筑物结构选型也强调应结合地基条件进行方案比选</w:t>
      </w:r>
      <w:r>
        <w:rPr>
          <w:rFonts w:ascii="Times New Roman" w:hAnsi="Times New Roman" w:eastAsia="宋体"/>
          <w:sz w:val="24"/>
          <w:vertAlign w:val="superscript"/>
        </w:rPr>
        <w:t>[6]</w:t>
      </w:r>
      <w:r>
        <w:rPr>
          <w:rFonts w:ascii="Times New Roman" w:hAnsi="Times New Roman" w:eastAsia="宋体"/>
          <w:sz w:val="24"/>
        </w:rPr>
        <w:t>。国际港口设计资料也强调码头结构型式应与地基、泊位功能和施工条件相协调</w:t>
      </w:r>
      <w:r>
        <w:rPr>
          <w:rFonts w:ascii="Times New Roman" w:hAnsi="Times New Roman" w:eastAsia="宋体"/>
          <w:sz w:val="24"/>
          <w:vertAlign w:val="superscript"/>
        </w:rPr>
        <w:t>[7]</w:t>
      </w:r>
      <w:r>
        <w:rPr>
          <w:rFonts w:ascii="Times New Roman" w:hAnsi="Times New Roman" w:eastAsia="宋体"/>
          <w:sz w:val="24"/>
        </w:rPr>
        <w:t>。英国海事工程标准中关于码头岸壁、栈桥和靠船墩设计的原则同样强调结构体系、使用荷载和地基条件之间的匹配</w:t>
      </w:r>
      <w:r>
        <w:rPr>
          <w:rFonts w:ascii="Times New Roman" w:hAnsi="Times New Roman" w:eastAsia="宋体"/>
          <w:sz w:val="24"/>
          <w:vertAlign w:val="superscript"/>
        </w:rPr>
        <w:t>[8]</w:t>
      </w:r>
      <w:r>
        <w:rPr>
          <w:rFonts w:ascii="Times New Roman" w:hAnsi="Times New Roman" w:eastAsia="宋体"/>
          <w:sz w:val="24"/>
        </w:rPr>
        <w:t>。海岸工程资料分析中，潮流、波浪和地基条件需要共同作为码头布置和结构选型的边界条件</w:t>
      </w:r>
      <w:r>
        <w:rPr>
          <w:rFonts w:ascii="Times New Roman" w:hAnsi="Times New Roman" w:eastAsia="宋体"/>
          <w:sz w:val="24"/>
          <w:vertAlign w:val="superscript"/>
        </w:rPr>
        <w:t>[9]</w:t>
      </w:r>
      <w:r>
        <w:rPr>
          <w:rFonts w:ascii="Times New Roman" w:hAnsi="Times New Roman" w:eastAsia="宋体"/>
          <w:sz w:val="24"/>
        </w:rPr>
        <w:t>。</w:t>
      </w:r>
    </w:p>
    <w:p>
      <w:pPr>
        <w:keepNext/>
        <w:pageBreakBefore/>
        <w:spacing w:lineRule="auto" w:line="300" w:before="0" w:after="120"/>
        <w:jc w:val="center"/>
      </w:pPr>
      <w:r>
        <w:rPr>
          <w:rFonts w:ascii="Times New Roman" w:hAnsi="Times New Roman" w:eastAsia="宋体"/>
          <w:b w:val="0"/>
          <w:sz w:val="20"/>
        </w:rPr>
        <w:t>表2-4 场区主要土层及工程评价</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152"/>
        <w:gridCol w:w="2880"/>
        <w:gridCol w:w="4320"/>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层位</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岩土名称</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工程评价</w:t>
            </w:r>
          </w:p>
        </w:tc>
      </w:tr>
      <w:tr>
        <w:trPr>
          <w:cantSplit/>
        </w:trPr>
        <w:tc>
          <w:tcPr>
            <w:tcW w:type="dxa" w:w="1152"/>
            <w:vAlign w:val="center"/>
          </w:tcPr>
          <w:p>
            <w:pPr>
              <w:keepLines/>
              <w:spacing w:lineRule="auto" w:line="276"/>
              <w:jc w:val="center"/>
            </w:pPr>
            <w:r>
              <w:rPr>
                <w:rFonts w:ascii="Times New Roman" w:hAnsi="Times New Roman" w:eastAsia="宋体"/>
                <w:b w:val="0"/>
                <w:sz w:val="18"/>
              </w:rPr>
              <w:t>①</w:t>
            </w:r>
          </w:p>
        </w:tc>
        <w:tc>
          <w:tcPr>
            <w:tcW w:type="dxa" w:w="2880"/>
            <w:vAlign w:val="center"/>
          </w:tcPr>
          <w:p>
            <w:pPr>
              <w:keepLines/>
              <w:spacing w:lineRule="auto" w:line="276"/>
              <w:jc w:val="center"/>
            </w:pPr>
            <w:r>
              <w:rPr>
                <w:rFonts w:ascii="Times New Roman" w:hAnsi="Times New Roman" w:eastAsia="宋体"/>
                <w:b w:val="0"/>
                <w:sz w:val="18"/>
              </w:rPr>
              <w:t>淤泥～淤泥质土</w:t>
            </w:r>
          </w:p>
        </w:tc>
        <w:tc>
          <w:tcPr>
            <w:tcW w:type="dxa" w:w="4320"/>
            <w:vAlign w:val="center"/>
          </w:tcPr>
          <w:p>
            <w:pPr>
              <w:keepLines/>
              <w:spacing w:lineRule="auto" w:line="276"/>
              <w:jc w:val="center"/>
            </w:pPr>
            <w:r>
              <w:rPr>
                <w:rFonts w:ascii="Times New Roman" w:hAnsi="Times New Roman" w:eastAsia="宋体"/>
                <w:b w:val="0"/>
                <w:sz w:val="18"/>
              </w:rPr>
              <w:t>流塑～软塑，承载力低，压缩性大</w:t>
            </w:r>
          </w:p>
        </w:tc>
      </w:tr>
      <w:tr>
        <w:trPr>
          <w:cantSplit/>
        </w:trPr>
        <w:tc>
          <w:tcPr>
            <w:tcW w:type="dxa" w:w="1152"/>
            <w:vAlign w:val="center"/>
          </w:tcPr>
          <w:p>
            <w:pPr>
              <w:keepLines/>
              <w:spacing w:lineRule="auto" w:line="276"/>
              <w:jc w:val="center"/>
            </w:pPr>
            <w:r>
              <w:rPr>
                <w:rFonts w:ascii="Times New Roman" w:hAnsi="Times New Roman" w:eastAsia="宋体"/>
                <w:b w:val="0"/>
                <w:sz w:val="18"/>
              </w:rPr>
              <w:t>②</w:t>
            </w:r>
          </w:p>
        </w:tc>
        <w:tc>
          <w:tcPr>
            <w:tcW w:type="dxa" w:w="2880"/>
            <w:vAlign w:val="center"/>
          </w:tcPr>
          <w:p>
            <w:pPr>
              <w:keepLines/>
              <w:spacing w:lineRule="auto" w:line="276"/>
              <w:jc w:val="center"/>
            </w:pPr>
            <w:r>
              <w:rPr>
                <w:rFonts w:ascii="Times New Roman" w:hAnsi="Times New Roman" w:eastAsia="宋体"/>
                <w:b w:val="0"/>
                <w:sz w:val="18"/>
              </w:rPr>
              <w:t>粘土</w:t>
            </w:r>
          </w:p>
        </w:tc>
        <w:tc>
          <w:tcPr>
            <w:tcW w:type="dxa" w:w="4320"/>
            <w:vAlign w:val="center"/>
          </w:tcPr>
          <w:p>
            <w:pPr>
              <w:keepLines/>
              <w:spacing w:lineRule="auto" w:line="276"/>
              <w:jc w:val="center"/>
            </w:pPr>
            <w:r>
              <w:rPr>
                <w:rFonts w:ascii="Times New Roman" w:hAnsi="Times New Roman" w:eastAsia="宋体"/>
                <w:b w:val="0"/>
                <w:sz w:val="18"/>
              </w:rPr>
              <w:t>软可塑至硬可塑，局部夹砂</w:t>
            </w:r>
          </w:p>
        </w:tc>
      </w:tr>
      <w:tr>
        <w:trPr>
          <w:cantSplit/>
        </w:trPr>
        <w:tc>
          <w:tcPr>
            <w:tcW w:type="dxa" w:w="1152"/>
            <w:vAlign w:val="center"/>
          </w:tcPr>
          <w:p>
            <w:pPr>
              <w:keepLines/>
              <w:spacing w:lineRule="auto" w:line="276"/>
              <w:jc w:val="center"/>
            </w:pPr>
            <w:r>
              <w:rPr>
                <w:rFonts w:ascii="Times New Roman" w:hAnsi="Times New Roman" w:eastAsia="宋体"/>
                <w:b w:val="0"/>
                <w:sz w:val="18"/>
              </w:rPr>
              <w:t>③</w:t>
            </w:r>
          </w:p>
        </w:tc>
        <w:tc>
          <w:tcPr>
            <w:tcW w:type="dxa" w:w="2880"/>
            <w:vAlign w:val="center"/>
          </w:tcPr>
          <w:p>
            <w:pPr>
              <w:keepLines/>
              <w:spacing w:lineRule="auto" w:line="276"/>
              <w:jc w:val="center"/>
            </w:pPr>
            <w:r>
              <w:rPr>
                <w:rFonts w:ascii="Times New Roman" w:hAnsi="Times New Roman" w:eastAsia="宋体"/>
                <w:b w:val="0"/>
                <w:sz w:val="18"/>
              </w:rPr>
              <w:t>淤泥～淤泥质土</w:t>
            </w:r>
          </w:p>
        </w:tc>
        <w:tc>
          <w:tcPr>
            <w:tcW w:type="dxa" w:w="4320"/>
            <w:vAlign w:val="center"/>
          </w:tcPr>
          <w:p>
            <w:pPr>
              <w:keepLines/>
              <w:spacing w:lineRule="auto" w:line="276"/>
              <w:jc w:val="center"/>
            </w:pPr>
            <w:r>
              <w:rPr>
                <w:rFonts w:ascii="Times New Roman" w:hAnsi="Times New Roman" w:eastAsia="宋体"/>
                <w:b w:val="0"/>
                <w:sz w:val="18"/>
              </w:rPr>
              <w:t>软弱层较厚，对沉降控制不利</w:t>
            </w:r>
          </w:p>
        </w:tc>
      </w:tr>
      <w:tr>
        <w:trPr>
          <w:cantSplit/>
        </w:trPr>
        <w:tc>
          <w:tcPr>
            <w:tcW w:type="dxa" w:w="1152"/>
            <w:vAlign w:val="center"/>
          </w:tcPr>
          <w:p>
            <w:pPr>
              <w:keepLines/>
              <w:spacing w:lineRule="auto" w:line="276"/>
              <w:jc w:val="center"/>
            </w:pPr>
            <w:r>
              <w:rPr>
                <w:rFonts w:ascii="Times New Roman" w:hAnsi="Times New Roman" w:eastAsia="宋体"/>
                <w:b w:val="0"/>
                <w:sz w:val="18"/>
              </w:rPr>
              <w:t>④</w:t>
            </w:r>
          </w:p>
        </w:tc>
        <w:tc>
          <w:tcPr>
            <w:tcW w:type="dxa" w:w="2880"/>
            <w:vAlign w:val="center"/>
          </w:tcPr>
          <w:p>
            <w:pPr>
              <w:keepLines/>
              <w:spacing w:lineRule="auto" w:line="276"/>
              <w:jc w:val="center"/>
            </w:pPr>
            <w:r>
              <w:rPr>
                <w:rFonts w:ascii="Times New Roman" w:hAnsi="Times New Roman" w:eastAsia="宋体"/>
                <w:b w:val="0"/>
                <w:sz w:val="18"/>
              </w:rPr>
              <w:t>粘土～粉质粘土</w:t>
            </w:r>
          </w:p>
        </w:tc>
        <w:tc>
          <w:tcPr>
            <w:tcW w:type="dxa" w:w="4320"/>
            <w:vAlign w:val="center"/>
          </w:tcPr>
          <w:p>
            <w:pPr>
              <w:keepLines/>
              <w:spacing w:lineRule="auto" w:line="276"/>
              <w:jc w:val="center"/>
            </w:pPr>
            <w:r>
              <w:rPr>
                <w:rFonts w:ascii="Times New Roman" w:hAnsi="Times New Roman" w:eastAsia="宋体"/>
                <w:b w:val="0"/>
                <w:sz w:val="18"/>
              </w:rPr>
              <w:t>性质变化较大，可作为过渡土层</w:t>
            </w:r>
          </w:p>
        </w:tc>
      </w:tr>
      <w:tr>
        <w:trPr>
          <w:cantSplit/>
        </w:trPr>
        <w:tc>
          <w:tcPr>
            <w:tcW w:type="dxa" w:w="1152"/>
            <w:vAlign w:val="center"/>
          </w:tcPr>
          <w:p>
            <w:pPr>
              <w:keepLines/>
              <w:spacing w:lineRule="auto" w:line="276"/>
              <w:jc w:val="center"/>
            </w:pPr>
            <w:r>
              <w:rPr>
                <w:rFonts w:ascii="Times New Roman" w:hAnsi="Times New Roman" w:eastAsia="宋体"/>
                <w:b w:val="0"/>
                <w:sz w:val="18"/>
              </w:rPr>
              <w:t>⑤</w:t>
            </w:r>
          </w:p>
        </w:tc>
        <w:tc>
          <w:tcPr>
            <w:tcW w:type="dxa" w:w="2880"/>
            <w:vAlign w:val="center"/>
          </w:tcPr>
          <w:p>
            <w:pPr>
              <w:keepLines/>
              <w:spacing w:lineRule="auto" w:line="276"/>
              <w:jc w:val="center"/>
            </w:pPr>
            <w:r>
              <w:rPr>
                <w:rFonts w:ascii="Times New Roman" w:hAnsi="Times New Roman" w:eastAsia="宋体"/>
                <w:b w:val="0"/>
                <w:sz w:val="18"/>
              </w:rPr>
              <w:t>粗砾砂</w:t>
            </w:r>
          </w:p>
        </w:tc>
        <w:tc>
          <w:tcPr>
            <w:tcW w:type="dxa" w:w="4320"/>
            <w:vAlign w:val="center"/>
          </w:tcPr>
          <w:p>
            <w:pPr>
              <w:keepLines/>
              <w:spacing w:lineRule="auto" w:line="276"/>
              <w:jc w:val="center"/>
            </w:pPr>
            <w:r>
              <w:rPr>
                <w:rFonts w:ascii="Times New Roman" w:hAnsi="Times New Roman" w:eastAsia="宋体"/>
                <w:b w:val="0"/>
                <w:sz w:val="18"/>
              </w:rPr>
              <w:t>中密～密实，透水性较强</w:t>
            </w:r>
          </w:p>
        </w:tc>
      </w:tr>
      <w:tr>
        <w:trPr>
          <w:cantSplit/>
        </w:trPr>
        <w:tc>
          <w:tcPr>
            <w:tcW w:type="dxa" w:w="1152"/>
            <w:vAlign w:val="center"/>
          </w:tcPr>
          <w:p>
            <w:pPr>
              <w:keepLines/>
              <w:spacing w:lineRule="auto" w:line="276"/>
              <w:jc w:val="center"/>
            </w:pPr>
            <w:r>
              <w:rPr>
                <w:rFonts w:ascii="Times New Roman" w:hAnsi="Times New Roman" w:eastAsia="宋体"/>
                <w:b w:val="0"/>
                <w:sz w:val="18"/>
              </w:rPr>
              <w:t>⑥</w:t>
            </w:r>
          </w:p>
        </w:tc>
        <w:tc>
          <w:tcPr>
            <w:tcW w:type="dxa" w:w="2880"/>
            <w:vAlign w:val="center"/>
          </w:tcPr>
          <w:p>
            <w:pPr>
              <w:keepLines/>
              <w:spacing w:lineRule="auto" w:line="276"/>
              <w:jc w:val="center"/>
            </w:pPr>
            <w:r>
              <w:rPr>
                <w:rFonts w:ascii="Times New Roman" w:hAnsi="Times New Roman" w:eastAsia="宋体"/>
                <w:b w:val="0"/>
                <w:sz w:val="18"/>
              </w:rPr>
              <w:t>花岗岩残积土</w:t>
            </w:r>
          </w:p>
        </w:tc>
        <w:tc>
          <w:tcPr>
            <w:tcW w:type="dxa" w:w="4320"/>
            <w:vAlign w:val="center"/>
          </w:tcPr>
          <w:p>
            <w:pPr>
              <w:keepLines/>
              <w:spacing w:lineRule="auto" w:line="276"/>
              <w:jc w:val="center"/>
            </w:pPr>
            <w:r>
              <w:rPr>
                <w:rFonts w:ascii="Times New Roman" w:hAnsi="Times New Roman" w:eastAsia="宋体"/>
                <w:b w:val="0"/>
                <w:sz w:val="18"/>
              </w:rPr>
              <w:t>承载力较高，遇水易软化</w:t>
            </w:r>
          </w:p>
        </w:tc>
      </w:tr>
      <w:tr>
        <w:trPr>
          <w:cantSplit/>
        </w:trPr>
        <w:tc>
          <w:tcPr>
            <w:tcW w:type="dxa" w:w="1152"/>
            <w:vAlign w:val="center"/>
          </w:tcPr>
          <w:p>
            <w:pPr>
              <w:keepLines/>
              <w:spacing w:lineRule="auto" w:line="276"/>
              <w:jc w:val="center"/>
            </w:pPr>
            <w:r>
              <w:rPr>
                <w:rFonts w:ascii="Times New Roman" w:hAnsi="Times New Roman" w:eastAsia="宋体"/>
                <w:b w:val="0"/>
                <w:sz w:val="18"/>
              </w:rPr>
              <w:t>⑦</w:t>
            </w:r>
          </w:p>
        </w:tc>
        <w:tc>
          <w:tcPr>
            <w:tcW w:type="dxa" w:w="2880"/>
            <w:vAlign w:val="center"/>
          </w:tcPr>
          <w:p>
            <w:pPr>
              <w:keepLines/>
              <w:spacing w:lineRule="auto" w:line="276"/>
              <w:jc w:val="center"/>
            </w:pPr>
            <w:r>
              <w:rPr>
                <w:rFonts w:ascii="Times New Roman" w:hAnsi="Times New Roman" w:eastAsia="宋体"/>
                <w:b w:val="0"/>
                <w:sz w:val="18"/>
              </w:rPr>
              <w:t>全风化花岗岩</w:t>
            </w:r>
          </w:p>
        </w:tc>
        <w:tc>
          <w:tcPr>
            <w:tcW w:type="dxa" w:w="4320"/>
            <w:vAlign w:val="center"/>
          </w:tcPr>
          <w:p>
            <w:pPr>
              <w:keepLines/>
              <w:spacing w:lineRule="auto" w:line="276"/>
              <w:jc w:val="center"/>
            </w:pPr>
            <w:r>
              <w:rPr>
                <w:rFonts w:ascii="Times New Roman" w:hAnsi="Times New Roman" w:eastAsia="宋体"/>
                <w:b w:val="0"/>
                <w:sz w:val="18"/>
              </w:rPr>
              <w:t>可作为桩端进入前的较好土层</w:t>
            </w:r>
          </w:p>
        </w:tc>
      </w:tr>
      <w:tr>
        <w:trPr>
          <w:cantSplit/>
        </w:trPr>
        <w:tc>
          <w:tcPr>
            <w:tcW w:type="dxa" w:w="1152"/>
            <w:vAlign w:val="center"/>
          </w:tcPr>
          <w:p>
            <w:pPr>
              <w:keepLines/>
              <w:spacing w:lineRule="auto" w:line="276"/>
              <w:jc w:val="center"/>
            </w:pPr>
            <w:r>
              <w:rPr>
                <w:rFonts w:ascii="Times New Roman" w:hAnsi="Times New Roman" w:eastAsia="宋体"/>
                <w:b w:val="0"/>
                <w:sz w:val="18"/>
              </w:rPr>
              <w:t>⑧</w:t>
            </w:r>
          </w:p>
        </w:tc>
        <w:tc>
          <w:tcPr>
            <w:tcW w:type="dxa" w:w="2880"/>
            <w:vAlign w:val="center"/>
          </w:tcPr>
          <w:p>
            <w:pPr>
              <w:keepLines/>
              <w:spacing w:lineRule="auto" w:line="276"/>
              <w:jc w:val="center"/>
            </w:pPr>
            <w:r>
              <w:rPr>
                <w:rFonts w:ascii="Times New Roman" w:hAnsi="Times New Roman" w:eastAsia="宋体"/>
                <w:b w:val="0"/>
                <w:sz w:val="18"/>
              </w:rPr>
              <w:t>强风化花岗岩</w:t>
            </w:r>
          </w:p>
        </w:tc>
        <w:tc>
          <w:tcPr>
            <w:tcW w:type="dxa" w:w="4320"/>
            <w:vAlign w:val="center"/>
          </w:tcPr>
          <w:p>
            <w:pPr>
              <w:keepLines/>
              <w:spacing w:lineRule="auto" w:line="276"/>
              <w:jc w:val="center"/>
            </w:pPr>
            <w:r>
              <w:rPr>
                <w:rFonts w:ascii="Times New Roman" w:hAnsi="Times New Roman" w:eastAsia="宋体"/>
                <w:b w:val="0"/>
                <w:sz w:val="18"/>
              </w:rPr>
              <w:t>承载力较高，适合作为桩端持力层</w:t>
            </w:r>
          </w:p>
        </w:tc>
      </w:tr>
      <w:tr>
        <w:trPr>
          <w:cantSplit/>
        </w:trPr>
        <w:tc>
          <w:tcPr>
            <w:tcW w:type="dxa" w:w="1152"/>
            <w:vAlign w:val="center"/>
          </w:tcPr>
          <w:p>
            <w:pPr>
              <w:keepLines/>
              <w:spacing w:lineRule="auto" w:line="276"/>
              <w:jc w:val="center"/>
            </w:pPr>
            <w:r>
              <w:rPr>
                <w:rFonts w:ascii="Times New Roman" w:hAnsi="Times New Roman" w:eastAsia="宋体"/>
                <w:b w:val="0"/>
                <w:sz w:val="18"/>
              </w:rPr>
              <w:t>⑨</w:t>
            </w:r>
          </w:p>
        </w:tc>
        <w:tc>
          <w:tcPr>
            <w:tcW w:type="dxa" w:w="2880"/>
            <w:vAlign w:val="center"/>
          </w:tcPr>
          <w:p>
            <w:pPr>
              <w:keepLines/>
              <w:spacing w:lineRule="auto" w:line="276"/>
              <w:jc w:val="center"/>
            </w:pPr>
            <w:r>
              <w:rPr>
                <w:rFonts w:ascii="Times New Roman" w:hAnsi="Times New Roman" w:eastAsia="宋体"/>
                <w:b w:val="0"/>
                <w:sz w:val="18"/>
              </w:rPr>
              <w:t>中等风化花岗岩</w:t>
            </w:r>
          </w:p>
        </w:tc>
        <w:tc>
          <w:tcPr>
            <w:tcW w:type="dxa" w:w="4320"/>
            <w:vAlign w:val="center"/>
          </w:tcPr>
          <w:p>
            <w:pPr>
              <w:keepLines/>
              <w:spacing w:lineRule="auto" w:line="276"/>
              <w:jc w:val="center"/>
            </w:pPr>
            <w:r>
              <w:rPr>
                <w:rFonts w:ascii="Times New Roman" w:hAnsi="Times New Roman" w:eastAsia="宋体"/>
                <w:b w:val="0"/>
                <w:sz w:val="18"/>
              </w:rPr>
              <w:t>强度高，持力条件好</w:t>
            </w:r>
          </w:p>
        </w:tc>
      </w:tr>
    </w:tbl>
    <w:p/>
    <w:p>
      <w:pPr>
        <w:spacing w:lineRule="auto" w:line="360" w:before="0" w:after="0"/>
        <w:ind w:firstLine="480"/>
      </w:pPr>
      <w:r>
        <w:rPr>
          <w:rFonts w:ascii="Times New Roman" w:hAnsi="Times New Roman" w:eastAsia="宋体"/>
          <w:sz w:val="24"/>
        </w:rPr>
        <w:t>图纸包给出的地层概化显示，场区浅部存在灰色淤泥、淤泥质土和粘性土，压缩性较大，承载力偏低；下部粗砾砂和强风化花岗岩可作为桩端进入或控制的较好持力层。该地质条件决定了高桩梁板式结构在适应软土地基方面更有优势。</w:t>
      </w:r>
    </w:p>
    <w:p>
      <w:pPr>
        <w:spacing w:lineRule="auto" w:line="360" w:before="0" w:after="0"/>
        <w:ind w:firstLine="480"/>
      </w:pPr>
      <w:r>
        <w:rPr>
          <w:rFonts w:ascii="Times New Roman" w:hAnsi="Times New Roman" w:eastAsia="宋体"/>
          <w:sz w:val="24"/>
        </w:rPr>
        <w:t>若采用沉箱重力式结构，必须通过基槽开挖、换填块石或地基加固形成可靠基床，否则软土层会导致沉降和稳定风险。第五章在结构选型中将这一点作为高桩方案和沉箱方案的重要差异。</w:t>
      </w:r>
    </w:p>
    <w:p>
      <w:pPr>
        <w:pStyle w:val="2"/>
        <w:jc w:val="left"/>
      </w:pPr>
      <w:r>
        <w:rPr>
          <w:rFonts w:ascii="Times New Roman" w:hAnsi="Times New Roman" w:eastAsia="宋体"/>
          <w:b/>
          <w:sz w:val="24"/>
        </w:rPr>
        <w:t xml:space="preserve"> 地震与设计基本参数</w:t>
      </w:r>
    </w:p>
    <w:p>
      <w:pPr>
        <w:spacing w:lineRule="auto" w:line="360" w:before="0" w:after="0"/>
        <w:ind w:firstLine="480"/>
      </w:pPr>
      <w:r>
        <w:rPr>
          <w:rFonts w:ascii="Times New Roman" w:hAnsi="Times New Roman" w:eastAsia="宋体"/>
          <w:sz w:val="24"/>
        </w:rPr>
        <w:t>根据任务书，工程所在地设计烈度为7度，地震动力系数取0.1g。码头结构安全等级为二级，设计中按正常使用、船舶靠泊、堆货与设备运行、地震作用等工况进行说明。由于本设计为初步设计，地震作用主要用于结构方案合理性和后续施工图阶段深化计算的控制条件。</w:t>
      </w:r>
    </w:p>
    <w:p>
      <w:pPr>
        <w:spacing w:lineRule="auto" w:line="360" w:before="0" w:after="0"/>
        <w:ind w:firstLine="480"/>
      </w:pPr>
      <w:r>
        <w:rPr>
          <w:rFonts w:ascii="Times New Roman" w:hAnsi="Times New Roman" w:eastAsia="宋体"/>
          <w:sz w:val="24"/>
        </w:rPr>
        <w:t>地震作用在初步设计中不作为高桩码头的主控荷载，但对桩基水平承载、桩顶连接、横向排架延性和设备基础锚固仍有影响。施工图阶段应根据抗震设防烈度、场地类别和结构重要性系数，对排架空间模型和桩身内力进行补充验算。</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整理了工程地理位置、气象、水文、地质和地震参数。港址具有有掩护海域、潮流较小、陆域开阔等有利条件，但浅部软弱土层较厚，对结构选型和基础设计提出较高要求。后续设计应优先考虑适应软土地基的结构方案，并按规范完成尺度、装卸能力和结构承载力计算。</w:t>
      </w:r>
    </w:p>
    <w:p>
      <w:pPr>
        <w:pStyle w:val="1"/>
        <w:pageBreakBefore/>
        <w:jc w:val="center"/>
      </w:pPr>
      <w:r>
        <w:rPr>
          <w:rFonts w:ascii="Times New Roman" w:hAnsi="Times New Roman" w:eastAsia="宋体"/>
          <w:b/>
          <w:sz w:val="30"/>
        </w:rPr>
        <w:t xml:space="preserve"> 码头总平面布置设计</w:t>
      </w:r>
    </w:p>
    <w:p>
      <w:pPr>
        <w:pStyle w:val="2"/>
        <w:jc w:val="left"/>
      </w:pPr>
      <w:r>
        <w:rPr>
          <w:rFonts w:ascii="Times New Roman" w:hAnsi="Times New Roman" w:eastAsia="宋体"/>
          <w:b/>
          <w:sz w:val="24"/>
        </w:rPr>
        <w:t xml:space="preserve"> 设计船型与核心设计参数</w:t>
      </w:r>
    </w:p>
    <w:p>
      <w:pPr>
        <w:pStyle w:val="3"/>
        <w:jc w:val="left"/>
      </w:pPr>
      <w:r>
        <w:rPr>
          <w:rFonts w:ascii="Times New Roman" w:hAnsi="Times New Roman" w:eastAsia="宋体"/>
          <w:b/>
          <w:sz w:val="24"/>
        </w:rPr>
        <w:t xml:space="preserve"> 设计船型确定</w:t>
      </w:r>
    </w:p>
    <w:p>
      <w:pPr>
        <w:spacing w:lineRule="auto" w:line="360" w:before="0" w:after="0"/>
        <w:ind w:firstLine="480"/>
      </w:pPr>
      <w:r>
        <w:rPr>
          <w:rFonts w:ascii="Times New Roman" w:hAnsi="Times New Roman" w:eastAsia="宋体"/>
          <w:sz w:val="24"/>
        </w:rPr>
        <w:t>任务书规定设计船型为5万DWT散货船。设计船型用于控制码头、港池、航道和锚地尺度，取值时应综合泊位功能、运输组织、港区自然条件和船舶操纵要求。船型尺度取值参考海港工程设计手册中册的散货船尺度表</w:t>
      </w:r>
      <w:r>
        <w:rPr>
          <w:rFonts w:ascii="Times New Roman" w:hAnsi="Times New Roman" w:eastAsia="宋体"/>
          <w:sz w:val="24"/>
          <w:vertAlign w:val="superscript"/>
        </w:rPr>
        <w:t>[10]</w:t>
      </w:r>
      <w:r>
        <w:rPr>
          <w:rFonts w:ascii="Times New Roman" w:hAnsi="Times New Roman" w:eastAsia="宋体"/>
          <w:sz w:val="24"/>
        </w:rPr>
        <w:t>，并结合煤炭运输船舶常用尺度确定。本设计取船长L=225m、型宽B=32.5m、满载吃水T=11.5m作为总平面和水域尺度计算控制参数。</w:t>
      </w:r>
    </w:p>
    <w:p>
      <w:pPr>
        <w:keepNext/>
        <w:spacing w:lineRule="auto" w:line="300" w:before="0" w:after="120"/>
        <w:jc w:val="center"/>
      </w:pPr>
      <w:r>
        <w:rPr>
          <w:rFonts w:ascii="Times New Roman" w:hAnsi="Times New Roman" w:eastAsia="宋体"/>
          <w:b w:val="0"/>
          <w:sz w:val="20"/>
        </w:rPr>
        <w:t>表3-1 设计船型主尺度</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592"/>
        <w:gridCol w:w="1728"/>
        <w:gridCol w:w="4032"/>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符号</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取值</w:t>
            </w:r>
          </w:p>
        </w:tc>
      </w:tr>
      <w:tr>
        <w:trPr>
          <w:cantSplit/>
        </w:trPr>
        <w:tc>
          <w:tcPr>
            <w:tcW w:type="dxa" w:w="2592"/>
            <w:vAlign w:val="center"/>
          </w:tcPr>
          <w:p>
            <w:pPr>
              <w:keepLines/>
              <w:spacing w:lineRule="auto" w:line="276"/>
              <w:jc w:val="center"/>
            </w:pPr>
            <w:r>
              <w:rPr>
                <w:rFonts w:ascii="Times New Roman" w:hAnsi="Times New Roman" w:eastAsia="宋体"/>
                <w:b w:val="0"/>
                <w:sz w:val="18"/>
              </w:rPr>
              <w:t>设计船型</w:t>
            </w:r>
          </w:p>
        </w:tc>
        <w:tc>
          <w:tcPr>
            <w:tcW w:type="dxa" w:w="1728"/>
            <w:vAlign w:val="center"/>
          </w:tcPr>
          <w:p>
            <w:pPr>
              <w:keepLines/>
              <w:spacing w:lineRule="auto" w:line="276"/>
              <w:jc w:val="center"/>
            </w:pPr>
            <w:r>
              <w:rPr>
                <w:rFonts w:ascii="Times New Roman" w:hAnsi="Times New Roman" w:eastAsia="宋体"/>
                <w:b w:val="0"/>
                <w:sz w:val="18"/>
              </w:rPr>
              <w:t>-</w:t>
            </w:r>
          </w:p>
        </w:tc>
        <w:tc>
          <w:tcPr>
            <w:tcW w:type="dxa" w:w="4032"/>
            <w:vAlign w:val="center"/>
          </w:tcPr>
          <w:p>
            <w:pPr>
              <w:keepLines/>
              <w:spacing w:lineRule="auto" w:line="276"/>
              <w:jc w:val="center"/>
            </w:pPr>
            <w:r>
              <w:rPr>
                <w:rFonts w:ascii="Times New Roman" w:hAnsi="Times New Roman" w:eastAsia="宋体"/>
                <w:b w:val="0"/>
                <w:sz w:val="18"/>
              </w:rPr>
              <w:t>5万DWT散货船</w:t>
            </w:r>
          </w:p>
        </w:tc>
      </w:tr>
      <w:tr>
        <w:trPr>
          <w:cantSplit/>
        </w:trPr>
        <w:tc>
          <w:tcPr>
            <w:tcW w:type="dxa" w:w="2592"/>
            <w:vAlign w:val="center"/>
          </w:tcPr>
          <w:p>
            <w:pPr>
              <w:keepLines/>
              <w:spacing w:lineRule="auto" w:line="276"/>
              <w:jc w:val="center"/>
            </w:pPr>
            <w:r>
              <w:rPr>
                <w:rFonts w:ascii="Times New Roman" w:hAnsi="Times New Roman" w:eastAsia="宋体"/>
                <w:b w:val="0"/>
                <w:sz w:val="18"/>
              </w:rPr>
              <w:t>船长</w:t>
            </w:r>
          </w:p>
        </w:tc>
        <w:tc>
          <w:tcPr>
            <w:tcW w:type="dxa" w:w="1728"/>
            <w:vAlign w:val="center"/>
          </w:tcPr>
          <w:p>
            <w:pPr>
              <w:keepLines/>
              <w:spacing w:lineRule="auto" w:line="276"/>
              <w:jc w:val="center"/>
            </w:pPr>
            <w:r>
              <w:rPr>
                <w:rFonts w:ascii="Times New Roman" w:hAnsi="Times New Roman" w:eastAsia="宋体"/>
                <w:b w:val="0"/>
                <w:sz w:val="18"/>
              </w:rPr>
              <w:t>L</w:t>
            </w:r>
          </w:p>
        </w:tc>
        <w:tc>
          <w:tcPr>
            <w:tcW w:type="dxa" w:w="4032"/>
            <w:vAlign w:val="center"/>
          </w:tcPr>
          <w:p>
            <w:pPr>
              <w:keepLines/>
              <w:spacing w:lineRule="auto" w:line="276"/>
              <w:jc w:val="center"/>
            </w:pPr>
            <w:r>
              <w:rPr>
                <w:rFonts w:ascii="Times New Roman" w:hAnsi="Times New Roman" w:eastAsia="宋体"/>
                <w:b w:val="0"/>
                <w:sz w:val="18"/>
              </w:rPr>
              <w:t>225m</w:t>
            </w:r>
          </w:p>
        </w:tc>
      </w:tr>
      <w:tr>
        <w:trPr>
          <w:cantSplit/>
        </w:trPr>
        <w:tc>
          <w:tcPr>
            <w:tcW w:type="dxa" w:w="2592"/>
            <w:vAlign w:val="center"/>
          </w:tcPr>
          <w:p>
            <w:pPr>
              <w:keepLines/>
              <w:spacing w:lineRule="auto" w:line="276"/>
              <w:jc w:val="center"/>
            </w:pPr>
            <w:r>
              <w:rPr>
                <w:rFonts w:ascii="Times New Roman" w:hAnsi="Times New Roman" w:eastAsia="宋体"/>
                <w:b w:val="0"/>
                <w:sz w:val="18"/>
              </w:rPr>
              <w:t>型宽</w:t>
            </w:r>
          </w:p>
        </w:tc>
        <w:tc>
          <w:tcPr>
            <w:tcW w:type="dxa" w:w="1728"/>
            <w:vAlign w:val="center"/>
          </w:tcPr>
          <w:p>
            <w:pPr>
              <w:keepLines/>
              <w:spacing w:lineRule="auto" w:line="276"/>
              <w:jc w:val="center"/>
            </w:pPr>
            <w:r>
              <w:rPr>
                <w:rFonts w:ascii="Times New Roman" w:hAnsi="Times New Roman" w:eastAsia="宋体"/>
                <w:b w:val="0"/>
                <w:sz w:val="18"/>
              </w:rPr>
              <w:t>B</w:t>
            </w:r>
          </w:p>
        </w:tc>
        <w:tc>
          <w:tcPr>
            <w:tcW w:type="dxa" w:w="4032"/>
            <w:vAlign w:val="center"/>
          </w:tcPr>
          <w:p>
            <w:pPr>
              <w:keepLines/>
              <w:spacing w:lineRule="auto" w:line="276"/>
              <w:jc w:val="center"/>
            </w:pPr>
            <w:r>
              <w:rPr>
                <w:rFonts w:ascii="Times New Roman" w:hAnsi="Times New Roman" w:eastAsia="宋体"/>
                <w:b w:val="0"/>
                <w:sz w:val="18"/>
              </w:rPr>
              <w:t>32.5m</w:t>
            </w:r>
          </w:p>
        </w:tc>
      </w:tr>
      <w:tr>
        <w:trPr>
          <w:cantSplit/>
        </w:trPr>
        <w:tc>
          <w:tcPr>
            <w:tcW w:type="dxa" w:w="2592"/>
            <w:vAlign w:val="center"/>
          </w:tcPr>
          <w:p>
            <w:pPr>
              <w:keepLines/>
              <w:spacing w:lineRule="auto" w:line="276"/>
              <w:jc w:val="center"/>
            </w:pPr>
            <w:r>
              <w:rPr>
                <w:rFonts w:ascii="Times New Roman" w:hAnsi="Times New Roman" w:eastAsia="宋体"/>
                <w:b w:val="0"/>
                <w:sz w:val="18"/>
              </w:rPr>
              <w:t>满载吃水</w:t>
            </w:r>
          </w:p>
        </w:tc>
        <w:tc>
          <w:tcPr>
            <w:tcW w:type="dxa" w:w="1728"/>
            <w:vAlign w:val="center"/>
          </w:tcPr>
          <w:p>
            <w:pPr>
              <w:keepLines/>
              <w:spacing w:lineRule="auto" w:line="276"/>
              <w:jc w:val="center"/>
            </w:pPr>
            <w:r>
              <w:rPr>
                <w:rFonts w:ascii="Times New Roman" w:hAnsi="Times New Roman" w:eastAsia="宋体"/>
                <w:b w:val="0"/>
                <w:sz w:val="18"/>
              </w:rPr>
              <w:t>T</w:t>
            </w:r>
          </w:p>
        </w:tc>
        <w:tc>
          <w:tcPr>
            <w:tcW w:type="dxa" w:w="4032"/>
            <w:vAlign w:val="center"/>
          </w:tcPr>
          <w:p>
            <w:pPr>
              <w:keepLines/>
              <w:spacing w:lineRule="auto" w:line="276"/>
              <w:jc w:val="center"/>
            </w:pPr>
            <w:r>
              <w:rPr>
                <w:rFonts w:ascii="Times New Roman" w:hAnsi="Times New Roman" w:eastAsia="宋体"/>
                <w:b w:val="0"/>
                <w:sz w:val="18"/>
              </w:rPr>
              <w:t>11.5m</w:t>
            </w:r>
          </w:p>
        </w:tc>
      </w:tr>
      <w:tr>
        <w:trPr>
          <w:cantSplit/>
        </w:trPr>
        <w:tc>
          <w:tcPr>
            <w:tcW w:type="dxa" w:w="2592"/>
            <w:vAlign w:val="center"/>
          </w:tcPr>
          <w:p>
            <w:pPr>
              <w:keepLines/>
              <w:spacing w:lineRule="auto" w:line="276"/>
              <w:jc w:val="center"/>
            </w:pPr>
            <w:r>
              <w:rPr>
                <w:rFonts w:ascii="Times New Roman" w:hAnsi="Times New Roman" w:eastAsia="宋体"/>
                <w:b w:val="0"/>
                <w:sz w:val="18"/>
              </w:rPr>
              <w:t>靠泊方式</w:t>
            </w:r>
          </w:p>
        </w:tc>
        <w:tc>
          <w:tcPr>
            <w:tcW w:type="dxa" w:w="1728"/>
            <w:vAlign w:val="center"/>
          </w:tcPr>
          <w:p>
            <w:pPr>
              <w:keepLines/>
              <w:spacing w:lineRule="auto" w:line="276"/>
              <w:jc w:val="center"/>
            </w:pPr>
            <w:r>
              <w:rPr>
                <w:rFonts w:ascii="Times New Roman" w:hAnsi="Times New Roman" w:eastAsia="宋体"/>
                <w:b w:val="0"/>
                <w:sz w:val="18"/>
              </w:rPr>
              <w:t>-</w:t>
            </w:r>
          </w:p>
        </w:tc>
        <w:tc>
          <w:tcPr>
            <w:tcW w:type="dxa" w:w="4032"/>
            <w:vAlign w:val="center"/>
          </w:tcPr>
          <w:p>
            <w:pPr>
              <w:keepLines/>
              <w:spacing w:lineRule="auto" w:line="276"/>
              <w:jc w:val="center"/>
            </w:pPr>
            <w:r>
              <w:rPr>
                <w:rFonts w:ascii="Times New Roman" w:hAnsi="Times New Roman" w:eastAsia="宋体"/>
                <w:b w:val="0"/>
                <w:sz w:val="18"/>
              </w:rPr>
              <w:t>单泊位顺岸式靠泊</w:t>
            </w:r>
          </w:p>
        </w:tc>
      </w:tr>
      <w:tr>
        <w:trPr>
          <w:cantSplit/>
        </w:trPr>
        <w:tc>
          <w:tcPr>
            <w:tcW w:type="dxa" w:w="2592"/>
            <w:vAlign w:val="center"/>
          </w:tcPr>
          <w:p>
            <w:pPr>
              <w:keepLines/>
              <w:spacing w:lineRule="auto" w:line="276"/>
              <w:jc w:val="center"/>
            </w:pPr>
            <w:r>
              <w:rPr>
                <w:rFonts w:ascii="Times New Roman" w:hAnsi="Times New Roman" w:eastAsia="宋体"/>
                <w:b w:val="0"/>
                <w:sz w:val="18"/>
              </w:rPr>
              <w:t>作业货种</w:t>
            </w:r>
          </w:p>
        </w:tc>
        <w:tc>
          <w:tcPr>
            <w:tcW w:type="dxa" w:w="1728"/>
            <w:vAlign w:val="center"/>
          </w:tcPr>
          <w:p>
            <w:pPr>
              <w:keepLines/>
              <w:spacing w:lineRule="auto" w:line="276"/>
              <w:jc w:val="center"/>
            </w:pPr>
            <w:r>
              <w:rPr>
                <w:rFonts w:ascii="Times New Roman" w:hAnsi="Times New Roman" w:eastAsia="宋体"/>
                <w:b w:val="0"/>
                <w:sz w:val="18"/>
              </w:rPr>
              <w:t>-</w:t>
            </w:r>
          </w:p>
        </w:tc>
        <w:tc>
          <w:tcPr>
            <w:tcW w:type="dxa" w:w="4032"/>
            <w:vAlign w:val="center"/>
          </w:tcPr>
          <w:p>
            <w:pPr>
              <w:keepLines/>
              <w:spacing w:lineRule="auto" w:line="276"/>
              <w:jc w:val="center"/>
            </w:pPr>
            <w:r>
              <w:rPr>
                <w:rFonts w:ascii="Times New Roman" w:hAnsi="Times New Roman" w:eastAsia="宋体"/>
                <w:b w:val="0"/>
                <w:sz w:val="18"/>
              </w:rPr>
              <w:t>进口燃料煤</w:t>
            </w:r>
          </w:p>
        </w:tc>
      </w:tr>
    </w:tbl>
    <w:p/>
    <w:p>
      <w:pPr>
        <w:pStyle w:val="3"/>
        <w:jc w:val="left"/>
      </w:pPr>
      <w:r>
        <w:rPr>
          <w:rFonts w:ascii="Times New Roman" w:hAnsi="Times New Roman" w:eastAsia="宋体"/>
          <w:b/>
          <w:sz w:val="24"/>
        </w:rPr>
        <w:t xml:space="preserve"> 作业与设计控制参数</w:t>
      </w:r>
    </w:p>
    <w:p>
      <w:pPr>
        <w:spacing w:lineRule="auto" w:line="360" w:before="0" w:after="0"/>
        <w:ind w:firstLine="480"/>
      </w:pPr>
      <w:r>
        <w:rPr>
          <w:rFonts w:ascii="Times New Roman" w:hAnsi="Times New Roman" w:eastAsia="宋体"/>
          <w:sz w:val="24"/>
        </w:rPr>
        <w:t>码头年工作天数为321d，每天纯作业时间为21h。工程处于有掩护海域，设计波高小于1m，可不考虑波浪对泊位尺度的控制影响。设计风力为9级，9级以上船舶离泊至锚地避风。总平面布置按设计基础条件、港口平面、进港航道、锚地及装卸工艺相互协调的思路进行，以安全靠泊、装卸连续、陆域流程短捷和后方电厂衔接便利为原则。</w:t>
      </w:r>
    </w:p>
    <w:p>
      <w:pPr>
        <w:pStyle w:val="2"/>
        <w:jc w:val="left"/>
      </w:pPr>
      <w:r>
        <w:rPr>
          <w:rFonts w:ascii="Times New Roman" w:hAnsi="Times New Roman" w:eastAsia="宋体"/>
          <w:b/>
          <w:sz w:val="24"/>
        </w:rPr>
        <w:t xml:space="preserve"> 码头泊位尺度设计</w:t>
      </w:r>
    </w:p>
    <w:p>
      <w:pPr>
        <w:pStyle w:val="3"/>
        <w:jc w:val="left"/>
      </w:pPr>
      <w:r>
        <w:rPr>
          <w:rFonts w:ascii="Times New Roman" w:hAnsi="Times New Roman" w:eastAsia="宋体"/>
          <w:b/>
          <w:sz w:val="24"/>
        </w:rPr>
        <w:t xml:space="preserve"> 泊位长度设计</w:t>
      </w:r>
    </w:p>
    <w:p>
      <w:pPr>
        <w:spacing w:lineRule="auto" w:line="360" w:before="0" w:after="0"/>
        <w:ind w:firstLine="480"/>
      </w:pPr>
      <w:r>
        <w:rPr>
          <w:rFonts w:ascii="Times New Roman" w:hAnsi="Times New Roman" w:eastAsia="宋体"/>
          <w:sz w:val="24"/>
        </w:rPr>
        <w:t>码头采用1个5万DWT散货船泊位。泊位长度按设计船长加两端富裕长度确定，富裕长度取18m，则：</w:t>
      </w:r>
    </w:p>
    <w:p>
      <w:pPr>
        <w:tabs>
          <w:tab w:pos="4100" w:val="center"/>
          <w:tab w:pos="8200" w:val="right"/>
        </w:tabs>
        <w:spacing w:lineRule="auto" w:line="360" w:before="0" w:after="0"/>
        <w:jc w:val="left"/>
      </w:pPr>
      <w:r>
        <w:tab/>
      </w:r>
      <m:oMath>
        <m:sSub>
          <m:e>
            <m:r>
              <m:t>L</m:t>
            </m:r>
          </m:e>
          <m:sub>
            <m:r>
              <m:t>b</m:t>
            </m:r>
          </m:sub>
        </m:sSub>
        <m:r>
          <m:rPr>
            <m:sty m:val="p"/>
          </m:rPr>
          <m:t>=</m:t>
        </m:r>
        <m:r>
          <m:t>L</m:t>
        </m:r>
        <m:r>
          <m:rPr>
            <m:sty m:val="p"/>
          </m:rPr>
          <m:t>+</m:t>
        </m:r>
        <m:r>
          <m:t>2</m:t>
        </m:r>
        <m:r>
          <m:t>d</m:t>
        </m:r>
        <m:r>
          <m:rPr>
            <m:sty m:val="p"/>
          </m:rPr>
          <m:t>=</m:t>
        </m:r>
        <m:r>
          <m:t>223</m:t>
        </m:r>
        <m:r>
          <m:rPr>
            <m:sty m:val="p"/>
          </m:rPr>
          <m:t>+</m:t>
        </m:r>
        <m:r>
          <m:t>2</m:t>
        </m:r>
        <m:r>
          <m:rPr>
            <m:sty m:val="p"/>
          </m:rPr>
          <m:t>×</m:t>
        </m:r>
        <m:r>
          <m:t>18</m:t>
        </m:r>
        <m:r>
          <m:rPr>
            <m:sty m:val="p"/>
          </m:rPr>
          <m:t>=</m:t>
        </m:r>
        <m:r>
          <m:t>259</m:t>
        </m:r>
        <m:r>
          <m:t> </m:t>
        </m:r>
        <m:r>
          <m:rPr>
            <m:sty m:val="p"/>
          </m:rPr>
          <m:t>m</m:t>
        </m:r>
        <m:r>
          <m:rPr>
            <m:sty m:val="p"/>
          </m:rPr>
          <m:t>≈</m:t>
        </m:r>
        <m:r>
          <m:t>260</m:t>
        </m:r>
        <m:r>
          <m:t> </m:t>
        </m:r>
        <m:r>
          <m:rPr>
            <m:sty m:val="p"/>
          </m:rPr>
          <m:t>m</m:t>
        </m:r>
      </m:oMath>
      <w:r>
        <w:rPr>
          <w:rFonts w:ascii="Times New Roman" w:hAnsi="Times New Roman" w:eastAsia="宋体"/>
          <w:sz w:val="24"/>
        </w:rPr>
        <w:tab/>
        <w:t>(3.1)</w:t>
      </w:r>
    </w:p>
    <w:p>
      <w:pPr>
        <w:spacing w:lineRule="auto" w:line="360" w:before="0" w:after="0"/>
        <w:ind w:firstLine="480"/>
      </w:pPr>
      <w:r>
        <w:rPr>
          <w:rFonts w:ascii="Times New Roman" w:hAnsi="Times New Roman" w:eastAsia="宋体"/>
          <w:sz w:val="24"/>
        </w:rPr>
        <w:t>因此，本设计泊位长度取260m。该长度能够满足5万DWT散货船安全靠泊、缆绳布置和卸船机沿轨作业需要。</w:t>
      </w:r>
    </w:p>
    <w:p>
      <w:pPr>
        <w:pStyle w:val="3"/>
        <w:jc w:val="left"/>
      </w:pPr>
      <w:r>
        <w:rPr>
          <w:rFonts w:ascii="Times New Roman" w:hAnsi="Times New Roman" w:eastAsia="宋体"/>
          <w:b/>
          <w:sz w:val="24"/>
        </w:rPr>
        <w:t xml:space="preserve"> 码头面高程设计</w:t>
      </w:r>
    </w:p>
    <w:p>
      <w:pPr>
        <w:spacing w:lineRule="auto" w:line="360" w:before="0" w:after="0"/>
        <w:ind w:firstLine="480"/>
      </w:pPr>
      <w:r>
        <w:rPr>
          <w:rFonts w:ascii="Times New Roman" w:hAnsi="Times New Roman" w:eastAsia="宋体"/>
          <w:sz w:val="24"/>
        </w:rPr>
        <w:t>码头面高程按设计高水位加安全超高初步确定。设计高水位为1.91m，考虑有掩护海域、作业安全和排水要求，安全超高取1.50m，则：</w:t>
      </w:r>
    </w:p>
    <w:p>
      <w:pPr>
        <w:tabs>
          <w:tab w:pos="4100" w:val="center"/>
          <w:tab w:pos="8200" w:val="right"/>
        </w:tabs>
        <w:spacing w:lineRule="auto" w:line="360" w:before="0" w:after="0"/>
        <w:jc w:val="left"/>
      </w:pPr>
      <w:r>
        <w:tab/>
      </w:r>
      <m:oMath>
        <m:r>
          <m:t>H</m:t>
        </m:r>
        <m:r>
          <m:rPr>
            <m:sty m:val="p"/>
          </m:rPr>
          <m:t>=</m:t>
        </m:r>
        <m:sSub>
          <m:e>
            <m:r>
              <m:t>H</m:t>
            </m:r>
          </m:e>
          <m:sub>
            <m:r>
              <m:t>D</m:t>
            </m:r>
            <m:r>
              <m:t>W</m:t>
            </m:r>
          </m:sub>
        </m:sSub>
        <m:r>
          <m:rPr>
            <m:sty m:val="p"/>
          </m:rPr>
          <m:t>+</m:t>
        </m:r>
        <m:r>
          <m:t>a</m:t>
        </m:r>
        <m:r>
          <m:rPr>
            <m:sty m:val="p"/>
          </m:rPr>
          <m:t>=</m:t>
        </m:r>
        <m:r>
          <m:t>1.91</m:t>
        </m:r>
        <m:r>
          <m:rPr>
            <m:sty m:val="p"/>
          </m:rPr>
          <m:t>+</m:t>
        </m:r>
        <m:r>
          <m:t>1.50</m:t>
        </m:r>
        <m:r>
          <m:rPr>
            <m:sty m:val="p"/>
          </m:rPr>
          <m:t>=</m:t>
        </m:r>
        <m:r>
          <m:t>3.41</m:t>
        </m:r>
        <m:r>
          <m:t> </m:t>
        </m:r>
        <m:r>
          <m:rPr>
            <m:sty m:val="p"/>
          </m:rPr>
          <m:t>m</m:t>
        </m:r>
      </m:oMath>
      <w:r>
        <w:rPr>
          <w:rFonts w:ascii="Times New Roman" w:hAnsi="Times New Roman" w:eastAsia="宋体"/>
          <w:sz w:val="24"/>
        </w:rPr>
        <w:tab/>
        <w:t>(3.2)</w:t>
      </w:r>
    </w:p>
    <w:p>
      <w:pPr>
        <w:spacing w:lineRule="auto" w:line="360" w:before="0" w:after="0"/>
        <w:ind w:firstLine="480"/>
      </w:pPr>
      <w:r>
        <w:rPr>
          <w:rFonts w:ascii="Times New Roman" w:hAnsi="Times New Roman" w:eastAsia="宋体"/>
          <w:sz w:val="24"/>
        </w:rPr>
        <w:t>结合极端高水位3.56m、堆场排水坡度和前方作业安全，本设计码头面高程取3.60m。该取值便于与后方陆域衔接，也可减少短历时高水位对前沿作业的影响。</w:t>
      </w:r>
    </w:p>
    <w:p>
      <w:pPr>
        <w:pStyle w:val="3"/>
        <w:jc w:val="left"/>
      </w:pPr>
      <w:r>
        <w:rPr>
          <w:rFonts w:ascii="Times New Roman" w:hAnsi="Times New Roman" w:eastAsia="宋体"/>
          <w:b/>
          <w:sz w:val="24"/>
        </w:rPr>
        <w:t xml:space="preserve"> 码头前沿水深设计</w:t>
      </w:r>
    </w:p>
    <w:p>
      <w:pPr>
        <w:spacing w:lineRule="auto" w:line="360" w:before="0" w:after="0"/>
        <w:ind w:firstLine="480"/>
      </w:pPr>
      <w:r>
        <w:rPr>
          <w:rFonts w:ascii="Times New Roman" w:hAnsi="Times New Roman" w:eastAsia="宋体"/>
          <w:sz w:val="24"/>
        </w:rPr>
        <w:t>码头前沿设计水深按设计船舶满载吃水加龙骨下富裕水深、航行下沉富裕、波浪及回淤富裕确定。由于工程位于有掩护海域，波浪影响较小，取合计富裕水深0.50m。</w:t>
      </w:r>
    </w:p>
    <w:p>
      <w:pPr>
        <w:tabs>
          <w:tab w:pos="4100" w:val="center"/>
          <w:tab w:pos="8200" w:val="right"/>
        </w:tabs>
        <w:spacing w:lineRule="auto" w:line="360" w:before="0" w:after="0"/>
        <w:jc w:val="left"/>
      </w:pPr>
      <w:r>
        <w:tab/>
      </w:r>
      <m:oMath>
        <m:r>
          <m:t>D</m:t>
        </m:r>
        <m:r>
          <m:rPr>
            <m:sty m:val="p"/>
          </m:rPr>
          <m:t>=</m:t>
        </m:r>
        <m:r>
          <m:t>T</m:t>
        </m:r>
        <m:r>
          <m:rPr>
            <m:sty m:val="p"/>
          </m:rPr>
          <m:t>+</m:t>
        </m:r>
        <m:sSub>
          <m:e>
            <m:r>
              <m:t>Z</m:t>
            </m:r>
          </m:e>
          <m:sub>
            <m:r>
              <m:t>1</m:t>
            </m:r>
          </m:sub>
        </m:sSub>
        <m:r>
          <m:rPr>
            <m:sty m:val="p"/>
          </m:rPr>
          <m:t>+</m:t>
        </m:r>
        <m:sSub>
          <m:e>
            <m:r>
              <m:t>Z</m:t>
            </m:r>
          </m:e>
          <m:sub>
            <m:r>
              <m:t>2</m:t>
            </m:r>
          </m:sub>
        </m:sSub>
        <m:r>
          <m:rPr>
            <m:sty m:val="p"/>
          </m:rPr>
          <m:t>+</m:t>
        </m:r>
        <m:sSub>
          <m:e>
            <m:r>
              <m:t>Z</m:t>
            </m:r>
          </m:e>
          <m:sub>
            <m:r>
              <m:t>3</m:t>
            </m:r>
          </m:sub>
        </m:sSub>
        <m:r>
          <m:rPr>
            <m:sty m:val="p"/>
          </m:rPr>
          <m:t>=</m:t>
        </m:r>
        <m:r>
          <m:t>12.0</m:t>
        </m:r>
        <m:r>
          <m:rPr>
            <m:sty m:val="p"/>
          </m:rPr>
          <m:t>+</m:t>
        </m:r>
        <m:r>
          <m:t>0.30</m:t>
        </m:r>
        <m:r>
          <m:rPr>
            <m:sty m:val="p"/>
          </m:rPr>
          <m:t>+</m:t>
        </m:r>
        <m:r>
          <m:t>0.10</m:t>
        </m:r>
        <m:r>
          <m:rPr>
            <m:sty m:val="p"/>
          </m:rPr>
          <m:t>+</m:t>
        </m:r>
        <m:r>
          <m:t>0.10</m:t>
        </m:r>
        <m:r>
          <m:rPr>
            <m:sty m:val="p"/>
          </m:rPr>
          <m:t>=</m:t>
        </m:r>
        <m:r>
          <m:t>12.50</m:t>
        </m:r>
        <m:r>
          <m:t> </m:t>
        </m:r>
        <m:r>
          <m:rPr>
            <m:sty m:val="p"/>
          </m:rPr>
          <m:t>m</m:t>
        </m:r>
      </m:oMath>
      <w:r>
        <w:rPr>
          <w:rFonts w:ascii="Times New Roman" w:hAnsi="Times New Roman" w:eastAsia="宋体"/>
          <w:sz w:val="24"/>
        </w:rPr>
        <w:tab/>
        <w:t>(3.3)</w:t>
      </w:r>
    </w:p>
    <w:p>
      <w:pPr>
        <w:spacing w:lineRule="auto" w:line="360" w:before="0" w:after="0"/>
        <w:ind w:firstLine="480"/>
      </w:pPr>
      <w:r>
        <w:rPr>
          <w:rFonts w:ascii="Times New Roman" w:hAnsi="Times New Roman" w:eastAsia="宋体"/>
          <w:sz w:val="24"/>
        </w:rPr>
        <w:t>码头前沿设计水深取12.50m，港池底标高按设计低水位0.22m折算为-12.28m。考虑施工和维护疏浚便利，实际设计中可适当预留疏浚超深。</w:t>
      </w:r>
    </w:p>
    <w:p>
      <w:pPr>
        <w:pStyle w:val="2"/>
        <w:jc w:val="left"/>
      </w:pPr>
      <w:r>
        <w:rPr>
          <w:rFonts w:ascii="Times New Roman" w:hAnsi="Times New Roman" w:eastAsia="宋体"/>
          <w:b/>
          <w:sz w:val="24"/>
        </w:rPr>
        <w:t xml:space="preserve"> 水域布置设计</w:t>
      </w:r>
    </w:p>
    <w:p>
      <w:pPr>
        <w:pStyle w:val="3"/>
        <w:jc w:val="left"/>
      </w:pPr>
      <w:r>
        <w:rPr>
          <w:rFonts w:ascii="Times New Roman" w:hAnsi="Times New Roman" w:eastAsia="宋体"/>
          <w:b/>
          <w:sz w:val="24"/>
        </w:rPr>
        <w:t xml:space="preserve"> 停泊水域</w:t>
      </w:r>
    </w:p>
    <w:p>
      <w:pPr>
        <w:spacing w:lineRule="auto" w:line="360" w:before="0" w:after="0"/>
        <w:ind w:firstLine="480"/>
      </w:pPr>
      <w:r>
        <w:rPr>
          <w:rFonts w:ascii="Times New Roman" w:hAnsi="Times New Roman" w:eastAsia="宋体"/>
          <w:sz w:val="24"/>
        </w:rPr>
        <w:t>停泊水域应满足船舶靠泊、离泊、拖轮协助和安全避让需要。按海港总平面布置中码头前沿停泊水域通常取码头前2倍设计船宽范围、长度与泊位长度协调的要求，本设计按设计船宽的2倍估算停泊水域宽度：</w:t>
      </w:r>
    </w:p>
    <w:p>
      <w:pPr>
        <w:tabs>
          <w:tab w:pos="4100" w:val="center"/>
          <w:tab w:pos="8200" w:val="right"/>
        </w:tabs>
        <w:spacing w:lineRule="auto" w:line="360" w:before="0" w:after="0"/>
        <w:jc w:val="left"/>
      </w:pPr>
      <w:r>
        <w:tab/>
      </w:r>
      <m:oMath>
        <m:sSub>
          <m:e>
            <m:r>
              <m:t>B</m:t>
            </m:r>
          </m:e>
          <m:sub>
            <m:r>
              <m:t>t</m:t>
            </m:r>
          </m:sub>
        </m:sSub>
        <m:r>
          <m:rPr>
            <m:sty m:val="p"/>
          </m:rPr>
          <m:t>=</m:t>
        </m:r>
        <m:r>
          <m:t>2</m:t>
        </m:r>
        <m:r>
          <m:t>B</m:t>
        </m:r>
        <m:r>
          <m:rPr>
            <m:sty m:val="p"/>
          </m:rPr>
          <m:t>=</m:t>
        </m:r>
        <m:r>
          <m:t>2</m:t>
        </m:r>
        <m:r>
          <m:rPr>
            <m:sty m:val="p"/>
          </m:rPr>
          <m:t>×</m:t>
        </m:r>
        <m:r>
          <m:t>32.2</m:t>
        </m:r>
        <m:r>
          <m:rPr>
            <m:sty m:val="p"/>
          </m:rPr>
          <m:t>=</m:t>
        </m:r>
        <m:r>
          <m:t>64.4</m:t>
        </m:r>
        <m:r>
          <m:t> </m:t>
        </m:r>
        <m:r>
          <m:rPr>
            <m:sty m:val="p"/>
          </m:rPr>
          <m:t>m</m:t>
        </m:r>
        <m:r>
          <m:rPr>
            <m:sty m:val="p"/>
          </m:rPr>
          <m:t>≈</m:t>
        </m:r>
        <m:r>
          <m:t>65</m:t>
        </m:r>
        <m:r>
          <m:t> </m:t>
        </m:r>
        <m:r>
          <m:rPr>
            <m:sty m:val="p"/>
          </m:rPr>
          <m:t>m</m:t>
        </m:r>
      </m:oMath>
      <w:r>
        <w:rPr>
          <w:rFonts w:ascii="Times New Roman" w:hAnsi="Times New Roman" w:eastAsia="宋体"/>
          <w:sz w:val="24"/>
        </w:rPr>
        <w:tab/>
        <w:t>(3.4)</w:t>
      </w:r>
    </w:p>
    <w:p>
      <w:pPr>
        <w:spacing w:lineRule="auto" w:line="360" w:before="0" w:after="0"/>
        <w:ind w:firstLine="480"/>
      </w:pPr>
      <w:r>
        <w:rPr>
          <w:rFonts w:ascii="Times New Roman" w:hAnsi="Times New Roman" w:eastAsia="宋体"/>
          <w:sz w:val="24"/>
        </w:rPr>
        <w:t>本设计码头前沿停泊水域宽度取65m，长度与260m泊位长度一致，并与前沿水深12.50m配合，可满足5万DWT散货船靠泊、解缆和拖轮辅助作业要求。</w:t>
      </w:r>
    </w:p>
    <w:p>
      <w:pPr>
        <w:pStyle w:val="3"/>
        <w:jc w:val="left"/>
      </w:pPr>
      <w:r>
        <w:rPr>
          <w:rFonts w:ascii="Times New Roman" w:hAnsi="Times New Roman" w:eastAsia="宋体"/>
          <w:b/>
          <w:sz w:val="24"/>
        </w:rPr>
        <w:t xml:space="preserve"> 回旋水域</w:t>
      </w:r>
    </w:p>
    <w:p>
      <w:pPr>
        <w:spacing w:lineRule="auto" w:line="360" w:before="0" w:after="0"/>
        <w:ind w:firstLine="480"/>
      </w:pPr>
      <w:r>
        <w:rPr>
          <w:rFonts w:ascii="Times New Roman" w:hAnsi="Times New Roman" w:eastAsia="宋体"/>
          <w:sz w:val="24"/>
        </w:rPr>
        <w:t>回旋水域按有掩护港池、拖轮协助转头的条件布置，初步按2倍设计船长控制；受水流、风况或进出港频繁程度影响较大时，后续应结合操船模拟或港区通航论证复核。计算如下：</w:t>
      </w:r>
    </w:p>
    <w:p>
      <w:pPr>
        <w:tabs>
          <w:tab w:pos="4100" w:val="center"/>
          <w:tab w:pos="8200" w:val="right"/>
        </w:tabs>
        <w:spacing w:lineRule="auto" w:line="360" w:before="0" w:after="0"/>
        <w:jc w:val="left"/>
      </w:pPr>
      <w:r>
        <w:tab/>
      </w:r>
      <m:oMath>
        <m:sSub>
          <m:e>
            <m:r>
              <m:t>D</m:t>
            </m:r>
          </m:e>
          <m:sub>
            <m:r>
              <m:t>t</m:t>
            </m:r>
          </m:sub>
        </m:sSub>
        <m:r>
          <m:rPr>
            <m:sty m:val="p"/>
          </m:rPr>
          <m:t>=</m:t>
        </m:r>
        <m:r>
          <m:t>2</m:t>
        </m:r>
        <m:r>
          <m:t>L</m:t>
        </m:r>
        <m:r>
          <m:rPr>
            <m:sty m:val="p"/>
          </m:rPr>
          <m:t>=</m:t>
        </m:r>
        <m:r>
          <m:t>2</m:t>
        </m:r>
        <m:r>
          <m:rPr>
            <m:sty m:val="p"/>
          </m:rPr>
          <m:t>×</m:t>
        </m:r>
        <m:r>
          <m:t>223</m:t>
        </m:r>
        <m:r>
          <m:rPr>
            <m:sty m:val="p"/>
          </m:rPr>
          <m:t>=</m:t>
        </m:r>
        <m:r>
          <m:t>446</m:t>
        </m:r>
        <m:r>
          <m:t> </m:t>
        </m:r>
        <m:r>
          <m:rPr>
            <m:sty m:val="p"/>
          </m:rPr>
          <m:t>m</m:t>
        </m:r>
        <m:r>
          <m:rPr>
            <m:sty m:val="p"/>
          </m:rPr>
          <m:t>≈</m:t>
        </m:r>
        <m:r>
          <m:t>450</m:t>
        </m:r>
        <m:r>
          <m:t> </m:t>
        </m:r>
        <m:r>
          <m:rPr>
            <m:sty m:val="p"/>
          </m:rPr>
          <m:t>m</m:t>
        </m:r>
      </m:oMath>
      <w:r>
        <w:rPr>
          <w:rFonts w:ascii="Times New Roman" w:hAnsi="Times New Roman" w:eastAsia="宋体"/>
          <w:sz w:val="24"/>
        </w:rPr>
        <w:tab/>
        <w:t>(3.5)</w:t>
      </w:r>
    </w:p>
    <w:p>
      <w:pPr>
        <w:spacing w:lineRule="auto" w:line="360" w:before="0" w:after="0"/>
        <w:ind w:firstLine="480"/>
      </w:pPr>
      <w:r>
        <w:rPr>
          <w:rFonts w:ascii="Times New Roman" w:hAnsi="Times New Roman" w:eastAsia="宋体"/>
          <w:sz w:val="24"/>
        </w:rPr>
        <w:t>回旋水域直径取450m，布置于泊位前方外侧，与航道轴线顺接，减少船舶进出港时的转向角度。</w:t>
      </w:r>
    </w:p>
    <w:p>
      <w:pPr>
        <w:pStyle w:val="3"/>
        <w:jc w:val="left"/>
      </w:pPr>
      <w:r>
        <w:rPr>
          <w:rFonts w:ascii="Times New Roman" w:hAnsi="Times New Roman" w:eastAsia="宋体"/>
          <w:b/>
          <w:sz w:val="24"/>
        </w:rPr>
        <w:t xml:space="preserve"> 航道设计</w:t>
      </w:r>
    </w:p>
    <w:p>
      <w:pPr>
        <w:spacing w:lineRule="auto" w:line="360" w:before="0" w:after="0"/>
        <w:ind w:firstLine="480"/>
      </w:pPr>
      <w:r>
        <w:rPr>
          <w:rFonts w:ascii="Times New Roman" w:hAnsi="Times New Roman" w:eastAsia="宋体"/>
          <w:sz w:val="24"/>
        </w:rPr>
        <w:t>航道采用单线通航布置。根据规范中对航道尺度的控制思路，自然水深航道应同时考虑通航水深、通航宽度和转弯半径，尺度取值需综合设计船型、横风横流、船舶操纵性能、测量误差、底质和维护疏浚条件。初步设计按设计船宽加两侧安全富裕宽度估算，取每侧富裕宽度25m，则航道底宽为：</w:t>
      </w:r>
    </w:p>
    <w:p>
      <w:pPr>
        <w:tabs>
          <w:tab w:pos="4100" w:val="center"/>
          <w:tab w:pos="8200" w:val="right"/>
        </w:tabs>
        <w:spacing w:lineRule="auto" w:line="360" w:before="0" w:after="0"/>
        <w:jc w:val="left"/>
      </w:pPr>
      <w:r>
        <w:tab/>
      </w:r>
      <m:oMath>
        <m:sSub>
          <m:e>
            <m:r>
              <m:t>B</m:t>
            </m:r>
          </m:e>
          <m:sub>
            <m:r>
              <m:t>c</m:t>
            </m:r>
          </m:sub>
        </m:sSub>
        <m:r>
          <m:rPr>
            <m:sty m:val="p"/>
          </m:rPr>
          <m:t>=</m:t>
        </m:r>
        <m:r>
          <m:t>B</m:t>
        </m:r>
        <m:r>
          <m:rPr>
            <m:sty m:val="p"/>
          </m:rPr>
          <m:t>+</m:t>
        </m:r>
        <m:r>
          <m:t>2</m:t>
        </m:r>
        <m:r>
          <m:t>c</m:t>
        </m:r>
        <m:r>
          <m:rPr>
            <m:sty m:val="p"/>
          </m:rPr>
          <m:t>=</m:t>
        </m:r>
        <m:r>
          <m:t>32.2</m:t>
        </m:r>
        <m:r>
          <m:rPr>
            <m:sty m:val="p"/>
          </m:rPr>
          <m:t>+</m:t>
        </m:r>
        <m:r>
          <m:t>2</m:t>
        </m:r>
        <m:r>
          <m:rPr>
            <m:sty m:val="p"/>
          </m:rPr>
          <m:t>×</m:t>
        </m:r>
        <m:r>
          <m:t>25</m:t>
        </m:r>
        <m:r>
          <m:rPr>
            <m:sty m:val="p"/>
          </m:rPr>
          <m:t>=</m:t>
        </m:r>
        <m:r>
          <m:t>82.2</m:t>
        </m:r>
        <m:r>
          <m:t> </m:t>
        </m:r>
        <m:r>
          <m:rPr>
            <m:sty m:val="p"/>
          </m:rPr>
          <m:t>m</m:t>
        </m:r>
      </m:oMath>
      <w:r>
        <w:rPr>
          <w:rFonts w:ascii="Times New Roman" w:hAnsi="Times New Roman" w:eastAsia="宋体"/>
          <w:sz w:val="24"/>
        </w:rPr>
        <w:tab/>
        <w:t>(3.6)</w:t>
      </w:r>
    </w:p>
    <w:p>
      <w:pPr>
        <w:spacing w:lineRule="auto" w:line="360" w:before="0" w:after="0"/>
        <w:ind w:firstLine="480"/>
      </w:pPr>
      <w:r>
        <w:rPr>
          <w:rFonts w:ascii="Times New Roman" w:hAnsi="Times New Roman" w:eastAsia="宋体"/>
          <w:sz w:val="24"/>
        </w:rPr>
        <w:t>考虑船舶操纵、测量误差和维护疏浚，航道设计底宽取90m，航道设计水深与码头前沿水深保持一致，取12.50m。施工图或通航论证阶段应结合港区交通流、转弯段布置和横流条件开展复核，必要时采用操船模拟验证；进港航道尺度深化也可参考PIANC关于航道宽度、水深和操船模拟的设计指南</w:t>
      </w:r>
      <w:r>
        <w:rPr>
          <w:rFonts w:ascii="Times New Roman" w:hAnsi="Times New Roman" w:eastAsia="宋体"/>
          <w:sz w:val="24"/>
          <w:vertAlign w:val="superscript"/>
        </w:rPr>
        <w:t>[11]</w:t>
      </w:r>
      <w:r>
        <w:rPr>
          <w:rFonts w:ascii="Times New Roman" w:hAnsi="Times New Roman" w:eastAsia="宋体"/>
          <w:sz w:val="24"/>
        </w:rPr>
        <w:t>。</w:t>
      </w:r>
    </w:p>
    <w:p>
      <w:pPr>
        <w:pStyle w:val="3"/>
        <w:jc w:val="left"/>
      </w:pPr>
      <w:r>
        <w:rPr>
          <w:rFonts w:ascii="Times New Roman" w:hAnsi="Times New Roman" w:eastAsia="宋体"/>
          <w:b/>
          <w:sz w:val="24"/>
        </w:rPr>
        <w:t xml:space="preserve"> 锚地设计</w:t>
      </w:r>
    </w:p>
    <w:p>
      <w:pPr>
        <w:spacing w:lineRule="auto" w:line="360" w:before="0" w:after="0"/>
        <w:ind w:firstLine="480"/>
      </w:pPr>
      <w:r>
        <w:rPr>
          <w:rFonts w:ascii="Times New Roman" w:hAnsi="Times New Roman" w:eastAsia="宋体"/>
          <w:sz w:val="24"/>
        </w:rPr>
        <w:t>锚地主要用于9级以上大风或台风影响前船舶候潮、待泊和避风等待。锚地位置宜靠近进港航道或码头水域，同时不妨碍主航道通航；水域应具备适宜水深、平坦海床、较好锚抓力和一定风浪掩护条件。本阶段先按设计船长的3倍估算单船锚泊回旋半径：</w:t>
      </w:r>
    </w:p>
    <w:p>
      <w:pPr>
        <w:tabs>
          <w:tab w:pos="4100" w:val="center"/>
          <w:tab w:pos="8200" w:val="right"/>
        </w:tabs>
        <w:spacing w:lineRule="auto" w:line="360" w:before="0" w:after="0"/>
        <w:jc w:val="left"/>
      </w:pPr>
      <w:r>
        <w:tab/>
      </w:r>
      <m:oMath>
        <m:sSub>
          <m:e>
            <m:r>
              <m:t>R</m:t>
            </m:r>
          </m:e>
          <m:sub>
            <m:r>
              <m:t>a</m:t>
            </m:r>
          </m:sub>
        </m:sSub>
        <m:r>
          <m:rPr>
            <m:sty m:val="p"/>
          </m:rPr>
          <m:t>=</m:t>
        </m:r>
        <m:r>
          <m:t>3</m:t>
        </m:r>
        <m:r>
          <m:t>L</m:t>
        </m:r>
        <m:r>
          <m:rPr>
            <m:sty m:val="p"/>
          </m:rPr>
          <m:t>=</m:t>
        </m:r>
        <m:r>
          <m:t>3</m:t>
        </m:r>
        <m:r>
          <m:rPr>
            <m:sty m:val="p"/>
          </m:rPr>
          <m:t>×</m:t>
        </m:r>
        <m:r>
          <m:t>223</m:t>
        </m:r>
        <m:r>
          <m:rPr>
            <m:sty m:val="p"/>
          </m:rPr>
          <m:t>=</m:t>
        </m:r>
        <m:r>
          <m:t>669</m:t>
        </m:r>
        <m:r>
          <m:t> </m:t>
        </m:r>
        <m:r>
          <m:rPr>
            <m:sty m:val="p"/>
          </m:rPr>
          <m:t>m</m:t>
        </m:r>
        <m:r>
          <m:rPr>
            <m:sty m:val="p"/>
          </m:rPr>
          <m:t>≈</m:t>
        </m:r>
        <m:r>
          <m:t>700</m:t>
        </m:r>
        <m:r>
          <m:t> </m:t>
        </m:r>
        <m:r>
          <m:rPr>
            <m:sty m:val="p"/>
          </m:rPr>
          <m:t>m</m:t>
        </m:r>
      </m:oMath>
      <w:r>
        <w:rPr>
          <w:rFonts w:ascii="Times New Roman" w:hAnsi="Times New Roman" w:eastAsia="宋体"/>
          <w:sz w:val="24"/>
        </w:rPr>
        <w:tab/>
        <w:t>(3.7)</w:t>
      </w:r>
    </w:p>
    <w:p>
      <w:pPr>
        <w:spacing w:lineRule="auto" w:line="360" w:before="0" w:after="0"/>
        <w:ind w:firstLine="480"/>
      </w:pPr>
      <w:r>
        <w:rPr>
          <w:rFonts w:ascii="Times New Roman" w:hAnsi="Times New Roman" w:eastAsia="宋体"/>
          <w:sz w:val="24"/>
        </w:rPr>
        <w:t>锚地半径取700m，具体位置应结合当地港区通航规划、锚地与航道安全距离、底质条件和避风条件确定；当锚泊环境复杂或存在较大安全风险时，后续应开展通航安全论证。</w:t>
      </w:r>
    </w:p>
    <w:p>
      <w:pPr>
        <w:pStyle w:val="2"/>
        <w:jc w:val="left"/>
      </w:pPr>
      <w:r>
        <w:rPr>
          <w:rFonts w:ascii="Times New Roman" w:hAnsi="Times New Roman" w:eastAsia="宋体"/>
          <w:b/>
          <w:sz w:val="24"/>
        </w:rPr>
        <w:t xml:space="preserve"> 陆域布置设计</w:t>
      </w:r>
    </w:p>
    <w:p>
      <w:pPr>
        <w:pStyle w:val="3"/>
        <w:jc w:val="left"/>
      </w:pPr>
      <w:r>
        <w:rPr>
          <w:rFonts w:ascii="Times New Roman" w:hAnsi="Times New Roman" w:eastAsia="宋体"/>
          <w:b/>
          <w:sz w:val="24"/>
        </w:rPr>
        <w:t xml:space="preserve"> 前方作业区</w:t>
      </w:r>
    </w:p>
    <w:p>
      <w:pPr>
        <w:spacing w:lineRule="auto" w:line="360" w:before="0" w:after="0"/>
        <w:ind w:firstLine="480"/>
      </w:pPr>
      <w:r>
        <w:rPr>
          <w:rFonts w:ascii="Times New Roman" w:hAnsi="Times New Roman" w:eastAsia="宋体"/>
          <w:sz w:val="24"/>
        </w:rPr>
        <w:t>前方作业区沿码头后方布置，主要包括卸船机轨道、皮带机转运站、检修通道和安全疏散通道。前方作业区宽度取满足卸船机运行和检修车辆通行的要求，布置时保证卸船机轨道与码头前沿平行，减少煤流转运距离。</w:t>
      </w:r>
    </w:p>
    <w:p>
      <w:pPr>
        <w:pStyle w:val="3"/>
        <w:jc w:val="left"/>
      </w:pPr>
      <w:r>
        <w:rPr>
          <w:rFonts w:ascii="Times New Roman" w:hAnsi="Times New Roman" w:eastAsia="宋体"/>
          <w:b/>
          <w:sz w:val="24"/>
        </w:rPr>
        <w:t xml:space="preserve"> 煤炭堆场区</w:t>
      </w:r>
    </w:p>
    <w:p>
      <w:pPr>
        <w:spacing w:lineRule="auto" w:line="360" w:before="0" w:after="0"/>
        <w:ind w:firstLine="480"/>
      </w:pPr>
      <w:r>
        <w:rPr>
          <w:rFonts w:ascii="Times New Roman" w:hAnsi="Times New Roman" w:eastAsia="宋体"/>
          <w:sz w:val="24"/>
        </w:rPr>
        <w:t>煤炭堆场布置于码头后方陆域，采用条形堆场方式，堆场内设置斗轮堆取料机作业通道、皮带机廊道、喷淋抑尘管线和含煤污水收集沟。堆场与前方作业区之间通过带式输送机和转运站连接。库场区道路按环形系统组织，尽头式道路设置回车条件；前方作业地带和库场区道路不宜设置高出路面的路缘石，路基与路面应保持平整、坚实并利于排水。</w:t>
      </w:r>
    </w:p>
    <w:p>
      <w:pPr>
        <w:pStyle w:val="3"/>
        <w:jc w:val="left"/>
      </w:pPr>
      <w:r>
        <w:rPr>
          <w:rFonts w:ascii="Times New Roman" w:hAnsi="Times New Roman" w:eastAsia="宋体"/>
          <w:b/>
          <w:sz w:val="24"/>
        </w:rPr>
        <w:t xml:space="preserve"> 生产辅助区</w:t>
      </w:r>
    </w:p>
    <w:p>
      <w:pPr>
        <w:spacing w:lineRule="auto" w:line="360" w:before="0" w:after="0"/>
        <w:ind w:firstLine="480"/>
      </w:pPr>
      <w:r>
        <w:rPr>
          <w:rFonts w:ascii="Times New Roman" w:hAnsi="Times New Roman" w:eastAsia="宋体"/>
          <w:sz w:val="24"/>
        </w:rPr>
        <w:t>生产辅助区布置在堆场侧后方，包括变电所、机修间、消防设施、控制室、道路和停车区等。辅助区与煤炭堆场保持适当距离，既便于设备维护和运行管理，又减少粉尘对办公和电气设施的影响。连续输送廊道与港区道路、转运站、建筑物和构筑物协调布置；当廊道跨越道路或检修通道时，应满足相应净空和净宽要求，并在道路交叉处设置必要的交通安全设施。</w:t>
      </w:r>
    </w:p>
    <w:p>
      <w:pPr>
        <w:spacing w:before="120" w:after="0"/>
        <w:jc w:val="center"/>
      </w:pPr>
      <w:r>
        <w:drawing>
          <wp:inline xmlns:a="http://schemas.openxmlformats.org/drawingml/2006/main" xmlns:pic="http://schemas.openxmlformats.org/drawingml/2006/picture">
            <wp:extent cx="5349240" cy="3778500"/>
            <wp:docPr id="4" name="Picture 4"/>
            <wp:cNvGraphicFramePr>
              <a:graphicFrameLocks noChangeAspect="1"/>
            </wp:cNvGraphicFramePr>
            <a:graphic>
              <a:graphicData uri="http://schemas.openxmlformats.org/drawingml/2006/picture">
                <pic:pic>
                  <pic:nvPicPr>
                    <pic:cNvPr id="0" name="G-01_general_layout.png"/>
                    <pic:cNvPicPr/>
                  </pic:nvPicPr>
                  <pic:blipFill>
                    <a:blip r:embed="rId33"/>
                    <a:stretch>
                      <a:fillRect/>
                    </a:stretch>
                  </pic:blipFill>
                  <pic:spPr>
                    <a:xfrm>
                      <a:off x="0" y="0"/>
                      <a:ext cx="5349240" cy="377850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图3-1 煤码头总平面布置图</w:t>
      </w:r>
    </w:p>
    <w:p>
      <w:pPr>
        <w:spacing w:lineRule="auto" w:line="360" w:before="0" w:after="0"/>
        <w:ind w:firstLine="480"/>
      </w:pPr>
      <w:r>
        <w:rPr>
          <w:rFonts w:ascii="Times New Roman" w:hAnsi="Times New Roman" w:eastAsia="宋体"/>
          <w:sz w:val="24"/>
        </w:rPr>
        <w:t>总平面图已按五张成果图统一图框、标题栏和比例表达。图中码头前沿、回旋水域、煤场、转运站、皮带机廊道、生产辅助区和道路系统均已布置，正文采用该图作为总平面成果说明。回旋水域在说明书中按2L估算取450m，后续图纸深化时应保持图面标注与规范计算结果一致，必要时补充通航论证说明。</w:t>
      </w:r>
    </w:p>
    <w:p>
      <w:pPr>
        <w:pStyle w:val="2"/>
        <w:jc w:val="left"/>
      </w:pPr>
      <w:r>
        <w:rPr>
          <w:rFonts w:ascii="Times New Roman" w:hAnsi="Times New Roman" w:eastAsia="宋体"/>
          <w:b/>
          <w:sz w:val="24"/>
        </w:rPr>
        <w:t xml:space="preserve"> 总平面布置方案合理性分析</w:t>
      </w:r>
    </w:p>
    <w:p>
      <w:pPr>
        <w:keepNext/>
        <w:spacing w:lineRule="auto" w:line="300" w:before="0" w:after="120"/>
        <w:jc w:val="center"/>
      </w:pPr>
      <w:r>
        <w:rPr>
          <w:rFonts w:ascii="Times New Roman" w:hAnsi="Times New Roman" w:eastAsia="宋体"/>
          <w:b w:val="0"/>
          <w:sz w:val="20"/>
        </w:rPr>
        <w:t>表3-2 总平面主要尺度计算结果</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448"/>
        <w:gridCol w:w="2592"/>
        <w:gridCol w:w="3312"/>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计算结果</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设计取值</w:t>
            </w:r>
          </w:p>
        </w:tc>
      </w:tr>
      <w:tr>
        <w:trPr>
          <w:cantSplit/>
        </w:trPr>
        <w:tc>
          <w:tcPr>
            <w:tcW w:type="dxa" w:w="2448"/>
            <w:vAlign w:val="center"/>
          </w:tcPr>
          <w:p>
            <w:pPr>
              <w:keepLines/>
              <w:spacing w:lineRule="auto" w:line="276"/>
              <w:jc w:val="center"/>
            </w:pPr>
            <w:r>
              <w:rPr>
                <w:rFonts w:ascii="Times New Roman" w:hAnsi="Times New Roman" w:eastAsia="宋体"/>
                <w:b w:val="0"/>
                <w:sz w:val="18"/>
              </w:rPr>
              <w:t>泊位长度</w:t>
            </w:r>
          </w:p>
        </w:tc>
        <w:tc>
          <w:tcPr>
            <w:tcW w:type="dxa" w:w="2592"/>
            <w:vAlign w:val="center"/>
          </w:tcPr>
          <w:p>
            <w:pPr>
              <w:keepLines/>
              <w:spacing w:lineRule="auto" w:line="276"/>
              <w:jc w:val="center"/>
            </w:pPr>
            <w:r>
              <w:rPr>
                <w:rFonts w:ascii="Times New Roman" w:hAnsi="Times New Roman" w:eastAsia="宋体"/>
                <w:b w:val="0"/>
                <w:sz w:val="18"/>
              </w:rPr>
              <w:t>259m</w:t>
            </w:r>
          </w:p>
        </w:tc>
        <w:tc>
          <w:tcPr>
            <w:tcW w:type="dxa" w:w="3312"/>
            <w:vAlign w:val="center"/>
          </w:tcPr>
          <w:p>
            <w:pPr>
              <w:keepLines/>
              <w:spacing w:lineRule="auto" w:line="276"/>
              <w:jc w:val="center"/>
            </w:pPr>
            <w:r>
              <w:rPr>
                <w:rFonts w:ascii="Times New Roman" w:hAnsi="Times New Roman" w:eastAsia="宋体"/>
                <w:b w:val="0"/>
                <w:sz w:val="18"/>
              </w:rPr>
              <w:t>260m</w:t>
            </w:r>
          </w:p>
        </w:tc>
      </w:tr>
      <w:tr>
        <w:trPr>
          <w:cantSplit/>
        </w:trPr>
        <w:tc>
          <w:tcPr>
            <w:tcW w:type="dxa" w:w="2448"/>
            <w:vAlign w:val="center"/>
          </w:tcPr>
          <w:p>
            <w:pPr>
              <w:keepLines/>
              <w:spacing w:lineRule="auto" w:line="276"/>
              <w:jc w:val="center"/>
            </w:pPr>
            <w:r>
              <w:rPr>
                <w:rFonts w:ascii="Times New Roman" w:hAnsi="Times New Roman" w:eastAsia="宋体"/>
                <w:b w:val="0"/>
                <w:sz w:val="18"/>
              </w:rPr>
              <w:t>码头面高程</w:t>
            </w:r>
          </w:p>
        </w:tc>
        <w:tc>
          <w:tcPr>
            <w:tcW w:type="dxa" w:w="2592"/>
            <w:vAlign w:val="center"/>
          </w:tcPr>
          <w:p>
            <w:pPr>
              <w:keepLines/>
              <w:spacing w:lineRule="auto" w:line="276"/>
              <w:jc w:val="center"/>
            </w:pPr>
            <w:r>
              <w:rPr>
                <w:rFonts w:ascii="Times New Roman" w:hAnsi="Times New Roman" w:eastAsia="宋体"/>
                <w:b w:val="0"/>
                <w:sz w:val="18"/>
              </w:rPr>
              <w:t>3.41m</w:t>
            </w:r>
          </w:p>
        </w:tc>
        <w:tc>
          <w:tcPr>
            <w:tcW w:type="dxa" w:w="3312"/>
            <w:vAlign w:val="center"/>
          </w:tcPr>
          <w:p>
            <w:pPr>
              <w:keepLines/>
              <w:spacing w:lineRule="auto" w:line="276"/>
              <w:jc w:val="center"/>
            </w:pPr>
            <w:r>
              <w:rPr>
                <w:rFonts w:ascii="Times New Roman" w:hAnsi="Times New Roman" w:eastAsia="宋体"/>
                <w:b w:val="0"/>
                <w:sz w:val="18"/>
              </w:rPr>
              <w:t>3.60m</w:t>
            </w:r>
          </w:p>
        </w:tc>
      </w:tr>
      <w:tr>
        <w:trPr>
          <w:cantSplit/>
        </w:trPr>
        <w:tc>
          <w:tcPr>
            <w:tcW w:type="dxa" w:w="2448"/>
            <w:vAlign w:val="center"/>
          </w:tcPr>
          <w:p>
            <w:pPr>
              <w:keepLines/>
              <w:spacing w:lineRule="auto" w:line="276"/>
              <w:jc w:val="center"/>
            </w:pPr>
            <w:r>
              <w:rPr>
                <w:rFonts w:ascii="Times New Roman" w:hAnsi="Times New Roman" w:eastAsia="宋体"/>
                <w:b w:val="0"/>
                <w:sz w:val="18"/>
              </w:rPr>
              <w:t>前沿水深</w:t>
            </w:r>
          </w:p>
        </w:tc>
        <w:tc>
          <w:tcPr>
            <w:tcW w:type="dxa" w:w="2592"/>
            <w:vAlign w:val="center"/>
          </w:tcPr>
          <w:p>
            <w:pPr>
              <w:keepLines/>
              <w:spacing w:lineRule="auto" w:line="276"/>
              <w:jc w:val="center"/>
            </w:pPr>
            <w:r>
              <w:rPr>
                <w:rFonts w:ascii="Times New Roman" w:hAnsi="Times New Roman" w:eastAsia="宋体"/>
                <w:b w:val="0"/>
                <w:sz w:val="18"/>
              </w:rPr>
              <w:t>12.50m</w:t>
            </w:r>
          </w:p>
        </w:tc>
        <w:tc>
          <w:tcPr>
            <w:tcW w:type="dxa" w:w="3312"/>
            <w:vAlign w:val="center"/>
          </w:tcPr>
          <w:p>
            <w:pPr>
              <w:keepLines/>
              <w:spacing w:lineRule="auto" w:line="276"/>
              <w:jc w:val="center"/>
            </w:pPr>
            <w:r>
              <w:rPr>
                <w:rFonts w:ascii="Times New Roman" w:hAnsi="Times New Roman" w:eastAsia="宋体"/>
                <w:b w:val="0"/>
                <w:sz w:val="18"/>
              </w:rPr>
              <w:t>12.50m</w:t>
            </w:r>
          </w:p>
        </w:tc>
      </w:tr>
      <w:tr>
        <w:trPr>
          <w:cantSplit/>
        </w:trPr>
        <w:tc>
          <w:tcPr>
            <w:tcW w:type="dxa" w:w="2448"/>
            <w:vAlign w:val="center"/>
          </w:tcPr>
          <w:p>
            <w:pPr>
              <w:keepLines/>
              <w:spacing w:lineRule="auto" w:line="276"/>
              <w:jc w:val="center"/>
            </w:pPr>
            <w:r>
              <w:rPr>
                <w:rFonts w:ascii="Times New Roman" w:hAnsi="Times New Roman" w:eastAsia="宋体"/>
                <w:b w:val="0"/>
                <w:sz w:val="18"/>
              </w:rPr>
              <w:t>停泊水域宽度</w:t>
            </w:r>
          </w:p>
        </w:tc>
        <w:tc>
          <w:tcPr>
            <w:tcW w:type="dxa" w:w="2592"/>
            <w:vAlign w:val="center"/>
          </w:tcPr>
          <w:p>
            <w:pPr>
              <w:keepLines/>
              <w:spacing w:lineRule="auto" w:line="276"/>
              <w:jc w:val="center"/>
            </w:pPr>
            <w:r>
              <w:rPr>
                <w:rFonts w:ascii="Times New Roman" w:hAnsi="Times New Roman" w:eastAsia="宋体"/>
                <w:b w:val="0"/>
                <w:sz w:val="18"/>
              </w:rPr>
              <w:t>64.4m</w:t>
            </w:r>
          </w:p>
        </w:tc>
        <w:tc>
          <w:tcPr>
            <w:tcW w:type="dxa" w:w="3312"/>
            <w:vAlign w:val="center"/>
          </w:tcPr>
          <w:p>
            <w:pPr>
              <w:keepLines/>
              <w:spacing w:lineRule="auto" w:line="276"/>
              <w:jc w:val="center"/>
            </w:pPr>
            <w:r>
              <w:rPr>
                <w:rFonts w:ascii="Times New Roman" w:hAnsi="Times New Roman" w:eastAsia="宋体"/>
                <w:b w:val="0"/>
                <w:sz w:val="18"/>
              </w:rPr>
              <w:t>65m</w:t>
            </w:r>
          </w:p>
        </w:tc>
      </w:tr>
      <w:tr>
        <w:trPr>
          <w:cantSplit/>
        </w:trPr>
        <w:tc>
          <w:tcPr>
            <w:tcW w:type="dxa" w:w="2448"/>
            <w:vAlign w:val="center"/>
          </w:tcPr>
          <w:p>
            <w:pPr>
              <w:keepLines/>
              <w:spacing w:lineRule="auto" w:line="276"/>
              <w:jc w:val="center"/>
            </w:pPr>
            <w:r>
              <w:rPr>
                <w:rFonts w:ascii="Times New Roman" w:hAnsi="Times New Roman" w:eastAsia="宋体"/>
                <w:b w:val="0"/>
                <w:sz w:val="18"/>
              </w:rPr>
              <w:t>回旋水域直径</w:t>
            </w:r>
          </w:p>
        </w:tc>
        <w:tc>
          <w:tcPr>
            <w:tcW w:type="dxa" w:w="2592"/>
            <w:vAlign w:val="center"/>
          </w:tcPr>
          <w:p>
            <w:pPr>
              <w:keepLines/>
              <w:spacing w:lineRule="auto" w:line="276"/>
              <w:jc w:val="center"/>
            </w:pPr>
            <w:r>
              <w:rPr>
                <w:rFonts w:ascii="Times New Roman" w:hAnsi="Times New Roman" w:eastAsia="宋体"/>
                <w:b w:val="0"/>
                <w:sz w:val="18"/>
              </w:rPr>
              <w:t>446m</w:t>
            </w:r>
          </w:p>
        </w:tc>
        <w:tc>
          <w:tcPr>
            <w:tcW w:type="dxa" w:w="3312"/>
            <w:vAlign w:val="center"/>
          </w:tcPr>
          <w:p>
            <w:pPr>
              <w:keepLines/>
              <w:spacing w:lineRule="auto" w:line="276"/>
              <w:jc w:val="center"/>
            </w:pPr>
            <w:r>
              <w:rPr>
                <w:rFonts w:ascii="Times New Roman" w:hAnsi="Times New Roman" w:eastAsia="宋体"/>
                <w:b w:val="0"/>
                <w:sz w:val="18"/>
              </w:rPr>
              <w:t>450m</w:t>
            </w:r>
          </w:p>
        </w:tc>
      </w:tr>
      <w:tr>
        <w:trPr>
          <w:cantSplit/>
        </w:trPr>
        <w:tc>
          <w:tcPr>
            <w:tcW w:type="dxa" w:w="2448"/>
            <w:vAlign w:val="center"/>
          </w:tcPr>
          <w:p>
            <w:pPr>
              <w:keepLines/>
              <w:spacing w:lineRule="auto" w:line="276"/>
              <w:jc w:val="center"/>
            </w:pPr>
            <w:r>
              <w:rPr>
                <w:rFonts w:ascii="Times New Roman" w:hAnsi="Times New Roman" w:eastAsia="宋体"/>
                <w:b w:val="0"/>
                <w:sz w:val="18"/>
              </w:rPr>
              <w:t>航道底宽</w:t>
            </w:r>
          </w:p>
        </w:tc>
        <w:tc>
          <w:tcPr>
            <w:tcW w:type="dxa" w:w="2592"/>
            <w:vAlign w:val="center"/>
          </w:tcPr>
          <w:p>
            <w:pPr>
              <w:keepLines/>
              <w:spacing w:lineRule="auto" w:line="276"/>
              <w:jc w:val="center"/>
            </w:pPr>
            <w:r>
              <w:rPr>
                <w:rFonts w:ascii="Times New Roman" w:hAnsi="Times New Roman" w:eastAsia="宋体"/>
                <w:b w:val="0"/>
                <w:sz w:val="18"/>
              </w:rPr>
              <w:t>82.2m</w:t>
            </w:r>
          </w:p>
        </w:tc>
        <w:tc>
          <w:tcPr>
            <w:tcW w:type="dxa" w:w="3312"/>
            <w:vAlign w:val="center"/>
          </w:tcPr>
          <w:p>
            <w:pPr>
              <w:keepLines/>
              <w:spacing w:lineRule="auto" w:line="276"/>
              <w:jc w:val="center"/>
            </w:pPr>
            <w:r>
              <w:rPr>
                <w:rFonts w:ascii="Times New Roman" w:hAnsi="Times New Roman" w:eastAsia="宋体"/>
                <w:b w:val="0"/>
                <w:sz w:val="18"/>
              </w:rPr>
              <w:t>90m</w:t>
            </w:r>
          </w:p>
        </w:tc>
      </w:tr>
      <w:tr>
        <w:trPr>
          <w:cantSplit/>
        </w:trPr>
        <w:tc>
          <w:tcPr>
            <w:tcW w:type="dxa" w:w="2448"/>
            <w:vAlign w:val="center"/>
          </w:tcPr>
          <w:p>
            <w:pPr>
              <w:keepLines/>
              <w:spacing w:lineRule="auto" w:line="276"/>
              <w:jc w:val="center"/>
            </w:pPr>
            <w:r>
              <w:rPr>
                <w:rFonts w:ascii="Times New Roman" w:hAnsi="Times New Roman" w:eastAsia="宋体"/>
                <w:b w:val="0"/>
                <w:sz w:val="18"/>
              </w:rPr>
              <w:t>锚地回旋半径</w:t>
            </w:r>
          </w:p>
        </w:tc>
        <w:tc>
          <w:tcPr>
            <w:tcW w:type="dxa" w:w="2592"/>
            <w:vAlign w:val="center"/>
          </w:tcPr>
          <w:p>
            <w:pPr>
              <w:keepLines/>
              <w:spacing w:lineRule="auto" w:line="276"/>
              <w:jc w:val="center"/>
            </w:pPr>
            <w:r>
              <w:rPr>
                <w:rFonts w:ascii="Times New Roman" w:hAnsi="Times New Roman" w:eastAsia="宋体"/>
                <w:b w:val="0"/>
                <w:sz w:val="18"/>
              </w:rPr>
              <w:t>669m</w:t>
            </w:r>
          </w:p>
        </w:tc>
        <w:tc>
          <w:tcPr>
            <w:tcW w:type="dxa" w:w="3312"/>
            <w:vAlign w:val="center"/>
          </w:tcPr>
          <w:p>
            <w:pPr>
              <w:keepLines/>
              <w:spacing w:lineRule="auto" w:line="276"/>
              <w:jc w:val="center"/>
            </w:pPr>
            <w:r>
              <w:rPr>
                <w:rFonts w:ascii="Times New Roman" w:hAnsi="Times New Roman" w:eastAsia="宋体"/>
                <w:b w:val="0"/>
                <w:sz w:val="18"/>
              </w:rPr>
              <w:t>700m</w:t>
            </w:r>
          </w:p>
        </w:tc>
      </w:tr>
    </w:tbl>
    <w:p/>
    <w:p>
      <w:pPr>
        <w:spacing w:lineRule="auto" w:line="360" w:before="0" w:after="0"/>
        <w:ind w:firstLine="480"/>
      </w:pPr>
      <w:r>
        <w:rPr>
          <w:rFonts w:ascii="Times New Roman" w:hAnsi="Times New Roman" w:eastAsia="宋体"/>
          <w:sz w:val="24"/>
        </w:rPr>
        <w:t>总平面方案将泊位、回旋水域、航道、前方作业区、煤炭堆场和生产辅助区按煤流方向顺序组织，船舶进出港线路清晰，卸船后煤流经皮带机直接进入堆场或电厂煤仓，减少交叉运输。该方案能够满足5万DWT散货船靠泊、连续卸煤和后方陆域管理要求。</w:t>
      </w:r>
    </w:p>
    <w:p>
      <w:pPr>
        <w:spacing w:lineRule="auto" w:line="360" w:before="0" w:after="0"/>
        <w:ind w:firstLine="480"/>
      </w:pPr>
      <w:r>
        <w:rPr>
          <w:rFonts w:ascii="Times New Roman" w:hAnsi="Times New Roman" w:eastAsia="宋体"/>
          <w:sz w:val="24"/>
        </w:rPr>
        <w:t>根据最终图纸包，码头结构长度按250m表达，泊位控制长度仍按260m取值；后方煤场按约250m×100m布置，设计堆存能力约15万t。该布置能够与单泊位卸煤工艺相衔接，煤流由卸船机进入料斗和皮带机，再经转运站进入堆场或后方电厂系统。</w:t>
      </w:r>
    </w:p>
    <w:p>
      <w:pPr>
        <w:spacing w:lineRule="auto" w:line="360" w:before="0" w:after="0"/>
        <w:ind w:firstLine="480"/>
      </w:pPr>
      <w:r>
        <w:rPr>
          <w:rFonts w:ascii="Times New Roman" w:hAnsi="Times New Roman" w:eastAsia="宋体"/>
          <w:sz w:val="24"/>
        </w:rPr>
        <w:t>总平面优化的重点在于使水域尺度、结构段长度和煤流廊道之间保持一致。泊位尺度由船型控制，前沿作业区由卸船机轨距和检修通道控制，堆场长度由堆存能力和堆取料机作业范围控制，辅助区则应避开粉尘主影响区并靠近维修道路。</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确定了5万DWT散货船的主要设计尺度，完成了泊位长度、码头面高程、前沿水深、停泊水域、回旋水域、航道和锚地计算。设计结果为：泊位长度260m，码头面高程3.60m，前沿水深12.50m，回旋水域直径450m，航道底宽90m。</w:t>
      </w:r>
    </w:p>
    <w:p>
      <w:pPr>
        <w:pStyle w:val="1"/>
        <w:pageBreakBefore/>
        <w:jc w:val="center"/>
      </w:pPr>
      <w:r>
        <w:rPr>
          <w:rFonts w:ascii="Times New Roman" w:hAnsi="Times New Roman" w:eastAsia="宋体"/>
          <w:b/>
          <w:sz w:val="30"/>
        </w:rPr>
        <w:t xml:space="preserve"> 装卸工艺设计与设备选型</w:t>
      </w:r>
    </w:p>
    <w:p>
      <w:pPr>
        <w:pStyle w:val="2"/>
        <w:jc w:val="left"/>
      </w:pPr>
      <w:r>
        <w:rPr>
          <w:rFonts w:ascii="Times New Roman" w:hAnsi="Times New Roman" w:eastAsia="宋体"/>
          <w:b/>
          <w:sz w:val="24"/>
        </w:rPr>
        <w:t xml:space="preserve"> 装卸工艺设计原则与工艺流程确定</w:t>
      </w:r>
    </w:p>
    <w:p>
      <w:pPr>
        <w:pStyle w:val="3"/>
        <w:jc w:val="left"/>
      </w:pPr>
      <w:r>
        <w:rPr>
          <w:rFonts w:ascii="Times New Roman" w:hAnsi="Times New Roman" w:eastAsia="宋体"/>
          <w:b/>
          <w:sz w:val="24"/>
        </w:rPr>
        <w:t xml:space="preserve"> 设计原则</w:t>
      </w:r>
    </w:p>
    <w:p>
      <w:pPr>
        <w:spacing w:lineRule="auto" w:line="360" w:before="0" w:after="0"/>
        <w:ind w:firstLine="480"/>
      </w:pPr>
      <w:r>
        <w:rPr>
          <w:rFonts w:ascii="Times New Roman" w:hAnsi="Times New Roman" w:eastAsia="宋体"/>
          <w:sz w:val="24"/>
        </w:rPr>
        <w:t>煤码头装卸工艺应满足高效、连续、安全、环保和便于维护的要求。装卸系统从船舶接卸、码头前沿转运、堆场堆取到电厂煤仓输送应形成连续煤流，尽量减少装卸环节和落料点。装卸工艺方案应进行技术经济比较，使车船周转、各环节生产能力、营运成本、环境影响和劳动条件相互协调。根据煤炭、矿石码头装卸工艺布置的一般要求，卸船、水平输送和堆取料设备宜按少机高效、连续化、封闭化和电力或清洁能源驱动方向配置，大型移动式设备应考虑检修、防风和抗台装置。装卸设备选型参考港口装卸工艺和散货码头设备配置经验</w:t>
      </w:r>
      <w:r>
        <w:rPr>
          <w:rFonts w:ascii="Times New Roman" w:hAnsi="Times New Roman" w:eastAsia="宋体"/>
          <w:sz w:val="24"/>
          <w:vertAlign w:val="superscript"/>
        </w:rPr>
        <w:t>[12]</w:t>
      </w:r>
      <w:r>
        <w:rPr>
          <w:rFonts w:ascii="Times New Roman" w:hAnsi="Times New Roman" w:eastAsia="宋体"/>
          <w:sz w:val="24"/>
        </w:rPr>
        <w:t>。煤炭矿石码头粉尘控制设计要求对转运站、带式输送机廊道、露天堆场和道路扬尘控制具有直接指导作用</w:t>
      </w:r>
      <w:r>
        <w:rPr>
          <w:rFonts w:ascii="Times New Roman" w:hAnsi="Times New Roman" w:eastAsia="宋体"/>
          <w:sz w:val="24"/>
          <w:vertAlign w:val="superscript"/>
        </w:rPr>
        <w:t>[13]</w:t>
      </w:r>
      <w:r>
        <w:rPr>
          <w:rFonts w:ascii="Times New Roman" w:hAnsi="Times New Roman" w:eastAsia="宋体"/>
          <w:sz w:val="24"/>
        </w:rPr>
        <w:t>。</w:t>
      </w:r>
    </w:p>
    <w:p>
      <w:pPr>
        <w:spacing w:lineRule="auto" w:line="360" w:before="0" w:after="0"/>
        <w:ind w:firstLine="480"/>
      </w:pPr>
      <w:r>
        <w:rPr>
          <w:rFonts w:ascii="Times New Roman" w:hAnsi="Times New Roman" w:eastAsia="宋体"/>
          <w:sz w:val="24"/>
        </w:rPr>
        <w:t>煤码头装卸工艺的核心是连续化和封闭化。船舶卸煤不宜依赖大量车辆倒运，而应通过卸船机、受料斗、带式输送机、转运站、堆场堆取料设备和电厂输煤系统形成连续煤流。连续工艺能够减少落料点数量，降低粉尘外逸，并提高电厂燃料供应可靠性。</w:t>
      </w:r>
    </w:p>
    <w:p>
      <w:pPr>
        <w:pStyle w:val="3"/>
        <w:jc w:val="left"/>
      </w:pPr>
      <w:r>
        <w:rPr>
          <w:rFonts w:ascii="Times New Roman" w:hAnsi="Times New Roman" w:eastAsia="宋体"/>
          <w:b/>
          <w:sz w:val="24"/>
        </w:rPr>
        <w:t xml:space="preserve"> 工艺流程确定</w:t>
      </w:r>
    </w:p>
    <w:p>
      <w:pPr>
        <w:spacing w:lineRule="auto" w:line="360" w:before="0" w:after="0"/>
        <w:ind w:firstLine="480"/>
      </w:pPr>
      <w:r>
        <w:rPr>
          <w:rFonts w:ascii="Times New Roman" w:hAnsi="Times New Roman" w:eastAsia="宋体"/>
          <w:sz w:val="24"/>
        </w:rPr>
        <w:t>本工程采用“运煤船—桥式抓斗卸船机—码头带式输送机—转运站—堆场带式输送机—斗轮堆取料机—煤炭堆场—取料皮带机—电厂煤仓”的连续化工艺流程。该流程适应进口煤炭散货特征，设备成熟可靠，便于实现集中控制、封闭转运、计量采样、除铁、清舱辅助和粉尘治理，符合专业化煤码头“卸船能力、堆料能力、取料配送能力相互匹配”的设计要求。</w:t>
      </w:r>
    </w:p>
    <w:p>
      <w:pPr>
        <w:spacing w:before="120" w:after="0"/>
        <w:jc w:val="center"/>
      </w:pPr>
      <w:r>
        <w:drawing>
          <wp:inline xmlns:a="http://schemas.openxmlformats.org/drawingml/2006/main" xmlns:pic="http://schemas.openxmlformats.org/drawingml/2006/picture">
            <wp:extent cx="5349240" cy="2674620"/>
            <wp:docPr id="5" name="Picture 5"/>
            <wp:cNvGraphicFramePr>
              <a:graphicFrameLocks noChangeAspect="1"/>
            </wp:cNvGraphicFramePr>
            <a:graphic>
              <a:graphicData uri="http://schemas.openxmlformats.org/drawingml/2006/picture">
                <pic:pic>
                  <pic:nvPicPr>
                    <pic:cNvPr id="0" name="fig4-1-coal-handling-environmental-control.png"/>
                    <pic:cNvPicPr/>
                  </pic:nvPicPr>
                  <pic:blipFill>
                    <a:blip r:embed="rId34"/>
                    <a:stretch>
                      <a:fillRect/>
                    </a:stretch>
                  </pic:blipFill>
                  <pic:spPr>
                    <a:xfrm>
                      <a:off x="0" y="0"/>
                      <a:ext cx="5349240" cy="267462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图4-1 煤码头卸船、输送及环保控制流程示意</w:t>
      </w:r>
    </w:p>
    <w:p>
      <w:pPr>
        <w:spacing w:lineRule="auto" w:line="360" w:before="0" w:after="0"/>
        <w:ind w:firstLine="480"/>
      </w:pPr>
      <w:r>
        <w:rPr>
          <w:rFonts w:ascii="Times New Roman" w:hAnsi="Times New Roman" w:eastAsia="宋体"/>
          <w:sz w:val="24"/>
        </w:rPr>
        <w:t>图4-1采用黑白工程线稿表达煤流和环保控制路径，属于说明性流程图。图中编号节点对应船舶、卸船机、料斗、封闭廊道、转运站、煤场、堆取料设备、含煤污水收集和电厂煤仓等环节，正文以此说明装卸工艺和环保设施的对应关系。</w:t>
      </w:r>
    </w:p>
    <w:p>
      <w:pPr>
        <w:pStyle w:val="2"/>
        <w:jc w:val="left"/>
      </w:pPr>
      <w:r>
        <w:rPr>
          <w:rFonts w:ascii="Times New Roman" w:hAnsi="Times New Roman" w:eastAsia="宋体"/>
          <w:b/>
          <w:sz w:val="24"/>
        </w:rPr>
        <w:t xml:space="preserve"> 装卸能力计算</w:t>
      </w:r>
    </w:p>
    <w:p>
      <w:pPr>
        <w:pStyle w:val="3"/>
        <w:jc w:val="left"/>
      </w:pPr>
      <w:r>
        <w:rPr>
          <w:rFonts w:ascii="Times New Roman" w:hAnsi="Times New Roman" w:eastAsia="宋体"/>
          <w:b/>
          <w:sz w:val="24"/>
        </w:rPr>
        <w:t xml:space="preserve"> 设计吞吐量</w:t>
      </w:r>
    </w:p>
    <w:p>
      <w:pPr>
        <w:spacing w:lineRule="auto" w:line="360" w:before="0" w:after="0"/>
        <w:ind w:firstLine="480"/>
      </w:pPr>
      <w:r>
        <w:rPr>
          <w:rFonts w:ascii="Times New Roman" w:hAnsi="Times New Roman" w:eastAsia="宋体"/>
          <w:sz w:val="24"/>
        </w:rPr>
        <w:t>根据电厂燃料煤运输需求，码头年设计吞吐量按300万t计，年工作天数321d，每日纯作业时间21h。码头平均小时通过能力为：</w:t>
      </w:r>
    </w:p>
    <w:p>
      <w:pPr>
        <w:tabs>
          <w:tab w:pos="4100" w:val="center"/>
          <w:tab w:pos="8200" w:val="right"/>
        </w:tabs>
        <w:spacing w:lineRule="auto" w:line="360" w:before="0" w:after="0"/>
        <w:jc w:val="left"/>
      </w:pPr>
      <w:r>
        <w:tab/>
      </w:r>
      <m:oMath>
        <m:sSub>
          <m:e>
            <m:r>
              <m:t>Q</m:t>
            </m:r>
          </m:e>
          <m:sub>
            <m:r>
              <m:t>h</m:t>
            </m:r>
          </m:sub>
        </m:sSub>
        <m:r>
          <m:rPr>
            <m:sty m:val="p"/>
          </m:rPr>
          <m:t>=</m:t>
        </m:r>
        <m:f>
          <m:fPr>
            <m:type m:val="bar"/>
          </m:fPr>
          <m:num>
            <m:sSub>
              <m:e>
                <m:r>
                  <m:t>Q</m:t>
                </m:r>
              </m:e>
              <m:sub>
                <m:r>
                  <m:t>y</m:t>
                </m:r>
              </m:sub>
            </m:sSub>
          </m:num>
          <m:den>
            <m:r>
              <m:t>N</m:t>
            </m:r>
            <m:r>
              <m:rPr>
                <m:sty m:val="p"/>
              </m:rPr>
              <m:t>×</m:t>
            </m:r>
            <m:r>
              <m:t>t</m:t>
            </m:r>
          </m:den>
        </m:f>
      </m:oMath>
      <w:r>
        <w:rPr>
          <w:rFonts w:ascii="Times New Roman" w:hAnsi="Times New Roman" w:eastAsia="宋体"/>
          <w:sz w:val="24"/>
        </w:rPr>
        <w:tab/>
        <w:t>(4.1)</w:t>
      </w:r>
    </w:p>
    <w:p>
      <w:pPr>
        <w:tabs>
          <w:tab w:pos="4100" w:val="center"/>
          <w:tab w:pos="8200" w:val="right"/>
        </w:tabs>
        <w:spacing w:lineRule="auto" w:line="360" w:before="0" w:after="0"/>
        <w:jc w:val="left"/>
      </w:pPr>
      <w:r>
        <w:tab/>
      </w:r>
      <m:oMath>
        <m:sSub>
          <m:e>
            <m:r>
              <m:t>Q</m:t>
            </m:r>
          </m:e>
          <m:sub>
            <m:r>
              <m:t>h</m:t>
            </m:r>
          </m:sub>
        </m:sSub>
        <m:r>
          <m:rPr>
            <m:sty m:val="p"/>
          </m:rPr>
          <m:t>=</m:t>
        </m:r>
        <m:f>
          <m:fPr>
            <m:type m:val="bar"/>
          </m:fPr>
          <m:num>
            <m:r>
              <m:t>3</m:t>
            </m:r>
            <m:r>
              <m:rPr>
                <m:sty m:val="p"/>
              </m:rPr>
              <m:t>,</m:t>
            </m:r>
            <m:r>
              <m:t>000</m:t>
            </m:r>
            <m:r>
              <m:rPr>
                <m:sty m:val="p"/>
              </m:rPr>
              <m:t>,</m:t>
            </m:r>
            <m:r>
              <m:t>000</m:t>
            </m:r>
          </m:num>
          <m:den>
            <m:r>
              <m:t>321</m:t>
            </m:r>
            <m:r>
              <m:rPr>
                <m:sty m:val="p"/>
              </m:rPr>
              <m:t>×</m:t>
            </m:r>
            <m:r>
              <m:t>21</m:t>
            </m:r>
          </m:den>
        </m:f>
        <m:r>
          <m:rPr>
            <m:sty m:val="p"/>
          </m:rPr>
          <m:t>=</m:t>
        </m:r>
        <m:r>
          <m:t>445</m:t>
        </m:r>
        <m:r>
          <m:t> </m:t>
        </m:r>
        <m:r>
          <m:rPr>
            <m:sty m:val="p"/>
          </m:rPr>
          <m:t>t</m:t>
        </m:r>
        <m:r>
          <m:rPr>
            <m:sty m:val="p"/>
          </m:rPr>
          <m:t>/</m:t>
        </m:r>
        <m:r>
          <m:rPr>
            <m:sty m:val="p"/>
          </m:rPr>
          <m:t>h</m:t>
        </m:r>
      </m:oMath>
      <w:r>
        <w:rPr>
          <w:rFonts w:ascii="Times New Roman" w:hAnsi="Times New Roman" w:eastAsia="宋体"/>
          <w:sz w:val="24"/>
        </w:rPr>
        <w:tab/>
        <w:t>(4.2)</w:t>
      </w:r>
    </w:p>
    <w:p>
      <w:pPr>
        <w:spacing w:lineRule="auto" w:line="360" w:before="0" w:after="0"/>
        <w:ind w:firstLine="480"/>
      </w:pPr>
      <w:r>
        <w:rPr>
          <w:rFonts w:ascii="Times New Roman" w:hAnsi="Times New Roman" w:eastAsia="宋体"/>
          <w:sz w:val="24"/>
        </w:rPr>
        <w:t>平均小时通过能力仅反映全年均衡生产状态。实际运营中船舶集中到港、设备检修、雨雾停工和生产调度均会造成能力折减，因此主要设备额定能力应明显高于平均值。</w:t>
      </w:r>
    </w:p>
    <w:p>
      <w:pPr>
        <w:pStyle w:val="3"/>
        <w:jc w:val="left"/>
      </w:pPr>
      <w:r>
        <w:rPr>
          <w:rFonts w:ascii="Times New Roman" w:hAnsi="Times New Roman" w:eastAsia="宋体"/>
          <w:b/>
          <w:sz w:val="24"/>
        </w:rPr>
        <w:t xml:space="preserve"> 作业效率计算</w:t>
      </w:r>
    </w:p>
    <w:p>
      <w:pPr>
        <w:spacing w:lineRule="auto" w:line="360" w:before="0" w:after="0"/>
        <w:ind w:firstLine="480"/>
      </w:pPr>
      <w:r>
        <w:rPr>
          <w:rFonts w:ascii="Times New Roman" w:hAnsi="Times New Roman" w:eastAsia="宋体"/>
          <w:sz w:val="24"/>
        </w:rPr>
        <w:t>按单船装载量5万t、目标卸船时间36h控制，卸船系统需要达到的平均作业能力为：</w:t>
      </w:r>
    </w:p>
    <w:p>
      <w:pPr>
        <w:tabs>
          <w:tab w:pos="4100" w:val="center"/>
          <w:tab w:pos="8200" w:val="right"/>
        </w:tabs>
        <w:spacing w:lineRule="auto" w:line="360" w:before="0" w:after="0"/>
        <w:jc w:val="left"/>
      </w:pPr>
      <w:r>
        <w:tab/>
      </w:r>
      <m:oMath>
        <m:sSub>
          <m:e>
            <m:r>
              <m:t>P</m:t>
            </m:r>
          </m:e>
          <m:sub>
            <m:r>
              <m:t>s</m:t>
            </m:r>
          </m:sub>
        </m:sSub>
        <m:r>
          <m:rPr>
            <m:sty m:val="p"/>
          </m:rPr>
          <m:t>=</m:t>
        </m:r>
        <m:f>
          <m:fPr>
            <m:type m:val="bar"/>
          </m:fPr>
          <m:num>
            <m:sSub>
              <m:e>
                <m:r>
                  <m:t>G</m:t>
                </m:r>
              </m:e>
              <m:sub>
                <m:r>
                  <m:t>s</m:t>
                </m:r>
              </m:sub>
            </m:sSub>
          </m:num>
          <m:den>
            <m:sSub>
              <m:e>
                <m:r>
                  <m:t>t</m:t>
                </m:r>
              </m:e>
              <m:sub>
                <m:r>
                  <m:t>s</m:t>
                </m:r>
              </m:sub>
            </m:sSub>
          </m:den>
        </m:f>
        <m:r>
          <m:rPr>
            <m:sty m:val="p"/>
          </m:rPr>
          <m:t>=</m:t>
        </m:r>
        <m:f>
          <m:fPr>
            <m:type m:val="bar"/>
          </m:fPr>
          <m:num>
            <m:r>
              <m:t>50</m:t>
            </m:r>
            <m:r>
              <m:rPr>
                <m:sty m:val="p"/>
              </m:rPr>
              <m:t>,</m:t>
            </m:r>
            <m:r>
              <m:t>000</m:t>
            </m:r>
          </m:num>
          <m:den>
            <m:r>
              <m:t>36</m:t>
            </m:r>
          </m:den>
        </m:f>
        <m:r>
          <m:rPr>
            <m:sty m:val="p"/>
          </m:rPr>
          <m:t>=</m:t>
        </m:r>
        <m:r>
          <m:t>1389</m:t>
        </m:r>
        <m:r>
          <m:t> </m:t>
        </m:r>
        <m:r>
          <m:rPr>
            <m:sty m:val="p"/>
          </m:rPr>
          <m:t>t</m:t>
        </m:r>
        <m:r>
          <m:rPr>
            <m:sty m:val="p"/>
          </m:rPr>
          <m:t>/</m:t>
        </m:r>
        <m:r>
          <m:rPr>
            <m:sty m:val="p"/>
          </m:rPr>
          <m:t>h</m:t>
        </m:r>
      </m:oMath>
      <w:r>
        <w:rPr>
          <w:rFonts w:ascii="Times New Roman" w:hAnsi="Times New Roman" w:eastAsia="宋体"/>
          <w:sz w:val="24"/>
        </w:rPr>
        <w:tab/>
        <w:t>(4.3)</w:t>
      </w:r>
    </w:p>
    <w:p>
      <w:pPr>
        <w:spacing w:lineRule="auto" w:line="360" w:before="0" w:after="0"/>
        <w:ind w:firstLine="480"/>
      </w:pPr>
      <w:r>
        <w:rPr>
          <w:rFonts w:ascii="Times New Roman" w:hAnsi="Times New Roman" w:eastAsia="宋体"/>
          <w:sz w:val="24"/>
        </w:rPr>
        <w:t>因此设计选用额定生产率1500t/h的桥式抓斗卸船机作为单机控制能力，配置2台以提高作业灵活性和检修备用能力。带式输送机额定能力按不小于卸船系统最大连续来料能力配置。按泊位设计通过能力估算式复核，取设计船时效率1500t/h、昼夜作业小时数21h、泊位利用率0.55，则：</w:t>
      </w:r>
    </w:p>
    <w:p>
      <w:pPr>
        <w:tabs>
          <w:tab w:pos="4100" w:val="center"/>
          <w:tab w:pos="8200" w:val="right"/>
        </w:tabs>
        <w:spacing w:lineRule="auto" w:line="360" w:before="0" w:after="0"/>
        <w:jc w:val="left"/>
      </w:pPr>
      <w:r>
        <w:tab/>
      </w:r>
      <m:oMath>
        <m:sSub>
          <m:e>
            <m:r>
              <m:t>P</m:t>
            </m:r>
          </m:e>
          <m:sub>
            <m:r>
              <m:t>b</m:t>
            </m:r>
          </m:sub>
        </m:sSub>
        <m:r>
          <m:rPr>
            <m:sty m:val="p"/>
          </m:rPr>
          <m:t>=</m:t>
        </m:r>
        <m:r>
          <m:t>365</m:t>
        </m:r>
        <m:r>
          <m:rPr>
            <m:sty m:val="p"/>
          </m:rPr>
          <m:t>×</m:t>
        </m:r>
        <m:sSub>
          <m:e>
            <m:r>
              <m:t>P</m:t>
            </m:r>
          </m:e>
          <m:sub>
            <m:r>
              <m:t>t</m:t>
            </m:r>
          </m:sub>
        </m:sSub>
        <m:r>
          <m:rPr>
            <m:sty m:val="p"/>
          </m:rPr>
          <m:t>×</m:t>
        </m:r>
        <m:sSub>
          <m:e>
            <m:r>
              <m:t>t</m:t>
            </m:r>
          </m:e>
          <m:sub>
            <m:r>
              <m:t>d</m:t>
            </m:r>
          </m:sub>
        </m:sSub>
        <m:r>
          <m:rPr>
            <m:sty m:val="p"/>
          </m:rPr>
          <m:t>×</m:t>
        </m:r>
        <m:r>
          <m:t>η</m:t>
        </m:r>
        <m:r>
          <m:rPr>
            <m:sty m:val="p"/>
          </m:rPr>
          <m:t>=</m:t>
        </m:r>
        <m:r>
          <m:t>365</m:t>
        </m:r>
        <m:r>
          <m:rPr>
            <m:sty m:val="p"/>
          </m:rPr>
          <m:t>×</m:t>
        </m:r>
        <m:r>
          <m:t>1500</m:t>
        </m:r>
        <m:r>
          <m:rPr>
            <m:sty m:val="p"/>
          </m:rPr>
          <m:t>×</m:t>
        </m:r>
        <m:r>
          <m:t>21</m:t>
        </m:r>
        <m:r>
          <m:rPr>
            <m:sty m:val="p"/>
          </m:rPr>
          <m:t>×</m:t>
        </m:r>
        <m:r>
          <m:t>0.55</m:t>
        </m:r>
        <m:r>
          <m:rPr>
            <m:sty m:val="p"/>
          </m:rPr>
          <m:t>=</m:t>
        </m:r>
        <m:r>
          <m:t>6.32</m:t>
        </m:r>
        <m:r>
          <m:rPr>
            <m:sty m:val="p"/>
          </m:rPr>
          <m:t>×</m:t>
        </m:r>
        <m:sSup>
          <m:e>
            <m:r>
              <m:t>10</m:t>
            </m:r>
          </m:e>
          <m:sup>
            <m:r>
              <m:t>6</m:t>
            </m:r>
          </m:sup>
        </m:sSup>
        <m:r>
          <m:t> </m:t>
        </m:r>
        <m:r>
          <m:rPr>
            <m:sty m:val="p"/>
          </m:rPr>
          <m:t>t</m:t>
        </m:r>
        <m:r>
          <m:rPr>
            <m:sty m:val="p"/>
          </m:rPr>
          <m:t>/</m:t>
        </m:r>
        <m:r>
          <m:rPr>
            <m:sty m:val="p"/>
          </m:rPr>
          <m:t>a</m:t>
        </m:r>
      </m:oMath>
      <w:r>
        <w:rPr>
          <w:rFonts w:ascii="Times New Roman" w:hAnsi="Times New Roman" w:eastAsia="宋体"/>
          <w:sz w:val="24"/>
        </w:rPr>
        <w:tab/>
        <w:t>(4.4)</w:t>
      </w:r>
    </w:p>
    <w:p>
      <w:pPr>
        <w:spacing w:lineRule="auto" w:line="360" w:before="0" w:after="0"/>
        <w:ind w:firstLine="480"/>
      </w:pPr>
      <w:r>
        <w:rPr>
          <w:rFonts w:ascii="Times New Roman" w:hAnsi="Times New Roman" w:eastAsia="宋体"/>
          <w:sz w:val="24"/>
        </w:rPr>
        <w:t>计算结果大于300万t/a的设计吞吐量，说明单泊位在正常组织条件下具有能力余量，后续应结合到港不均衡、天气停工和设备检修对泊位利用率进一步复核。</w:t>
      </w:r>
    </w:p>
    <w:p>
      <w:pPr>
        <w:pStyle w:val="2"/>
        <w:jc w:val="left"/>
      </w:pPr>
      <w:r>
        <w:rPr>
          <w:rFonts w:ascii="Times New Roman" w:hAnsi="Times New Roman" w:eastAsia="宋体"/>
          <w:b/>
          <w:sz w:val="24"/>
        </w:rPr>
        <w:t xml:space="preserve"> 主要装卸设备选型</w:t>
      </w:r>
    </w:p>
    <w:p>
      <w:pPr>
        <w:pStyle w:val="3"/>
        <w:jc w:val="left"/>
      </w:pPr>
      <w:r>
        <w:rPr>
          <w:rFonts w:ascii="Times New Roman" w:hAnsi="Times New Roman" w:eastAsia="宋体"/>
          <w:b/>
          <w:sz w:val="24"/>
        </w:rPr>
        <w:t xml:space="preserve"> 卸船设备选型</w:t>
      </w:r>
    </w:p>
    <w:p>
      <w:pPr>
        <w:spacing w:lineRule="auto" w:line="360" w:before="0" w:after="0"/>
        <w:ind w:firstLine="480"/>
      </w:pPr>
      <w:r>
        <w:rPr>
          <w:rFonts w:ascii="Times New Roman" w:hAnsi="Times New Roman" w:eastAsia="宋体"/>
          <w:sz w:val="24"/>
        </w:rPr>
        <w:t>卸船设备选用桥式抓斗卸船机。卸船机主要参数应根据设计船型、水位变幅、船舱覆盖范围和目标作业效率确定，码头面应预留清舱机械、抓斗停放和设备检修位置。该设备适应煤炭散货接卸，技术成熟，维护方便，能够沿码头轨道移动覆盖船舱；与连续卸船机相比，对煤种粒径和含水率适应性更强，初期投资和维护要求相对较低。</w:t>
      </w:r>
    </w:p>
    <w:p>
      <w:pPr>
        <w:pStyle w:val="3"/>
        <w:jc w:val="left"/>
      </w:pPr>
      <w:r>
        <w:rPr>
          <w:rFonts w:ascii="Times New Roman" w:hAnsi="Times New Roman" w:eastAsia="宋体"/>
          <w:b/>
          <w:sz w:val="24"/>
        </w:rPr>
        <w:t xml:space="preserve"> 水平输送设备选型</w:t>
      </w:r>
    </w:p>
    <w:p>
      <w:pPr>
        <w:spacing w:lineRule="auto" w:line="360" w:before="0" w:after="0"/>
        <w:ind w:firstLine="480"/>
      </w:pPr>
      <w:r>
        <w:rPr>
          <w:rFonts w:ascii="Times New Roman" w:hAnsi="Times New Roman" w:eastAsia="宋体"/>
          <w:sz w:val="24"/>
        </w:rPr>
        <w:t>水平输送采用带式输送机系统，主要包括码头前沿皮带机、转运站、堆场皮带机和取料皮带机。皮带宽度取1400mm，额定输送能力按1500t/h控制，关键转运点设置导料槽、除尘罩、喷雾抑尘和清扫装置。</w:t>
      </w:r>
    </w:p>
    <w:p>
      <w:pPr>
        <w:pStyle w:val="3"/>
        <w:jc w:val="left"/>
      </w:pPr>
      <w:r>
        <w:rPr>
          <w:rFonts w:ascii="Times New Roman" w:hAnsi="Times New Roman" w:eastAsia="宋体"/>
          <w:b/>
          <w:sz w:val="24"/>
        </w:rPr>
        <w:t xml:space="preserve"> 堆取料设备选型</w:t>
      </w:r>
    </w:p>
    <w:p>
      <w:pPr>
        <w:spacing w:lineRule="auto" w:line="360" w:before="0" w:after="0"/>
        <w:ind w:firstLine="480"/>
      </w:pPr>
      <w:r>
        <w:rPr>
          <w:rFonts w:ascii="Times New Roman" w:hAnsi="Times New Roman" w:eastAsia="宋体"/>
          <w:sz w:val="24"/>
        </w:rPr>
        <w:t>堆场设备选用斗轮堆取料机，兼具堆料和取料功能。堆场机械配置应根据堆存量、堆场形式、煤炭物料特性、堆取料方式和生产管理模式比较确定；堆料能力应与卸船能力匹配，取料能力应与电厂供煤配送能力匹配。斗轮堆取料机沿堆场轨道运行，可适应条形煤堆布置，便于分区堆存、煤种混配和四周检修通道组织。</w:t>
      </w:r>
    </w:p>
    <w:p>
      <w:pPr>
        <w:pStyle w:val="3"/>
        <w:jc w:val="left"/>
      </w:pPr>
      <w:r>
        <w:rPr>
          <w:rFonts w:ascii="Times New Roman" w:hAnsi="Times New Roman" w:eastAsia="宋体"/>
          <w:b/>
          <w:sz w:val="24"/>
        </w:rPr>
        <w:t xml:space="preserve"> 辅助设备配置</w:t>
      </w:r>
    </w:p>
    <w:p>
      <w:pPr>
        <w:spacing w:lineRule="auto" w:line="360" w:before="0" w:after="0"/>
        <w:ind w:firstLine="480"/>
      </w:pPr>
      <w:r>
        <w:rPr>
          <w:rFonts w:ascii="Times New Roman" w:hAnsi="Times New Roman" w:eastAsia="宋体"/>
          <w:sz w:val="24"/>
        </w:rPr>
        <w:t>辅助设备包括装载机、清扫车、皮带巡检设备、计量装置、除铁器、采制样设备、消防喷淋系统和环保监测设施。辅助设备配置应满足检修、应急、计量和环保管理要求。</w:t>
      </w:r>
    </w:p>
    <w:p>
      <w:pPr>
        <w:keepNext/>
        <w:spacing w:lineRule="auto" w:line="300" w:before="0" w:after="120"/>
        <w:jc w:val="center"/>
      </w:pPr>
      <w:r>
        <w:rPr>
          <w:rFonts w:ascii="Times New Roman" w:hAnsi="Times New Roman" w:eastAsia="宋体"/>
          <w:b w:val="0"/>
          <w:sz w:val="20"/>
        </w:rPr>
        <w:t>表4-1 主要装卸设备配置</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880"/>
        <w:gridCol w:w="3744"/>
        <w:gridCol w:w="1728"/>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设备名称</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规格或能力</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数量</w:t>
            </w:r>
          </w:p>
        </w:tc>
      </w:tr>
      <w:tr>
        <w:trPr>
          <w:cantSplit/>
        </w:trPr>
        <w:tc>
          <w:tcPr>
            <w:tcW w:type="dxa" w:w="2880"/>
            <w:vAlign w:val="center"/>
          </w:tcPr>
          <w:p>
            <w:pPr>
              <w:keepLines/>
              <w:spacing w:lineRule="auto" w:line="276"/>
              <w:jc w:val="center"/>
            </w:pPr>
            <w:r>
              <w:rPr>
                <w:rFonts w:ascii="Times New Roman" w:hAnsi="Times New Roman" w:eastAsia="宋体"/>
                <w:b w:val="0"/>
                <w:sz w:val="18"/>
              </w:rPr>
              <w:t>桥式抓斗卸船机</w:t>
            </w:r>
          </w:p>
        </w:tc>
        <w:tc>
          <w:tcPr>
            <w:tcW w:type="dxa" w:w="3744"/>
            <w:vAlign w:val="center"/>
          </w:tcPr>
          <w:p>
            <w:pPr>
              <w:keepLines/>
              <w:spacing w:lineRule="auto" w:line="276"/>
              <w:jc w:val="center"/>
            </w:pPr>
            <w:r>
              <w:rPr>
                <w:rFonts w:ascii="Times New Roman" w:hAnsi="Times New Roman" w:eastAsia="宋体"/>
                <w:b w:val="0"/>
                <w:sz w:val="18"/>
              </w:rPr>
              <w:t>1500t/h</w:t>
            </w:r>
          </w:p>
        </w:tc>
        <w:tc>
          <w:tcPr>
            <w:tcW w:type="dxa" w:w="1728"/>
            <w:vAlign w:val="center"/>
          </w:tcPr>
          <w:p>
            <w:pPr>
              <w:keepLines/>
              <w:spacing w:lineRule="auto" w:line="276"/>
              <w:jc w:val="center"/>
            </w:pPr>
            <w:r>
              <w:rPr>
                <w:rFonts w:ascii="Times New Roman" w:hAnsi="Times New Roman" w:eastAsia="宋体"/>
                <w:b w:val="0"/>
                <w:sz w:val="18"/>
              </w:rPr>
              <w:t>2台</w:t>
            </w:r>
          </w:p>
        </w:tc>
      </w:tr>
      <w:tr>
        <w:trPr>
          <w:cantSplit/>
        </w:trPr>
        <w:tc>
          <w:tcPr>
            <w:tcW w:type="dxa" w:w="2880"/>
            <w:vAlign w:val="center"/>
          </w:tcPr>
          <w:p>
            <w:pPr>
              <w:keepLines/>
              <w:spacing w:lineRule="auto" w:line="276"/>
              <w:jc w:val="center"/>
            </w:pPr>
            <w:r>
              <w:rPr>
                <w:rFonts w:ascii="Times New Roman" w:hAnsi="Times New Roman" w:eastAsia="宋体"/>
                <w:b w:val="0"/>
                <w:sz w:val="18"/>
              </w:rPr>
              <w:t>带式输送机</w:t>
            </w:r>
          </w:p>
        </w:tc>
        <w:tc>
          <w:tcPr>
            <w:tcW w:type="dxa" w:w="3744"/>
            <w:vAlign w:val="center"/>
          </w:tcPr>
          <w:p>
            <w:pPr>
              <w:keepLines/>
              <w:spacing w:lineRule="auto" w:line="276"/>
              <w:jc w:val="center"/>
            </w:pPr>
            <w:r>
              <w:rPr>
                <w:rFonts w:ascii="Times New Roman" w:hAnsi="Times New Roman" w:eastAsia="宋体"/>
                <w:b w:val="0"/>
                <w:sz w:val="18"/>
              </w:rPr>
              <w:t>B=1400mm，1500t/h</w:t>
            </w:r>
          </w:p>
        </w:tc>
        <w:tc>
          <w:tcPr>
            <w:tcW w:type="dxa" w:w="1728"/>
            <w:vAlign w:val="center"/>
          </w:tcPr>
          <w:p>
            <w:pPr>
              <w:keepLines/>
              <w:spacing w:lineRule="auto" w:line="276"/>
              <w:jc w:val="center"/>
            </w:pPr>
            <w:r>
              <w:rPr>
                <w:rFonts w:ascii="Times New Roman" w:hAnsi="Times New Roman" w:eastAsia="宋体"/>
                <w:b w:val="0"/>
                <w:sz w:val="18"/>
              </w:rPr>
              <w:t>若干</w:t>
            </w:r>
          </w:p>
        </w:tc>
      </w:tr>
      <w:tr>
        <w:trPr>
          <w:cantSplit/>
        </w:trPr>
        <w:tc>
          <w:tcPr>
            <w:tcW w:type="dxa" w:w="2880"/>
            <w:vAlign w:val="center"/>
          </w:tcPr>
          <w:p>
            <w:pPr>
              <w:keepLines/>
              <w:spacing w:lineRule="auto" w:line="276"/>
              <w:jc w:val="center"/>
            </w:pPr>
            <w:r>
              <w:rPr>
                <w:rFonts w:ascii="Times New Roman" w:hAnsi="Times New Roman" w:eastAsia="宋体"/>
                <w:b w:val="0"/>
                <w:sz w:val="18"/>
              </w:rPr>
              <w:t>斗轮堆取料机</w:t>
            </w:r>
          </w:p>
        </w:tc>
        <w:tc>
          <w:tcPr>
            <w:tcW w:type="dxa" w:w="3744"/>
            <w:vAlign w:val="center"/>
          </w:tcPr>
          <w:p>
            <w:pPr>
              <w:keepLines/>
              <w:spacing w:lineRule="auto" w:line="276"/>
              <w:jc w:val="center"/>
            </w:pPr>
            <w:r>
              <w:rPr>
                <w:rFonts w:ascii="Times New Roman" w:hAnsi="Times New Roman" w:eastAsia="宋体"/>
                <w:b w:val="0"/>
                <w:sz w:val="18"/>
              </w:rPr>
              <w:t>堆料1500t/h，取料1200t/h</w:t>
            </w:r>
          </w:p>
        </w:tc>
        <w:tc>
          <w:tcPr>
            <w:tcW w:type="dxa" w:w="1728"/>
            <w:vAlign w:val="center"/>
          </w:tcPr>
          <w:p>
            <w:pPr>
              <w:keepLines/>
              <w:spacing w:lineRule="auto" w:line="276"/>
              <w:jc w:val="center"/>
            </w:pPr>
            <w:r>
              <w:rPr>
                <w:rFonts w:ascii="Times New Roman" w:hAnsi="Times New Roman" w:eastAsia="宋体"/>
                <w:b w:val="0"/>
                <w:sz w:val="18"/>
              </w:rPr>
              <w:t>1台</w:t>
            </w:r>
          </w:p>
        </w:tc>
      </w:tr>
      <w:tr>
        <w:trPr>
          <w:cantSplit/>
        </w:trPr>
        <w:tc>
          <w:tcPr>
            <w:tcW w:type="dxa" w:w="2880"/>
            <w:vAlign w:val="center"/>
          </w:tcPr>
          <w:p>
            <w:pPr>
              <w:keepLines/>
              <w:spacing w:lineRule="auto" w:line="276"/>
              <w:jc w:val="center"/>
            </w:pPr>
            <w:r>
              <w:rPr>
                <w:rFonts w:ascii="Times New Roman" w:hAnsi="Times New Roman" w:eastAsia="宋体"/>
                <w:b w:val="0"/>
                <w:sz w:val="18"/>
              </w:rPr>
              <w:t>转运站</w:t>
            </w:r>
          </w:p>
        </w:tc>
        <w:tc>
          <w:tcPr>
            <w:tcW w:type="dxa" w:w="3744"/>
            <w:vAlign w:val="center"/>
          </w:tcPr>
          <w:p>
            <w:pPr>
              <w:keepLines/>
              <w:spacing w:lineRule="auto" w:line="276"/>
              <w:jc w:val="center"/>
            </w:pPr>
            <w:r>
              <w:rPr>
                <w:rFonts w:ascii="Times New Roman" w:hAnsi="Times New Roman" w:eastAsia="宋体"/>
                <w:b w:val="0"/>
                <w:sz w:val="18"/>
              </w:rPr>
              <w:t>封闭式，设除尘喷淋</w:t>
            </w:r>
          </w:p>
        </w:tc>
        <w:tc>
          <w:tcPr>
            <w:tcW w:type="dxa" w:w="1728"/>
            <w:vAlign w:val="center"/>
          </w:tcPr>
          <w:p>
            <w:pPr>
              <w:keepLines/>
              <w:spacing w:lineRule="auto" w:line="276"/>
              <w:jc w:val="center"/>
            </w:pPr>
            <w:r>
              <w:rPr>
                <w:rFonts w:ascii="Times New Roman" w:hAnsi="Times New Roman" w:eastAsia="宋体"/>
                <w:b w:val="0"/>
                <w:sz w:val="18"/>
              </w:rPr>
              <w:t>3座</w:t>
            </w:r>
          </w:p>
        </w:tc>
      </w:tr>
      <w:tr>
        <w:trPr>
          <w:cantSplit/>
        </w:trPr>
        <w:tc>
          <w:tcPr>
            <w:tcW w:type="dxa" w:w="2880"/>
            <w:vAlign w:val="center"/>
          </w:tcPr>
          <w:p>
            <w:pPr>
              <w:keepLines/>
              <w:spacing w:lineRule="auto" w:line="276"/>
              <w:jc w:val="center"/>
            </w:pPr>
            <w:r>
              <w:rPr>
                <w:rFonts w:ascii="Times New Roman" w:hAnsi="Times New Roman" w:eastAsia="宋体"/>
                <w:b w:val="0"/>
                <w:sz w:val="18"/>
              </w:rPr>
              <w:t>电子皮带秤</w:t>
            </w:r>
          </w:p>
        </w:tc>
        <w:tc>
          <w:tcPr>
            <w:tcW w:type="dxa" w:w="3744"/>
            <w:vAlign w:val="center"/>
          </w:tcPr>
          <w:p>
            <w:pPr>
              <w:keepLines/>
              <w:spacing w:lineRule="auto" w:line="276"/>
              <w:jc w:val="center"/>
            </w:pPr>
            <w:r>
              <w:rPr>
                <w:rFonts w:ascii="Times New Roman" w:hAnsi="Times New Roman" w:eastAsia="宋体"/>
                <w:b w:val="0"/>
                <w:sz w:val="18"/>
              </w:rPr>
              <w:t>动态计量</w:t>
            </w:r>
          </w:p>
        </w:tc>
        <w:tc>
          <w:tcPr>
            <w:tcW w:type="dxa" w:w="1728"/>
            <w:vAlign w:val="center"/>
          </w:tcPr>
          <w:p>
            <w:pPr>
              <w:keepLines/>
              <w:spacing w:lineRule="auto" w:line="276"/>
              <w:jc w:val="center"/>
            </w:pPr>
            <w:r>
              <w:rPr>
                <w:rFonts w:ascii="Times New Roman" w:hAnsi="Times New Roman" w:eastAsia="宋体"/>
                <w:b w:val="0"/>
                <w:sz w:val="18"/>
              </w:rPr>
              <w:t>2套</w:t>
            </w:r>
          </w:p>
        </w:tc>
      </w:tr>
      <w:tr>
        <w:trPr>
          <w:cantSplit/>
        </w:trPr>
        <w:tc>
          <w:tcPr>
            <w:tcW w:type="dxa" w:w="2880"/>
            <w:vAlign w:val="center"/>
          </w:tcPr>
          <w:p>
            <w:pPr>
              <w:keepLines/>
              <w:spacing w:lineRule="auto" w:line="276"/>
              <w:jc w:val="center"/>
            </w:pPr>
            <w:r>
              <w:rPr>
                <w:rFonts w:ascii="Times New Roman" w:hAnsi="Times New Roman" w:eastAsia="宋体"/>
                <w:b w:val="0"/>
                <w:sz w:val="18"/>
              </w:rPr>
              <w:t>除铁器与采样装置</w:t>
            </w:r>
          </w:p>
        </w:tc>
        <w:tc>
          <w:tcPr>
            <w:tcW w:type="dxa" w:w="3744"/>
            <w:vAlign w:val="center"/>
          </w:tcPr>
          <w:p>
            <w:pPr>
              <w:keepLines/>
              <w:spacing w:lineRule="auto" w:line="276"/>
              <w:jc w:val="center"/>
            </w:pPr>
            <w:r>
              <w:rPr>
                <w:rFonts w:ascii="Times New Roman" w:hAnsi="Times New Roman" w:eastAsia="宋体"/>
                <w:b w:val="0"/>
                <w:sz w:val="18"/>
              </w:rPr>
              <w:t>输煤系统配套</w:t>
            </w:r>
          </w:p>
        </w:tc>
        <w:tc>
          <w:tcPr>
            <w:tcW w:type="dxa" w:w="1728"/>
            <w:vAlign w:val="center"/>
          </w:tcPr>
          <w:p>
            <w:pPr>
              <w:keepLines/>
              <w:spacing w:lineRule="auto" w:line="276"/>
              <w:jc w:val="center"/>
            </w:pPr>
            <w:r>
              <w:rPr>
                <w:rFonts w:ascii="Times New Roman" w:hAnsi="Times New Roman" w:eastAsia="宋体"/>
                <w:b w:val="0"/>
                <w:sz w:val="18"/>
              </w:rPr>
              <w:t>各1套</w:t>
            </w:r>
          </w:p>
        </w:tc>
      </w:tr>
    </w:tbl>
    <w:p/>
    <w:p>
      <w:pPr>
        <w:pStyle w:val="2"/>
        <w:jc w:val="left"/>
      </w:pPr>
      <w:r>
        <w:rPr>
          <w:rFonts w:ascii="Times New Roman" w:hAnsi="Times New Roman" w:eastAsia="宋体"/>
          <w:b/>
          <w:sz w:val="24"/>
        </w:rPr>
        <w:t xml:space="preserve"> 库场容量与面积计算</w:t>
      </w:r>
    </w:p>
    <w:p>
      <w:pPr>
        <w:pStyle w:val="3"/>
        <w:jc w:val="left"/>
      </w:pPr>
      <w:r>
        <w:rPr>
          <w:rFonts w:ascii="Times New Roman" w:hAnsi="Times New Roman" w:eastAsia="宋体"/>
          <w:b/>
          <w:sz w:val="24"/>
        </w:rPr>
        <w:t xml:space="preserve"> 库场设计原则</w:t>
      </w:r>
    </w:p>
    <w:p>
      <w:pPr>
        <w:spacing w:lineRule="auto" w:line="360" w:before="0" w:after="0"/>
        <w:ind w:firstLine="480"/>
      </w:pPr>
      <w:r>
        <w:rPr>
          <w:rFonts w:ascii="Times New Roman" w:hAnsi="Times New Roman" w:eastAsia="宋体"/>
          <w:sz w:val="24"/>
        </w:rPr>
        <w:t>煤炭堆场容量应与泊位通过能力、电厂耗煤强度、船舶到港不均衡和检修备用要求协调。依据海港总平面和装卸工艺设计要求，矿石、煤炭等大宗散货库场容量可按码头泊位设计通过能力、货物储备时间和运行调度要求确定；库场面积应结合年货运量、煤炭堆积特性、堆取料机械形式、堆场总面积利用率和平均堆存期综合计算，并在满足工艺合理性的前提下适当留有余地。港口道路与堆场设计还应综合考虑道路系统、堆场分区、消防通道、排水坡向和机械作业范围</w:t>
      </w:r>
      <w:r>
        <w:rPr>
          <w:rFonts w:ascii="Times New Roman" w:hAnsi="Times New Roman" w:eastAsia="宋体"/>
          <w:sz w:val="24"/>
          <w:vertAlign w:val="superscript"/>
        </w:rPr>
        <w:t>[14]</w:t>
      </w:r>
      <w:r>
        <w:rPr>
          <w:rFonts w:ascii="Times New Roman" w:hAnsi="Times New Roman" w:eastAsia="宋体"/>
          <w:sz w:val="24"/>
        </w:rPr>
        <w:t>。堆场布置以条形煤堆为主，设置分区堆存、道路、排水沟、喷淋抑尘、含煤污水收集和消防通道，避免堆场容量偏小造成卸船受阻，也避免过大用地造成投资浪费。</w:t>
      </w:r>
    </w:p>
    <w:p>
      <w:pPr>
        <w:pStyle w:val="3"/>
        <w:jc w:val="left"/>
      </w:pPr>
      <w:r>
        <w:rPr>
          <w:rFonts w:ascii="Times New Roman" w:hAnsi="Times New Roman" w:eastAsia="宋体"/>
          <w:b/>
          <w:sz w:val="24"/>
        </w:rPr>
        <w:t xml:space="preserve"> 堆场容量计算</w:t>
      </w:r>
    </w:p>
    <w:p>
      <w:pPr>
        <w:spacing w:lineRule="auto" w:line="360" w:before="0" w:after="0"/>
        <w:ind w:firstLine="480"/>
      </w:pPr>
      <w:r>
        <w:rPr>
          <w:rFonts w:ascii="Times New Roman" w:hAnsi="Times New Roman" w:eastAsia="宋体"/>
          <w:sz w:val="24"/>
        </w:rPr>
        <w:t>堆场按20d储备量初步计算，年吞吐量为300万t，则堆场有效储量为：</w:t>
      </w:r>
    </w:p>
    <w:p>
      <w:pPr>
        <w:tabs>
          <w:tab w:pos="4100" w:val="center"/>
          <w:tab w:pos="8200" w:val="right"/>
        </w:tabs>
        <w:spacing w:lineRule="auto" w:line="360" w:before="0" w:after="0"/>
        <w:jc w:val="left"/>
      </w:pPr>
      <w:r>
        <w:tab/>
      </w:r>
      <m:oMath>
        <m:r>
          <m:t>C</m:t>
        </m:r>
        <m:r>
          <m:rPr>
            <m:sty m:val="p"/>
          </m:rPr>
          <m:t>=</m:t>
        </m:r>
        <m:f>
          <m:fPr>
            <m:type m:val="bar"/>
          </m:fPr>
          <m:num>
            <m:sSub>
              <m:e>
                <m:r>
                  <m:t>Q</m:t>
                </m:r>
              </m:e>
              <m:sub>
                <m:r>
                  <m:t>y</m:t>
                </m:r>
              </m:sub>
            </m:sSub>
            <m:sSub>
              <m:e>
                <m:r>
                  <m:t>T</m:t>
                </m:r>
              </m:e>
              <m:sub>
                <m:r>
                  <m:t>c</m:t>
                </m:r>
              </m:sub>
            </m:sSub>
          </m:num>
          <m:den>
            <m:r>
              <m:t>365</m:t>
            </m:r>
          </m:den>
        </m:f>
        <m:r>
          <m:rPr>
            <m:sty m:val="p"/>
          </m:rPr>
          <m:t>=</m:t>
        </m:r>
        <m:f>
          <m:fPr>
            <m:type m:val="bar"/>
          </m:fPr>
          <m:num>
            <m:r>
              <m:t>3</m:t>
            </m:r>
            <m:r>
              <m:rPr>
                <m:sty m:val="p"/>
              </m:rPr>
              <m:t>,</m:t>
            </m:r>
            <m:r>
              <m:t>000</m:t>
            </m:r>
            <m:r>
              <m:rPr>
                <m:sty m:val="p"/>
              </m:rPr>
              <m:t>,</m:t>
            </m:r>
            <m:r>
              <m:t>000</m:t>
            </m:r>
            <m:r>
              <m:rPr>
                <m:sty m:val="p"/>
              </m:rPr>
              <m:t>×</m:t>
            </m:r>
            <m:r>
              <m:t>20</m:t>
            </m:r>
          </m:num>
          <m:den>
            <m:r>
              <m:t>365</m:t>
            </m:r>
          </m:den>
        </m:f>
        <m:r>
          <m:rPr>
            <m:sty m:val="p"/>
          </m:rPr>
          <m:t>=</m:t>
        </m:r>
        <m:r>
          <m:t>164</m:t>
        </m:r>
        <m:r>
          <m:rPr>
            <m:sty m:val="p"/>
          </m:rPr>
          <m:t>,</m:t>
        </m:r>
        <m:r>
          <m:t>384</m:t>
        </m:r>
        <m:r>
          <m:t> </m:t>
        </m:r>
        <m:r>
          <m:rPr>
            <m:sty m:val="p"/>
          </m:rPr>
          <m:t>t</m:t>
        </m:r>
      </m:oMath>
      <w:r>
        <w:rPr>
          <w:rFonts w:ascii="Times New Roman" w:hAnsi="Times New Roman" w:eastAsia="宋体"/>
          <w:sz w:val="24"/>
        </w:rPr>
        <w:tab/>
        <w:t>(4.5)</w:t>
      </w:r>
    </w:p>
    <w:p>
      <w:pPr>
        <w:spacing w:lineRule="auto" w:line="360" w:before="0" w:after="0"/>
        <w:ind w:firstLine="480"/>
      </w:pPr>
      <w:r>
        <w:rPr>
          <w:rFonts w:ascii="Times New Roman" w:hAnsi="Times New Roman" w:eastAsia="宋体"/>
          <w:sz w:val="24"/>
        </w:rPr>
        <w:t>考虑煤种分区、检修备用和运行调度，堆场设计容量取18万t。</w:t>
      </w:r>
    </w:p>
    <w:p>
      <w:pPr>
        <w:pStyle w:val="3"/>
        <w:jc w:val="left"/>
      </w:pPr>
      <w:r>
        <w:rPr>
          <w:rFonts w:ascii="Times New Roman" w:hAnsi="Times New Roman" w:eastAsia="宋体"/>
          <w:b/>
          <w:sz w:val="24"/>
        </w:rPr>
        <w:t xml:space="preserve"> 堆场面积计算</w:t>
      </w:r>
    </w:p>
    <w:p>
      <w:pPr>
        <w:spacing w:lineRule="auto" w:line="360" w:before="0" w:after="0"/>
        <w:ind w:firstLine="480"/>
      </w:pPr>
      <w:r>
        <w:rPr>
          <w:rFonts w:ascii="Times New Roman" w:hAnsi="Times New Roman" w:eastAsia="宋体"/>
          <w:sz w:val="24"/>
        </w:rPr>
        <w:t>按煤炭堆积密度0.85t/m³、平均堆高10m、堆场利用系数0.65计算有效堆存面积：</w:t>
      </w:r>
    </w:p>
    <w:p>
      <w:pPr>
        <w:tabs>
          <w:tab w:pos="4100" w:val="center"/>
          <w:tab w:pos="8200" w:val="right"/>
        </w:tabs>
        <w:spacing w:lineRule="auto" w:line="360" w:before="0" w:after="0"/>
        <w:jc w:val="left"/>
      </w:pPr>
      <w:r>
        <w:tab/>
      </w:r>
      <m:oMath>
        <m:sSub>
          <m:e>
            <m:r>
              <m:t>A</m:t>
            </m:r>
          </m:e>
          <m:sub>
            <m:r>
              <m:t>0</m:t>
            </m:r>
          </m:sub>
        </m:sSub>
        <m:r>
          <m:rPr>
            <m:sty m:val="p"/>
          </m:rPr>
          <m:t>=</m:t>
        </m:r>
        <m:f>
          <m:fPr>
            <m:type m:val="bar"/>
          </m:fPr>
          <m:num>
            <m:r>
              <m:t>C</m:t>
            </m:r>
          </m:num>
          <m:den>
            <m:r>
              <m:t>ρ</m:t>
            </m:r>
            <m:r>
              <m:t>h</m:t>
            </m:r>
            <m:r>
              <m:t>η</m:t>
            </m:r>
          </m:den>
        </m:f>
        <m:r>
          <m:rPr>
            <m:sty m:val="p"/>
          </m:rPr>
          <m:t>=</m:t>
        </m:r>
        <m:f>
          <m:fPr>
            <m:type m:val="bar"/>
          </m:fPr>
          <m:num>
            <m:r>
              <m:t>180</m:t>
            </m:r>
            <m:r>
              <m:rPr>
                <m:sty m:val="p"/>
              </m:rPr>
              <m:t>,</m:t>
            </m:r>
            <m:r>
              <m:t>000</m:t>
            </m:r>
          </m:num>
          <m:den>
            <m:r>
              <m:t>0.85</m:t>
            </m:r>
            <m:r>
              <m:rPr>
                <m:sty m:val="p"/>
              </m:rPr>
              <m:t>×</m:t>
            </m:r>
            <m:r>
              <m:t>10</m:t>
            </m:r>
            <m:r>
              <m:rPr>
                <m:sty m:val="p"/>
              </m:rPr>
              <m:t>×</m:t>
            </m:r>
            <m:r>
              <m:t>0.65</m:t>
            </m:r>
          </m:den>
        </m:f>
        <m:r>
          <m:rPr>
            <m:sty m:val="p"/>
          </m:rPr>
          <m:t>=</m:t>
        </m:r>
        <m:r>
          <m:t>32</m:t>
        </m:r>
        <m:r>
          <m:rPr>
            <m:sty m:val="p"/>
          </m:rPr>
          <m:t>,</m:t>
        </m:r>
        <m:r>
          <m:t>579</m:t>
        </m:r>
        <m:r>
          <m:t> </m:t>
        </m:r>
        <m:sSup>
          <m:e>
            <m:r>
              <m:rPr>
                <m:sty m:val="p"/>
              </m:rPr>
              <m:t>m</m:t>
            </m:r>
          </m:e>
          <m:sup>
            <m:r>
              <m:rPr>
                <m:sty m:val="p"/>
              </m:rPr>
              <m:t>2</m:t>
            </m:r>
          </m:sup>
        </m:sSup>
      </m:oMath>
      <w:r>
        <w:rPr>
          <w:rFonts w:ascii="Times New Roman" w:hAnsi="Times New Roman" w:eastAsia="宋体"/>
          <w:sz w:val="24"/>
        </w:rPr>
        <w:tab/>
        <w:t>(4.6)</w:t>
      </w:r>
    </w:p>
    <w:p>
      <w:pPr>
        <w:spacing w:lineRule="auto" w:line="360" w:before="0" w:after="0"/>
        <w:ind w:firstLine="480"/>
      </w:pPr>
      <w:r>
        <w:rPr>
          <w:rFonts w:ascii="Times New Roman" w:hAnsi="Times New Roman" w:eastAsia="宋体"/>
          <w:sz w:val="24"/>
        </w:rPr>
        <w:t>考虑道路、排水、消防和设备运行空间，取综合系数1.35，则堆场总面积约4.4万m²。</w:t>
      </w:r>
    </w:p>
    <w:p>
      <w:pPr>
        <w:keepNext/>
        <w:spacing w:lineRule="auto" w:line="300" w:before="0" w:after="120"/>
        <w:jc w:val="center"/>
      </w:pPr>
      <w:r>
        <w:rPr>
          <w:rFonts w:ascii="Times New Roman" w:hAnsi="Times New Roman" w:eastAsia="宋体"/>
          <w:b w:val="0"/>
          <w:sz w:val="20"/>
        </w:rPr>
        <w:t>表4-2 堆场容量与面积计算结果</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592"/>
        <w:gridCol w:w="2592"/>
        <w:gridCol w:w="3168"/>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计算值</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设计取值</w:t>
            </w:r>
          </w:p>
        </w:tc>
      </w:tr>
      <w:tr>
        <w:trPr>
          <w:cantSplit/>
        </w:trPr>
        <w:tc>
          <w:tcPr>
            <w:tcW w:type="dxa" w:w="2592"/>
            <w:vAlign w:val="center"/>
          </w:tcPr>
          <w:p>
            <w:pPr>
              <w:keepLines/>
              <w:spacing w:lineRule="auto" w:line="276"/>
              <w:jc w:val="center"/>
            </w:pPr>
            <w:r>
              <w:rPr>
                <w:rFonts w:ascii="Times New Roman" w:hAnsi="Times New Roman" w:eastAsia="宋体"/>
                <w:b w:val="0"/>
                <w:sz w:val="18"/>
              </w:rPr>
              <w:t>储备天数</w:t>
            </w:r>
          </w:p>
        </w:tc>
        <w:tc>
          <w:tcPr>
            <w:tcW w:type="dxa" w:w="2592"/>
            <w:vAlign w:val="center"/>
          </w:tcPr>
          <w:p>
            <w:pPr>
              <w:keepLines/>
              <w:spacing w:lineRule="auto" w:line="276"/>
              <w:jc w:val="center"/>
            </w:pPr>
            <w:r>
              <w:rPr>
                <w:rFonts w:ascii="Times New Roman" w:hAnsi="Times New Roman" w:eastAsia="宋体"/>
                <w:b w:val="0"/>
                <w:sz w:val="18"/>
              </w:rPr>
              <w:t>20d</w:t>
            </w:r>
          </w:p>
        </w:tc>
        <w:tc>
          <w:tcPr>
            <w:tcW w:type="dxa" w:w="3168"/>
            <w:vAlign w:val="center"/>
          </w:tcPr>
          <w:p>
            <w:pPr>
              <w:keepLines/>
              <w:spacing w:lineRule="auto" w:line="276"/>
              <w:jc w:val="center"/>
            </w:pPr>
            <w:r>
              <w:rPr>
                <w:rFonts w:ascii="Times New Roman" w:hAnsi="Times New Roman" w:eastAsia="宋体"/>
                <w:b w:val="0"/>
                <w:sz w:val="18"/>
              </w:rPr>
              <w:t>20d</w:t>
            </w:r>
          </w:p>
        </w:tc>
      </w:tr>
      <w:tr>
        <w:trPr>
          <w:cantSplit/>
        </w:trPr>
        <w:tc>
          <w:tcPr>
            <w:tcW w:type="dxa" w:w="2592"/>
            <w:vAlign w:val="center"/>
          </w:tcPr>
          <w:p>
            <w:pPr>
              <w:keepLines/>
              <w:spacing w:lineRule="auto" w:line="276"/>
              <w:jc w:val="center"/>
            </w:pPr>
            <w:r>
              <w:rPr>
                <w:rFonts w:ascii="Times New Roman" w:hAnsi="Times New Roman" w:eastAsia="宋体"/>
                <w:b w:val="0"/>
                <w:sz w:val="18"/>
              </w:rPr>
              <w:t>有效储量</w:t>
            </w:r>
          </w:p>
        </w:tc>
        <w:tc>
          <w:tcPr>
            <w:tcW w:type="dxa" w:w="2592"/>
            <w:vAlign w:val="center"/>
          </w:tcPr>
          <w:p>
            <w:pPr>
              <w:keepLines/>
              <w:spacing w:lineRule="auto" w:line="276"/>
              <w:jc w:val="center"/>
            </w:pPr>
            <w:r>
              <w:rPr>
                <w:rFonts w:ascii="Times New Roman" w:hAnsi="Times New Roman" w:eastAsia="宋体"/>
                <w:b w:val="0"/>
                <w:sz w:val="18"/>
              </w:rPr>
              <w:t>16.44万t</w:t>
            </w:r>
          </w:p>
        </w:tc>
        <w:tc>
          <w:tcPr>
            <w:tcW w:type="dxa" w:w="3168"/>
            <w:vAlign w:val="center"/>
          </w:tcPr>
          <w:p>
            <w:pPr>
              <w:keepLines/>
              <w:spacing w:lineRule="auto" w:line="276"/>
              <w:jc w:val="center"/>
            </w:pPr>
            <w:r>
              <w:rPr>
                <w:rFonts w:ascii="Times New Roman" w:hAnsi="Times New Roman" w:eastAsia="宋体"/>
                <w:b w:val="0"/>
                <w:sz w:val="18"/>
              </w:rPr>
              <w:t>18万t</w:t>
            </w:r>
          </w:p>
        </w:tc>
      </w:tr>
      <w:tr>
        <w:trPr>
          <w:cantSplit/>
        </w:trPr>
        <w:tc>
          <w:tcPr>
            <w:tcW w:type="dxa" w:w="2592"/>
            <w:vAlign w:val="center"/>
          </w:tcPr>
          <w:p>
            <w:pPr>
              <w:keepLines/>
              <w:spacing w:lineRule="auto" w:line="276"/>
              <w:jc w:val="center"/>
            </w:pPr>
            <w:r>
              <w:rPr>
                <w:rFonts w:ascii="Times New Roman" w:hAnsi="Times New Roman" w:eastAsia="宋体"/>
                <w:b w:val="0"/>
                <w:sz w:val="18"/>
              </w:rPr>
              <w:t>堆积密度</w:t>
            </w:r>
          </w:p>
        </w:tc>
        <w:tc>
          <w:tcPr>
            <w:tcW w:type="dxa" w:w="2592"/>
            <w:vAlign w:val="center"/>
          </w:tcPr>
          <w:p>
            <w:pPr>
              <w:keepLines/>
              <w:spacing w:lineRule="auto" w:line="276"/>
              <w:jc w:val="center"/>
            </w:pPr>
            <w:r>
              <w:rPr>
                <w:rFonts w:ascii="Times New Roman" w:hAnsi="Times New Roman" w:eastAsia="宋体"/>
                <w:b w:val="0"/>
                <w:sz w:val="18"/>
              </w:rPr>
              <w:t>0.85t/m³</w:t>
            </w:r>
          </w:p>
        </w:tc>
        <w:tc>
          <w:tcPr>
            <w:tcW w:type="dxa" w:w="3168"/>
            <w:vAlign w:val="center"/>
          </w:tcPr>
          <w:p>
            <w:pPr>
              <w:keepLines/>
              <w:spacing w:lineRule="auto" w:line="276"/>
              <w:jc w:val="center"/>
            </w:pPr>
            <w:r>
              <w:rPr>
                <w:rFonts w:ascii="Times New Roman" w:hAnsi="Times New Roman" w:eastAsia="宋体"/>
                <w:b w:val="0"/>
                <w:sz w:val="18"/>
              </w:rPr>
              <w:t>0.85t/m³</w:t>
            </w:r>
          </w:p>
        </w:tc>
      </w:tr>
      <w:tr>
        <w:trPr>
          <w:cantSplit/>
        </w:trPr>
        <w:tc>
          <w:tcPr>
            <w:tcW w:type="dxa" w:w="2592"/>
            <w:vAlign w:val="center"/>
          </w:tcPr>
          <w:p>
            <w:pPr>
              <w:keepLines/>
              <w:spacing w:lineRule="auto" w:line="276"/>
              <w:jc w:val="center"/>
            </w:pPr>
            <w:r>
              <w:rPr>
                <w:rFonts w:ascii="Times New Roman" w:hAnsi="Times New Roman" w:eastAsia="宋体"/>
                <w:b w:val="0"/>
                <w:sz w:val="18"/>
              </w:rPr>
              <w:t>平均堆高</w:t>
            </w:r>
          </w:p>
        </w:tc>
        <w:tc>
          <w:tcPr>
            <w:tcW w:type="dxa" w:w="2592"/>
            <w:vAlign w:val="center"/>
          </w:tcPr>
          <w:p>
            <w:pPr>
              <w:keepLines/>
              <w:spacing w:lineRule="auto" w:line="276"/>
              <w:jc w:val="center"/>
            </w:pPr>
            <w:r>
              <w:rPr>
                <w:rFonts w:ascii="Times New Roman" w:hAnsi="Times New Roman" w:eastAsia="宋体"/>
                <w:b w:val="0"/>
                <w:sz w:val="18"/>
              </w:rPr>
              <w:t>10m</w:t>
            </w:r>
          </w:p>
        </w:tc>
        <w:tc>
          <w:tcPr>
            <w:tcW w:type="dxa" w:w="3168"/>
            <w:vAlign w:val="center"/>
          </w:tcPr>
          <w:p>
            <w:pPr>
              <w:keepLines/>
              <w:spacing w:lineRule="auto" w:line="276"/>
              <w:jc w:val="center"/>
            </w:pPr>
            <w:r>
              <w:rPr>
                <w:rFonts w:ascii="Times New Roman" w:hAnsi="Times New Roman" w:eastAsia="宋体"/>
                <w:b w:val="0"/>
                <w:sz w:val="18"/>
              </w:rPr>
              <w:t>10m</w:t>
            </w:r>
          </w:p>
        </w:tc>
      </w:tr>
      <w:tr>
        <w:trPr>
          <w:cantSplit/>
        </w:trPr>
        <w:tc>
          <w:tcPr>
            <w:tcW w:type="dxa" w:w="2592"/>
            <w:vAlign w:val="center"/>
          </w:tcPr>
          <w:p>
            <w:pPr>
              <w:keepLines/>
              <w:spacing w:lineRule="auto" w:line="276"/>
              <w:jc w:val="center"/>
            </w:pPr>
            <w:r>
              <w:rPr>
                <w:rFonts w:ascii="Times New Roman" w:hAnsi="Times New Roman" w:eastAsia="宋体"/>
                <w:b w:val="0"/>
                <w:sz w:val="18"/>
              </w:rPr>
              <w:t>有效堆存面积</w:t>
            </w:r>
          </w:p>
        </w:tc>
        <w:tc>
          <w:tcPr>
            <w:tcW w:type="dxa" w:w="2592"/>
            <w:vAlign w:val="center"/>
          </w:tcPr>
          <w:p>
            <w:pPr>
              <w:keepLines/>
              <w:spacing w:lineRule="auto" w:line="276"/>
              <w:jc w:val="center"/>
            </w:pPr>
            <w:r>
              <w:rPr>
                <w:rFonts w:ascii="Times New Roman" w:hAnsi="Times New Roman" w:eastAsia="宋体"/>
                <w:b w:val="0"/>
                <w:sz w:val="18"/>
              </w:rPr>
              <w:t>3.26万m²</w:t>
            </w:r>
          </w:p>
        </w:tc>
        <w:tc>
          <w:tcPr>
            <w:tcW w:type="dxa" w:w="3168"/>
            <w:vAlign w:val="center"/>
          </w:tcPr>
          <w:p>
            <w:pPr>
              <w:keepLines/>
              <w:spacing w:lineRule="auto" w:line="276"/>
              <w:jc w:val="center"/>
            </w:pPr>
            <w:r>
              <w:rPr>
                <w:rFonts w:ascii="Times New Roman" w:hAnsi="Times New Roman" w:eastAsia="宋体"/>
                <w:b w:val="0"/>
                <w:sz w:val="18"/>
              </w:rPr>
              <w:t>3.3万m²</w:t>
            </w:r>
          </w:p>
        </w:tc>
      </w:tr>
      <w:tr>
        <w:trPr>
          <w:cantSplit/>
        </w:trPr>
        <w:tc>
          <w:tcPr>
            <w:tcW w:type="dxa" w:w="2592"/>
            <w:vAlign w:val="center"/>
          </w:tcPr>
          <w:p>
            <w:pPr>
              <w:keepLines/>
              <w:spacing w:lineRule="auto" w:line="276"/>
              <w:jc w:val="center"/>
            </w:pPr>
            <w:r>
              <w:rPr>
                <w:rFonts w:ascii="Times New Roman" w:hAnsi="Times New Roman" w:eastAsia="宋体"/>
                <w:b w:val="0"/>
                <w:sz w:val="18"/>
              </w:rPr>
              <w:t>堆场总面积</w:t>
            </w:r>
          </w:p>
        </w:tc>
        <w:tc>
          <w:tcPr>
            <w:tcW w:type="dxa" w:w="2592"/>
            <w:vAlign w:val="center"/>
          </w:tcPr>
          <w:p>
            <w:pPr>
              <w:keepLines/>
              <w:spacing w:lineRule="auto" w:line="276"/>
              <w:jc w:val="center"/>
            </w:pPr>
            <w:r>
              <w:rPr>
                <w:rFonts w:ascii="Times New Roman" w:hAnsi="Times New Roman" w:eastAsia="宋体"/>
                <w:b w:val="0"/>
                <w:sz w:val="18"/>
              </w:rPr>
              <w:t>4.40万m²</w:t>
            </w:r>
          </w:p>
        </w:tc>
        <w:tc>
          <w:tcPr>
            <w:tcW w:type="dxa" w:w="3168"/>
            <w:vAlign w:val="center"/>
          </w:tcPr>
          <w:p>
            <w:pPr>
              <w:keepLines/>
              <w:spacing w:lineRule="auto" w:line="276"/>
              <w:jc w:val="center"/>
            </w:pPr>
            <w:r>
              <w:rPr>
                <w:rFonts w:ascii="Times New Roman" w:hAnsi="Times New Roman" w:eastAsia="宋体"/>
                <w:b w:val="0"/>
                <w:sz w:val="18"/>
              </w:rPr>
              <w:t>4.4万m²</w:t>
            </w:r>
          </w:p>
        </w:tc>
      </w:tr>
    </w:tbl>
    <w:p/>
    <w:p>
      <w:pPr>
        <w:pStyle w:val="2"/>
        <w:jc w:val="left"/>
      </w:pPr>
      <w:r>
        <w:rPr>
          <w:rFonts w:ascii="Times New Roman" w:hAnsi="Times New Roman" w:eastAsia="宋体"/>
          <w:b/>
          <w:sz w:val="24"/>
        </w:rPr>
        <w:t xml:space="preserve"> 装卸工艺系统合理性分析</w:t>
      </w:r>
    </w:p>
    <w:p>
      <w:pPr>
        <w:spacing w:lineRule="auto" w:line="360" w:before="0" w:after="0"/>
        <w:ind w:firstLine="480"/>
      </w:pPr>
      <w:r>
        <w:rPr>
          <w:rFonts w:ascii="Times New Roman" w:hAnsi="Times New Roman" w:eastAsia="宋体"/>
          <w:sz w:val="24"/>
        </w:rPr>
        <w:t>本设计装卸系统以桥式抓斗卸船机和带式输送机为核心，能够实现船舶接卸、码头转运、堆场堆取和电厂供煤的连续衔接。卸船机额定能力高于单船36h卸完的平均要求，泊位设计通过能力复核值大于年设计吞吐量，堆场容量满足20d储备量，系统具有一定冗余。带式输送机、转运站和堆场设备均按电力驱动和集中控制考虑，封闭转运、喷淋抑尘和含煤污水收集措施能够满足绿色港口和散货码头环保控制要求。</w:t>
      </w:r>
    </w:p>
    <w:p>
      <w:pPr>
        <w:spacing w:lineRule="auto" w:line="360" w:before="0" w:after="0"/>
        <w:ind w:firstLine="480"/>
      </w:pPr>
      <w:r>
        <w:rPr>
          <w:rFonts w:ascii="Times New Roman" w:hAnsi="Times New Roman" w:eastAsia="宋体"/>
          <w:sz w:val="24"/>
        </w:rPr>
        <w:t>从运行组织看，卸船机小时效率应与皮带机输送能力、堆取料机作业能力和煤场有效容量相匹配。若卸船机效率高于后方输送能力，前沿会出现料斗积煤和设备等待；若煤场容量不足，则会限制船舶连续卸煤。因此工艺系统应按“前沿卸船—水平输送—堆场调节—电厂接收”整体校核。</w:t>
      </w:r>
    </w:p>
    <w:p>
      <w:pPr>
        <w:spacing w:lineRule="auto" w:line="360" w:before="0" w:after="0"/>
        <w:ind w:firstLine="480"/>
      </w:pPr>
      <w:r>
        <w:rPr>
          <w:rFonts w:ascii="Times New Roman" w:hAnsi="Times New Roman" w:eastAsia="宋体"/>
          <w:sz w:val="24"/>
        </w:rPr>
        <w:t>从环保控制看，煤流落差大的位置应优先采用封闭转运、导料槽、喷雾抑尘和负压收尘；堆场应设置喷淋、挡风抑尘和含煤污水收集沟。雨季强降雨时，煤场初期雨水和冲洗水应进入沉淀池处理，不宜直接排入港池。</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确定了煤码头连续化装卸工艺，完成了平均小时通过能力、卸船机能力、堆场容量和堆场面积计算。设计选用2台1500t/h桥式抓斗卸船机、1400mm带式输送机和1台斗轮堆取料机，系统能力匹配，能够满足汕尾电厂燃料煤接卸、堆存和转运要求。</w:t>
      </w:r>
    </w:p>
    <w:p>
      <w:pPr>
        <w:pStyle w:val="1"/>
        <w:pageBreakBefore/>
        <w:jc w:val="center"/>
      </w:pPr>
      <w:r>
        <w:rPr>
          <w:rFonts w:ascii="Times New Roman" w:hAnsi="Times New Roman" w:eastAsia="宋体"/>
          <w:b/>
          <w:sz w:val="30"/>
        </w:rPr>
        <w:t xml:space="preserve"> 码头结构选型</w:t>
      </w:r>
    </w:p>
    <w:p>
      <w:pPr>
        <w:pStyle w:val="2"/>
        <w:jc w:val="left"/>
      </w:pPr>
      <w:r>
        <w:rPr>
          <w:rFonts w:ascii="Times New Roman" w:hAnsi="Times New Roman" w:eastAsia="宋体"/>
          <w:b/>
          <w:sz w:val="24"/>
        </w:rPr>
        <w:t xml:space="preserve"> 工程条件与结构选型依据</w:t>
      </w:r>
    </w:p>
    <w:p>
      <w:pPr>
        <w:spacing w:lineRule="auto" w:line="360" w:before="0" w:after="0"/>
        <w:ind w:firstLine="480"/>
      </w:pPr>
      <w:r>
        <w:rPr>
          <w:rFonts w:ascii="Times New Roman" w:hAnsi="Times New Roman" w:eastAsia="宋体"/>
          <w:sz w:val="24"/>
        </w:rPr>
        <w:t>结构选型应综合考虑工程水域条件、地基条件、设计船型、装卸设备荷载、使用环境、施工条件和工程造价。码头结构可采用高桩、板桩、重力式等形式，但本工程处于有掩护海域，波浪影响较小，浅部淤泥质土较厚，地基承载力低且压缩性大，因此结构方案应优先考虑减少地基处理工程量、控制不均匀沉降并便于后期检修维护。</w:t>
      </w:r>
    </w:p>
    <w:p>
      <w:pPr>
        <w:spacing w:lineRule="auto" w:line="360" w:before="0" w:after="0"/>
        <w:ind w:firstLine="480"/>
      </w:pPr>
      <w:r>
        <w:rPr>
          <w:rFonts w:ascii="Times New Roman" w:hAnsi="Times New Roman" w:eastAsia="宋体"/>
          <w:sz w:val="24"/>
        </w:rPr>
        <w:t>本次最终图纸包同时绘制了高桩梁板式方案和重力式沉箱方案。高桩方案作为推荐方案，重点体现排架、PHC管桩、梁板体系和轨道梁；沉箱方案作为比选方案，重点体现沉箱分段、箱内舱格、基床换填、胸墙和倒滤构造。正文需要与两套图纸同步，说明为什么最终选择高桩方案。</w:t>
      </w:r>
    </w:p>
    <w:p>
      <w:pPr>
        <w:spacing w:lineRule="auto" w:line="360" w:before="0" w:after="0"/>
        <w:ind w:firstLine="480"/>
      </w:pPr>
      <w:r>
        <w:rPr>
          <w:rFonts w:ascii="Times New Roman" w:hAnsi="Times New Roman" w:eastAsia="宋体"/>
          <w:sz w:val="24"/>
        </w:rPr>
        <w:t>结构选型首先受地基条件控制。浅部软弱土层较厚时，重力式结构需要大面积开挖换填和沉降控制，而高桩结构可以通过桩基把荷载传至下部较好土层或强风化岩层。其次受装卸设备控制，卸船机轨道荷载和皮带机廊道荷载要求上部结构具有明确的传力路径。</w:t>
      </w:r>
    </w:p>
    <w:p>
      <w:pPr>
        <w:pStyle w:val="2"/>
        <w:jc w:val="left"/>
      </w:pPr>
      <w:r>
        <w:rPr>
          <w:rFonts w:ascii="Times New Roman" w:hAnsi="Times New Roman" w:eastAsia="宋体"/>
          <w:b/>
          <w:sz w:val="24"/>
        </w:rPr>
        <w:t xml:space="preserve"> 方案一：高桩梁板式结构</w:t>
      </w:r>
    </w:p>
    <w:p>
      <w:pPr>
        <w:pStyle w:val="3"/>
        <w:jc w:val="left"/>
      </w:pPr>
      <w:r>
        <w:rPr>
          <w:rFonts w:ascii="Times New Roman" w:hAnsi="Times New Roman" w:eastAsia="宋体"/>
          <w:b/>
          <w:sz w:val="24"/>
        </w:rPr>
        <w:t xml:space="preserve"> 结构布置</w:t>
      </w:r>
    </w:p>
    <w:p>
      <w:pPr>
        <w:spacing w:lineRule="auto" w:line="360" w:before="0" w:after="0"/>
        <w:ind w:firstLine="480"/>
      </w:pPr>
      <w:r>
        <w:rPr>
          <w:rFonts w:ascii="Times New Roman" w:hAnsi="Times New Roman" w:eastAsia="宋体"/>
          <w:sz w:val="24"/>
        </w:rPr>
        <w:t>高桩梁板式方案采用PHC管桩作为下部基础，桩基穿透软弱土层并进入强风化花岗岩等较好持力层，上部由面板、纵梁、横梁、轨道梁、桩帽和靠船构件组成梁板式桩台。初步布置为码头宽18m，排架间距8m，每榀排架设置4根桩；有轨卸船设备的前后支腿布置在同一桩台受力体系内，便于轨道梁和排架共同受力。</w:t>
      </w:r>
    </w:p>
    <w:p>
      <w:pPr>
        <w:spacing w:before="120" w:after="0"/>
        <w:jc w:val="center"/>
      </w:pPr>
      <w:r>
        <w:drawing>
          <wp:inline xmlns:a="http://schemas.openxmlformats.org/drawingml/2006/main" xmlns:pic="http://schemas.openxmlformats.org/drawingml/2006/picture">
            <wp:extent cx="5349240" cy="3778500"/>
            <wp:docPr id="6" name="Picture 6"/>
            <wp:cNvGraphicFramePr>
              <a:graphicFrameLocks noChangeAspect="1"/>
            </wp:cNvGraphicFramePr>
            <a:graphic>
              <a:graphicData uri="http://schemas.openxmlformats.org/drawingml/2006/picture">
                <pic:pic>
                  <pic:nvPicPr>
                    <pic:cNvPr id="0" name="S-01_high_pile_plan_elevation.png"/>
                    <pic:cNvPicPr/>
                  </pic:nvPicPr>
                  <pic:blipFill>
                    <a:blip r:embed="rId35"/>
                    <a:stretch>
                      <a:fillRect/>
                    </a:stretch>
                  </pic:blipFill>
                  <pic:spPr>
                    <a:xfrm>
                      <a:off x="0" y="0"/>
                      <a:ext cx="5349240" cy="377850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图5-1 高桩梁板式方案平面及立面图</w:t>
      </w:r>
    </w:p>
    <w:p>
      <w:pPr>
        <w:spacing w:lineRule="auto" w:line="360" w:before="0" w:after="0"/>
        <w:ind w:firstLine="480"/>
      </w:pPr>
      <w:r>
        <w:rPr>
          <w:rFonts w:ascii="Times New Roman" w:hAnsi="Times New Roman" w:eastAsia="宋体"/>
          <w:sz w:val="24"/>
        </w:rPr>
        <w:t>图5-1展示了高桩方案的平面和立面布置。码头沿岸线布置，排架按8m左右间距设置，桩基纵向排列形成连续桩台，上部梁板体系承受卸船机、皮带机廊道和作业荷载。平面图能够说明结构分段、排架节奏和前沿设施布置，立面图能够说明桩基进入持力层和上部结构标高关系。</w:t>
      </w:r>
    </w:p>
    <w:p>
      <w:pPr>
        <w:pStyle w:val="3"/>
        <w:jc w:val="left"/>
      </w:pPr>
      <w:r>
        <w:rPr>
          <w:rFonts w:ascii="Times New Roman" w:hAnsi="Times New Roman" w:eastAsia="宋体"/>
          <w:b/>
          <w:sz w:val="24"/>
        </w:rPr>
        <w:t xml:space="preserve"> 方案特点</w:t>
      </w:r>
    </w:p>
    <w:p>
      <w:pPr>
        <w:spacing w:lineRule="auto" w:line="360" w:before="0" w:after="0"/>
        <w:ind w:firstLine="480"/>
      </w:pPr>
      <w:r>
        <w:rPr>
          <w:rFonts w:ascii="Times New Roman" w:hAnsi="Times New Roman" w:eastAsia="宋体"/>
          <w:sz w:val="24"/>
        </w:rPr>
        <w:t>该方案自重较轻，对软土地基适应性强，施工工艺成熟，适合有掩护水域和软弱地基条件。其主要设计控制点为桩基竖向和水平承载力、靠船与系缆水平作用下的排架内力、上部梁板承载能力、裂缝控制和海洋环境耐久性。</w:t>
      </w:r>
    </w:p>
    <w:p>
      <w:pPr>
        <w:spacing w:lineRule="auto" w:line="360" w:before="0" w:after="0"/>
        <w:ind w:firstLine="480"/>
      </w:pPr>
      <w:r>
        <w:rPr>
          <w:rFonts w:ascii="Times New Roman" w:hAnsi="Times New Roman" w:eastAsia="宋体"/>
          <w:sz w:val="24"/>
        </w:rPr>
        <w:t>高桩方案对软土的适应性主要来自桩基传力。上部荷载经面板、纵梁、横梁和桩帽传至PHC管桩，再由桩侧阻力和桩端阻力传递至深层土体。该传力路径清晰，施工时可通过试桩、沉桩记录和桩身检测控制质量。</w:t>
      </w:r>
    </w:p>
    <w:p>
      <w:pPr>
        <w:pStyle w:val="2"/>
        <w:jc w:val="left"/>
      </w:pPr>
      <w:r>
        <w:rPr>
          <w:rFonts w:ascii="Times New Roman" w:hAnsi="Times New Roman" w:eastAsia="宋体"/>
          <w:b/>
          <w:sz w:val="24"/>
        </w:rPr>
        <w:t xml:space="preserve"> 方案二：重力式沉箱结构</w:t>
      </w:r>
    </w:p>
    <w:p>
      <w:pPr>
        <w:pStyle w:val="3"/>
        <w:jc w:val="left"/>
      </w:pPr>
      <w:r>
        <w:rPr>
          <w:rFonts w:ascii="Times New Roman" w:hAnsi="Times New Roman" w:eastAsia="宋体"/>
          <w:b/>
          <w:sz w:val="24"/>
        </w:rPr>
        <w:t xml:space="preserve"> 结构布置</w:t>
      </w:r>
    </w:p>
    <w:p>
      <w:pPr>
        <w:spacing w:lineRule="auto" w:line="360" w:before="0" w:after="0"/>
        <w:ind w:firstLine="480"/>
      </w:pPr>
      <w:r>
        <w:rPr>
          <w:rFonts w:ascii="Times New Roman" w:hAnsi="Times New Roman" w:eastAsia="宋体"/>
          <w:sz w:val="24"/>
        </w:rPr>
        <w:t>重力式沉箱方案采用钢筋混凝土沉箱作为主体结构，沉箱内填块石，底部设置抛石基床并进行基础处理。码头前沿通过沉箱自重和基床摩阻抵抗水平作用，后方回填形成陆域。</w:t>
      </w:r>
    </w:p>
    <w:p>
      <w:pPr>
        <w:spacing w:before="120" w:after="0"/>
        <w:jc w:val="center"/>
      </w:pPr>
      <w:r>
        <w:drawing>
          <wp:inline xmlns:a="http://schemas.openxmlformats.org/drawingml/2006/main" xmlns:pic="http://schemas.openxmlformats.org/drawingml/2006/picture">
            <wp:extent cx="5349240" cy="3778500"/>
            <wp:docPr id="7" name="Picture 7"/>
            <wp:cNvGraphicFramePr>
              <a:graphicFrameLocks noChangeAspect="1"/>
            </wp:cNvGraphicFramePr>
            <a:graphic>
              <a:graphicData uri="http://schemas.openxmlformats.org/drawingml/2006/picture">
                <pic:pic>
                  <pic:nvPicPr>
                    <pic:cNvPr id="0" name="S-03_caisson_plan_elevation.png"/>
                    <pic:cNvPicPr/>
                  </pic:nvPicPr>
                  <pic:blipFill>
                    <a:blip r:embed="rId36"/>
                    <a:stretch>
                      <a:fillRect/>
                    </a:stretch>
                  </pic:blipFill>
                  <pic:spPr>
                    <a:xfrm>
                      <a:off x="0" y="0"/>
                      <a:ext cx="5349240" cy="377850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图5-2 重力式沉箱方案平面及立面图</w:t>
      </w:r>
    </w:p>
    <w:p>
      <w:pPr>
        <w:spacing w:lineRule="auto" w:line="360" w:before="0" w:after="0"/>
        <w:ind w:firstLine="480"/>
      </w:pPr>
      <w:r>
        <w:rPr>
          <w:rFonts w:ascii="Times New Roman" w:hAnsi="Times New Roman" w:eastAsia="宋体"/>
          <w:sz w:val="24"/>
        </w:rPr>
        <w:t>图5-2展示了沉箱方案的平面和立面。图纸中沉箱按约20m单元分段，箱内设置舱格并通过胸墙连接形成连续岸壁。该方案在图纸表达上完整，但对地基处理和基床坐落要求明显高于高桩方案。</w:t>
      </w:r>
    </w:p>
    <w:p>
      <w:pPr>
        <w:pStyle w:val="3"/>
        <w:jc w:val="left"/>
      </w:pPr>
      <w:r>
        <w:rPr>
          <w:rFonts w:ascii="Times New Roman" w:hAnsi="Times New Roman" w:eastAsia="宋体"/>
          <w:b/>
          <w:sz w:val="24"/>
        </w:rPr>
        <w:t xml:space="preserve"> 方案特点</w:t>
      </w:r>
    </w:p>
    <w:p>
      <w:pPr>
        <w:spacing w:lineRule="auto" w:line="360" w:before="0" w:after="0"/>
        <w:ind w:firstLine="480"/>
      </w:pPr>
      <w:r>
        <w:rPr>
          <w:rFonts w:ascii="Times New Roman" w:hAnsi="Times New Roman" w:eastAsia="宋体"/>
          <w:sz w:val="24"/>
        </w:rPr>
        <w:t>重力式沉箱结构整体性和耐久性较好，适合地基承载力较高、基床处理条件较好的区域。但本工程浅部软弱土层较厚，若采用沉箱结构，需要进行水下开挖、换填和基床处理，工程量较大，沉降控制难度较高。</w:t>
      </w:r>
    </w:p>
    <w:p>
      <w:pPr>
        <w:spacing w:before="120" w:after="0"/>
        <w:jc w:val="center"/>
      </w:pPr>
      <w:r>
        <w:drawing>
          <wp:inline xmlns:a="http://schemas.openxmlformats.org/drawingml/2006/main" xmlns:pic="http://schemas.openxmlformats.org/drawingml/2006/picture">
            <wp:extent cx="5349240" cy="3778500"/>
            <wp:docPr id="8" name="Picture 8"/>
            <wp:cNvGraphicFramePr>
              <a:graphicFrameLocks noChangeAspect="1"/>
            </wp:cNvGraphicFramePr>
            <a:graphic>
              <a:graphicData uri="http://schemas.openxmlformats.org/drawingml/2006/picture">
                <pic:pic>
                  <pic:nvPicPr>
                    <pic:cNvPr id="0" name="S-04_caisson_section_detail_rebar.png"/>
                    <pic:cNvPicPr/>
                  </pic:nvPicPr>
                  <pic:blipFill>
                    <a:blip r:embed="rId37"/>
                    <a:stretch>
                      <a:fillRect/>
                    </a:stretch>
                  </pic:blipFill>
                  <pic:spPr>
                    <a:xfrm>
                      <a:off x="0" y="0"/>
                      <a:ext cx="5349240" cy="377850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图5-3 重力式沉箱方案断面、细部构造及代表配筋图</w:t>
      </w:r>
    </w:p>
    <w:p>
      <w:pPr>
        <w:spacing w:lineRule="auto" w:line="360" w:before="0" w:after="0"/>
        <w:ind w:firstLine="480"/>
      </w:pPr>
      <w:r>
        <w:rPr>
          <w:rFonts w:ascii="Times New Roman" w:hAnsi="Times New Roman" w:eastAsia="宋体"/>
          <w:sz w:val="24"/>
        </w:rPr>
        <w:t>图5-3显示沉箱方案需要设置基床、换填层、胸墙、倒滤层和代表配筋。由于场区浅部软土承载力较低，沉箱结构不能直接坐落在软土上，必须先形成可靠基床并复核抗滑、抗倾覆、基床承载力和沉降。由此可见，该方案虽然整体性较好，但施工和地基处理工作量更大。</w:t>
      </w:r>
    </w:p>
    <w:p>
      <w:pPr>
        <w:spacing w:before="120" w:after="0"/>
        <w:jc w:val="center"/>
      </w:pPr>
      <w:r>
        <w:drawing>
          <wp:inline xmlns:a="http://schemas.openxmlformats.org/drawingml/2006/main" xmlns:pic="http://schemas.openxmlformats.org/drawingml/2006/picture">
            <wp:extent cx="5349240" cy="3566160"/>
            <wp:docPr id="9" name="Picture 9"/>
            <wp:cNvGraphicFramePr>
              <a:graphicFrameLocks noChangeAspect="1"/>
            </wp:cNvGraphicFramePr>
            <a:graphic>
              <a:graphicData uri="http://schemas.openxmlformats.org/drawingml/2006/picture">
                <pic:pic>
                  <pic:nvPicPr>
                    <pic:cNvPr id="0" name="fig5-4-caisson-stability-check.png"/>
                    <pic:cNvPicPr/>
                  </pic:nvPicPr>
                  <pic:blipFill>
                    <a:blip r:embed="rId38"/>
                    <a:stretch>
                      <a:fillRect/>
                    </a:stretch>
                  </pic:blipFill>
                  <pic:spPr>
                    <a:xfrm>
                      <a:off x="0" y="0"/>
                      <a:ext cx="5349240" cy="356616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图5-4 沉箱方案稳定验算受力示意</w:t>
      </w:r>
    </w:p>
    <w:p>
      <w:pPr>
        <w:spacing w:lineRule="auto" w:line="360" w:before="0" w:after="0"/>
        <w:ind w:firstLine="480"/>
      </w:pPr>
      <w:r>
        <w:rPr>
          <w:rFonts w:ascii="Times New Roman" w:hAnsi="Times New Roman" w:eastAsia="宋体"/>
          <w:sz w:val="24"/>
        </w:rPr>
        <w:t>图5-4把沉箱方案需要复核的主要作用集中表示出来，包括墙后主动土压力、堆载附加土压力、基床摩阻、抗滑力、抗倾覆力矩和基底应力分布。该图说明沉箱方案的计算工作并非只比较材料用量，还必须完成抗滑、抗倾覆、基床承载力和软基换填工程量复核。</w:t>
      </w:r>
    </w:p>
    <w:p>
      <w:pPr>
        <w:pStyle w:val="2"/>
        <w:jc w:val="left"/>
      </w:pPr>
      <w:r>
        <w:rPr>
          <w:rFonts w:ascii="Times New Roman" w:hAnsi="Times New Roman" w:eastAsia="宋体"/>
          <w:b/>
          <w:sz w:val="24"/>
        </w:rPr>
        <w:t xml:space="preserve"> 结构方案比选</w:t>
      </w:r>
    </w:p>
    <w:p>
      <w:pPr>
        <w:pStyle w:val="3"/>
        <w:jc w:val="left"/>
      </w:pPr>
      <w:r>
        <w:rPr>
          <w:rFonts w:ascii="Times New Roman" w:hAnsi="Times New Roman" w:eastAsia="宋体"/>
          <w:b/>
          <w:sz w:val="24"/>
        </w:rPr>
        <w:t xml:space="preserve"> 技术可行性比选</w:t>
      </w:r>
    </w:p>
    <w:p>
      <w:pPr>
        <w:spacing w:lineRule="auto" w:line="360" w:before="0" w:after="0"/>
        <w:ind w:firstLine="480"/>
      </w:pPr>
      <w:r>
        <w:rPr>
          <w:rFonts w:ascii="Times New Roman" w:hAnsi="Times New Roman" w:eastAsia="宋体"/>
          <w:sz w:val="24"/>
        </w:rPr>
        <w:t>从地基适应性看，高桩梁板式结构可通过桩基将荷载传递至深层持力层，避免大面积换填处理；重力式沉箱结构对基床稳定和地基承载力要求较高。从施工条件看，高桩结构可采用打桩船和常规上部结构施工工艺，受软土地基影响较小；沉箱方案需要预制场、浮运、沉放和基床整平，组织难度较大。</w:t>
      </w:r>
    </w:p>
    <w:p>
      <w:pPr>
        <w:spacing w:lineRule="auto" w:line="360" w:before="0" w:after="0"/>
        <w:ind w:firstLine="480"/>
      </w:pPr>
      <w:r>
        <w:rPr>
          <w:rFonts w:ascii="Times New Roman" w:hAnsi="Times New Roman" w:eastAsia="宋体"/>
          <w:sz w:val="24"/>
        </w:rPr>
        <w:t>从最终图纸对比看，高桩方案与软土地基条件更匹配，图纸中的桩基可穿越软弱土层进入较好持力层；沉箱方案则需要依靠大体积换填和基床处理形成承载条件。对于电厂配套煤码头，连续运行可靠性和施工可控性比单纯岸壁整体性更重要。</w:t>
      </w:r>
    </w:p>
    <w:p>
      <w:pPr>
        <w:spacing w:lineRule="auto" w:line="360" w:before="0" w:after="0"/>
        <w:ind w:firstLine="480"/>
      </w:pPr>
      <w:r>
        <w:rPr>
          <w:rFonts w:ascii="Times New Roman" w:hAnsi="Times New Roman" w:eastAsia="宋体"/>
          <w:sz w:val="24"/>
        </w:rPr>
        <w:t>按图5-4所示受力关系，沉箱结构要依靠自重、箱内填料和基床摩阻抵抗水平土压力。若软弱土层未彻底处理，基床下卧层承载力和沉降会成为控制因素；高桩结构则通过桩基把荷载传至深部持力层，受软弱覆盖层压缩性的影响较小。</w:t>
      </w:r>
    </w:p>
    <w:p>
      <w:pPr>
        <w:pStyle w:val="3"/>
        <w:jc w:val="left"/>
      </w:pPr>
      <w:r>
        <w:rPr>
          <w:rFonts w:ascii="Times New Roman" w:hAnsi="Times New Roman" w:eastAsia="宋体"/>
          <w:b/>
          <w:sz w:val="24"/>
        </w:rPr>
        <w:t xml:space="preserve"> 经济性比选</w:t>
      </w:r>
    </w:p>
    <w:p>
      <w:pPr>
        <w:spacing w:lineRule="auto" w:line="360" w:before="0" w:after="0"/>
        <w:ind w:firstLine="480"/>
      </w:pPr>
      <w:r>
        <w:rPr>
          <w:rFonts w:ascii="Times New Roman" w:hAnsi="Times New Roman" w:eastAsia="宋体"/>
          <w:sz w:val="24"/>
        </w:rPr>
        <w:t>高桩梁板式结构桩基数量较多，但基础处理工程量较小，施工工期相对可控。重力式沉箱结构主体材料量较大，水下基床处理和地基加固费用较高，且软土沉降风险会增加后期维护成本。</w:t>
      </w:r>
    </w:p>
    <w:p>
      <w:pPr>
        <w:spacing w:lineRule="auto" w:line="360" w:before="0" w:after="0"/>
        <w:ind w:firstLine="480"/>
      </w:pPr>
      <w:r>
        <w:rPr>
          <w:rFonts w:ascii="Times New Roman" w:hAnsi="Times New Roman" w:eastAsia="宋体"/>
          <w:sz w:val="24"/>
        </w:rPr>
        <w:t>经济性比较应同时考虑直接工程量和风险工程量。沉箱方案的混凝土主体较直观，但软基换填、基床整平、沉箱预制浮运和沉降处理会增加综合成本；高桩方案桩基数量较多，但可减少大面积水下换填和基槽开挖，施工窗口更灵活。</w:t>
      </w:r>
    </w:p>
    <w:p>
      <w:pPr>
        <w:spacing w:lineRule="auto" w:line="360" w:before="0" w:after="0"/>
        <w:ind w:firstLine="480"/>
      </w:pPr>
      <w:r>
        <w:rPr>
          <w:rFonts w:ascii="Times New Roman" w:hAnsi="Times New Roman" w:eastAsia="宋体"/>
          <w:sz w:val="24"/>
        </w:rPr>
        <w:t>为使结构比选具有可计算依据，沉箱方案按260m泊位长度、20m单元长度、12m结构宽度和14m墙身高度进行初步复核。沉箱底部需设置换填层和抛石基床，墙后堆载及填土压力共同控制抗滑、抗倾覆和基底应力。</w:t>
      </w:r>
    </w:p>
    <w:p>
      <w:pPr>
        <w:tabs>
          <w:tab w:pos="4100" w:val="center"/>
          <w:tab w:pos="8200" w:val="right"/>
        </w:tabs>
        <w:spacing w:lineRule="auto" w:line="360" w:before="0" w:after="0"/>
        <w:jc w:val="left"/>
      </w:pPr>
      <w:r>
        <w:tab/>
      </w:r>
      <m:oMath>
        <m:sSub>
          <m:e>
            <m:r>
              <m:t>n</m:t>
            </m:r>
          </m:e>
          <m:sub>
            <m:r>
              <m:t>c</m:t>
            </m:r>
          </m:sub>
        </m:sSub>
        <m:r>
          <m:rPr>
            <m:sty m:val="p"/>
          </m:rPr>
          <m:t>=</m:t>
        </m:r>
        <m:f>
          <m:fPr>
            <m:type m:val="bar"/>
          </m:fPr>
          <m:num>
            <m:r>
              <m:t>260</m:t>
            </m:r>
          </m:num>
          <m:den>
            <m:r>
              <m:t>20</m:t>
            </m:r>
          </m:den>
        </m:f>
        <m:r>
          <m:rPr>
            <m:sty m:val="p"/>
          </m:rPr>
          <m:t>=</m:t>
        </m:r>
        <m:r>
          <m:t>13</m:t>
        </m:r>
      </m:oMath>
      <w:r>
        <w:rPr>
          <w:rFonts w:ascii="Times New Roman" w:hAnsi="Times New Roman" w:eastAsia="宋体"/>
          <w:sz w:val="24"/>
        </w:rPr>
        <w:tab/>
        <w:t>(5.1)</w:t>
      </w:r>
    </w:p>
    <w:p>
      <w:pPr>
        <w:tabs>
          <w:tab w:pos="4100" w:val="center"/>
          <w:tab w:pos="8200" w:val="right"/>
        </w:tabs>
        <w:spacing w:lineRule="auto" w:line="360" w:before="0" w:after="0"/>
        <w:jc w:val="left"/>
      </w:pPr>
      <w:r>
        <w:tab/>
      </w:r>
      <m:oMath>
        <m:sSub>
          <m:e>
            <m:r>
              <m:t>V</m:t>
            </m:r>
          </m:e>
          <m:sub>
            <m:r>
              <m:t>r</m:t>
            </m:r>
          </m:sub>
        </m:sSub>
        <m:r>
          <m:rPr>
            <m:sty m:val="p"/>
          </m:rPr>
          <m:t>=</m:t>
        </m:r>
        <m:sSub>
          <m:e>
            <m:r>
              <m:t>L</m:t>
            </m:r>
          </m:e>
          <m:sub>
            <m:r>
              <m:t>b</m:t>
            </m:r>
          </m:sub>
        </m:sSub>
        <m:sSub>
          <m:e>
            <m:r>
              <m:t>B</m:t>
            </m:r>
          </m:e>
          <m:sub>
            <m:r>
              <m:t>r</m:t>
            </m:r>
          </m:sub>
        </m:sSub>
        <m:sSub>
          <m:e>
            <m:r>
              <m:t>h</m:t>
            </m:r>
          </m:e>
          <m:sub>
            <m:r>
              <m:t>r</m:t>
            </m:r>
          </m:sub>
        </m:sSub>
        <m:r>
          <m:rPr>
            <m:sty m:val="p"/>
          </m:rPr>
          <m:t>=</m:t>
        </m:r>
        <m:r>
          <m:t>260</m:t>
        </m:r>
        <m:r>
          <m:rPr>
            <m:sty m:val="p"/>
          </m:rPr>
          <m:t>×</m:t>
        </m:r>
        <m:r>
          <m:t>18</m:t>
        </m:r>
        <m:r>
          <m:rPr>
            <m:sty m:val="p"/>
          </m:rPr>
          <m:t>×</m:t>
        </m:r>
        <m:r>
          <m:t>4</m:t>
        </m:r>
        <m:r>
          <m:rPr>
            <m:sty m:val="p"/>
          </m:rPr>
          <m:t>=</m:t>
        </m:r>
        <m:r>
          <m:t>18720</m:t>
        </m:r>
        <m:r>
          <m:t> </m:t>
        </m:r>
        <m:sSup>
          <m:e>
            <m:r>
              <m:rPr>
                <m:sty m:val="p"/>
              </m:rPr>
              <m:t>m</m:t>
            </m:r>
          </m:e>
          <m:sup>
            <m:r>
              <m:rPr>
                <m:sty m:val="p"/>
              </m:rPr>
              <m:t>3</m:t>
            </m:r>
          </m:sup>
        </m:sSup>
      </m:oMath>
      <w:r>
        <w:rPr>
          <w:rFonts w:ascii="Times New Roman" w:hAnsi="Times New Roman" w:eastAsia="宋体"/>
          <w:sz w:val="24"/>
        </w:rPr>
        <w:tab/>
        <w:t>(5.2)</w:t>
      </w:r>
    </w:p>
    <w:p>
      <w:pPr>
        <w:tabs>
          <w:tab w:pos="4100" w:val="center"/>
          <w:tab w:pos="8200" w:val="right"/>
        </w:tabs>
        <w:spacing w:lineRule="auto" w:line="360" w:before="0" w:after="0"/>
        <w:jc w:val="left"/>
      </w:pPr>
      <w:r>
        <w:tab/>
      </w:r>
      <m:oMath>
        <m:sSub>
          <m:e>
            <m:r>
              <m:t>V</m:t>
            </m:r>
          </m:e>
          <m:sub>
            <m:r>
              <m:t>b</m:t>
            </m:r>
          </m:sub>
        </m:sSub>
        <m:r>
          <m:rPr>
            <m:sty m:val="p"/>
          </m:rPr>
          <m:t>=</m:t>
        </m:r>
        <m:sSub>
          <m:e>
            <m:r>
              <m:t>L</m:t>
            </m:r>
          </m:e>
          <m:sub>
            <m:r>
              <m:t>b</m:t>
            </m:r>
          </m:sub>
        </m:sSub>
        <m:sSub>
          <m:e>
            <m:r>
              <m:t>B</m:t>
            </m:r>
          </m:e>
          <m:sub>
            <m:r>
              <m:t>b</m:t>
            </m:r>
          </m:sub>
        </m:sSub>
        <m:sSub>
          <m:e>
            <m:r>
              <m:t>h</m:t>
            </m:r>
          </m:e>
          <m:sub>
            <m:r>
              <m:t>b</m:t>
            </m:r>
          </m:sub>
        </m:sSub>
        <m:r>
          <m:rPr>
            <m:sty m:val="p"/>
          </m:rPr>
          <m:t>=</m:t>
        </m:r>
        <m:r>
          <m:t>260</m:t>
        </m:r>
        <m:r>
          <m:rPr>
            <m:sty m:val="p"/>
          </m:rPr>
          <m:t>×</m:t>
        </m:r>
        <m:r>
          <m:t>16</m:t>
        </m:r>
        <m:r>
          <m:rPr>
            <m:sty m:val="p"/>
          </m:rPr>
          <m:t>×</m:t>
        </m:r>
        <m:r>
          <m:t>2</m:t>
        </m:r>
        <m:r>
          <m:rPr>
            <m:sty m:val="p"/>
          </m:rPr>
          <m:t>=</m:t>
        </m:r>
        <m:r>
          <m:t>8320</m:t>
        </m:r>
        <m:r>
          <m:t> </m:t>
        </m:r>
        <m:sSup>
          <m:e>
            <m:r>
              <m:rPr>
                <m:sty m:val="p"/>
              </m:rPr>
              <m:t>m</m:t>
            </m:r>
          </m:e>
          <m:sup>
            <m:r>
              <m:rPr>
                <m:sty m:val="p"/>
              </m:rPr>
              <m:t>3</m:t>
            </m:r>
          </m:sup>
        </m:sSup>
      </m:oMath>
      <w:r>
        <w:rPr>
          <w:rFonts w:ascii="Times New Roman" w:hAnsi="Times New Roman" w:eastAsia="宋体"/>
          <w:sz w:val="24"/>
        </w:rPr>
        <w:tab/>
        <w:t>(5.3)</w:t>
      </w:r>
    </w:p>
    <w:p>
      <w:pPr>
        <w:tabs>
          <w:tab w:pos="4100" w:val="center"/>
          <w:tab w:pos="8200" w:val="right"/>
        </w:tabs>
        <w:spacing w:lineRule="auto" w:line="360" w:before="0" w:after="0"/>
        <w:jc w:val="left"/>
      </w:pPr>
      <w:r>
        <w:tab/>
      </w:r>
      <m:oMath>
        <m:sSub>
          <m:e>
            <m:r>
              <m:t>E</m:t>
            </m:r>
          </m:e>
          <m:sub>
            <m:r>
              <m:t>a</m:t>
            </m:r>
          </m:sub>
        </m:sSub>
        <m:r>
          <m:rPr>
            <m:sty m:val="p"/>
          </m:rPr>
          <m:t>=</m:t>
        </m:r>
        <m:r>
          <m:t>0.5</m:t>
        </m:r>
        <m:sSub>
          <m:e>
            <m:r>
              <m:t>K</m:t>
            </m:r>
          </m:e>
          <m:sub>
            <m:r>
              <m:t>a</m:t>
            </m:r>
          </m:sub>
        </m:sSub>
        <m:sSup>
          <m:e>
            <m:r>
              <m:t>γ</m:t>
            </m:r>
          </m:e>
          <m:sup>
            <m:r>
              <m:rPr>
                <m:sty m:val="p"/>
              </m:rPr>
              <m:t>′</m:t>
            </m:r>
          </m:sup>
        </m:sSup>
        <m:sSup>
          <m:e>
            <m:r>
              <m:t>H</m:t>
            </m:r>
          </m:e>
          <m:sup>
            <m:r>
              <m:t>2</m:t>
            </m:r>
          </m:sup>
        </m:sSup>
        <m:r>
          <m:t>l</m:t>
        </m:r>
        <m:r>
          <m:rPr>
            <m:sty m:val="p"/>
          </m:rPr>
          <m:t>=</m:t>
        </m:r>
        <m:r>
          <m:t>0.5</m:t>
        </m:r>
        <m:r>
          <m:rPr>
            <m:sty m:val="p"/>
          </m:rPr>
          <m:t>×</m:t>
        </m:r>
        <m:r>
          <m:t>0.33</m:t>
        </m:r>
        <m:r>
          <m:rPr>
            <m:sty m:val="p"/>
          </m:rPr>
          <m:t>×</m:t>
        </m:r>
        <m:r>
          <m:t>10</m:t>
        </m:r>
        <m:r>
          <m:rPr>
            <m:sty m:val="p"/>
          </m:rPr>
          <m:t>×</m:t>
        </m:r>
        <m:sSup>
          <m:e>
            <m:r>
              <m:t>14</m:t>
            </m:r>
          </m:e>
          <m:sup>
            <m:r>
              <m:t>2</m:t>
            </m:r>
          </m:sup>
        </m:sSup>
        <m:r>
          <m:rPr>
            <m:sty m:val="p"/>
          </m:rPr>
          <m:t>×</m:t>
        </m:r>
        <m:r>
          <m:t>20</m:t>
        </m:r>
        <m:r>
          <m:rPr>
            <m:sty m:val="p"/>
          </m:rPr>
          <m:t>=</m:t>
        </m:r>
        <m:r>
          <m:t>6468</m:t>
        </m:r>
        <m:r>
          <m:t> </m:t>
        </m:r>
        <m:r>
          <m:rPr>
            <m:sty m:val="p"/>
          </m:rPr>
          <m:t>k</m:t>
        </m:r>
        <m:r>
          <m:rPr>
            <m:sty m:val="p"/>
          </m:rPr>
          <m:t>N</m:t>
        </m:r>
      </m:oMath>
      <w:r>
        <w:rPr>
          <w:rFonts w:ascii="Times New Roman" w:hAnsi="Times New Roman" w:eastAsia="宋体"/>
          <w:sz w:val="24"/>
        </w:rPr>
        <w:tab/>
        <w:t>(5.4)</w:t>
      </w:r>
    </w:p>
    <w:p>
      <w:pPr>
        <w:tabs>
          <w:tab w:pos="4100" w:val="center"/>
          <w:tab w:pos="8200" w:val="right"/>
        </w:tabs>
        <w:spacing w:lineRule="auto" w:line="360" w:before="0" w:after="0"/>
        <w:jc w:val="left"/>
      </w:pPr>
      <w:r>
        <w:tab/>
      </w:r>
      <m:oMath>
        <m:sSub>
          <m:e>
            <m:r>
              <m:t>E</m:t>
            </m:r>
          </m:e>
          <m:sub>
            <m:r>
              <m:t>q</m:t>
            </m:r>
          </m:sub>
        </m:sSub>
        <m:r>
          <m:rPr>
            <m:sty m:val="p"/>
          </m:rPr>
          <m:t>=</m:t>
        </m:r>
        <m:sSub>
          <m:e>
            <m:r>
              <m:t>K</m:t>
            </m:r>
          </m:e>
          <m:sub>
            <m:r>
              <m:t>a</m:t>
            </m:r>
          </m:sub>
        </m:sSub>
        <m:r>
          <m:t>q</m:t>
        </m:r>
        <m:r>
          <m:t>H</m:t>
        </m:r>
        <m:r>
          <m:t>l</m:t>
        </m:r>
        <m:r>
          <m:rPr>
            <m:sty m:val="p"/>
          </m:rPr>
          <m:t>=</m:t>
        </m:r>
        <m:r>
          <m:t>0.33</m:t>
        </m:r>
        <m:r>
          <m:rPr>
            <m:sty m:val="p"/>
          </m:rPr>
          <m:t>×</m:t>
        </m:r>
        <m:r>
          <m:t>50</m:t>
        </m:r>
        <m:r>
          <m:rPr>
            <m:sty m:val="p"/>
          </m:rPr>
          <m:t>×</m:t>
        </m:r>
        <m:r>
          <m:t>14</m:t>
        </m:r>
        <m:r>
          <m:rPr>
            <m:sty m:val="p"/>
          </m:rPr>
          <m:t>×</m:t>
        </m:r>
        <m:r>
          <m:t>20</m:t>
        </m:r>
        <m:r>
          <m:rPr>
            <m:sty m:val="p"/>
          </m:rPr>
          <m:t>=</m:t>
        </m:r>
        <m:r>
          <m:t>4620</m:t>
        </m:r>
        <m:r>
          <m:t> </m:t>
        </m:r>
        <m:r>
          <m:rPr>
            <m:sty m:val="p"/>
          </m:rPr>
          <m:t>k</m:t>
        </m:r>
        <m:r>
          <m:rPr>
            <m:sty m:val="p"/>
          </m:rPr>
          <m:t>N</m:t>
        </m:r>
      </m:oMath>
      <w:r>
        <w:rPr>
          <w:rFonts w:ascii="Times New Roman" w:hAnsi="Times New Roman" w:eastAsia="宋体"/>
          <w:sz w:val="24"/>
        </w:rPr>
        <w:tab/>
        <w:t>(5.5)</w:t>
      </w:r>
    </w:p>
    <w:p>
      <w:pPr>
        <w:keepNext/>
        <w:spacing w:lineRule="auto" w:line="300" w:before="0" w:after="120"/>
        <w:jc w:val="center"/>
      </w:pPr>
      <w:r>
        <w:rPr>
          <w:rFonts w:ascii="Times New Roman" w:hAnsi="Times New Roman" w:eastAsia="宋体"/>
          <w:b w:val="0"/>
          <w:sz w:val="20"/>
        </w:rPr>
        <w:t>表5-1 沉箱比选方案稳定与工程量估算</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76"/>
        <w:gridCol w:w="2016"/>
        <w:gridCol w:w="3960"/>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计算项目</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结果</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对方案选择的影响</w:t>
            </w:r>
          </w:p>
        </w:tc>
      </w:tr>
      <w:tr>
        <w:trPr>
          <w:cantSplit/>
        </w:trPr>
        <w:tc>
          <w:tcPr>
            <w:tcW w:type="dxa" w:w="2376"/>
            <w:vAlign w:val="center"/>
          </w:tcPr>
          <w:p>
            <w:pPr>
              <w:keepLines/>
              <w:spacing w:lineRule="auto" w:line="276"/>
              <w:jc w:val="center"/>
            </w:pPr>
            <w:r>
              <w:rPr>
                <w:rFonts w:ascii="Times New Roman" w:hAnsi="Times New Roman" w:eastAsia="宋体"/>
                <w:b w:val="0"/>
                <w:sz w:val="18"/>
              </w:rPr>
              <w:t>沉箱单元数量</w:t>
            </w:r>
          </w:p>
        </w:tc>
        <w:tc>
          <w:tcPr>
            <w:tcW w:type="dxa" w:w="2016"/>
            <w:vAlign w:val="center"/>
          </w:tcPr>
          <w:p>
            <w:pPr>
              <w:keepLines/>
              <w:spacing w:lineRule="auto" w:line="276"/>
              <w:jc w:val="center"/>
            </w:pPr>
            <w:r>
              <w:rPr>
                <w:rFonts w:ascii="Times New Roman" w:hAnsi="Times New Roman" w:eastAsia="宋体"/>
                <w:b w:val="0"/>
                <w:sz w:val="18"/>
              </w:rPr>
              <w:t>13座</w:t>
            </w:r>
          </w:p>
        </w:tc>
        <w:tc>
          <w:tcPr>
            <w:tcW w:type="dxa" w:w="3960"/>
            <w:vAlign w:val="center"/>
          </w:tcPr>
          <w:p>
            <w:pPr>
              <w:keepLines/>
              <w:spacing w:lineRule="auto" w:line="276"/>
              <w:jc w:val="center"/>
            </w:pPr>
            <w:r>
              <w:rPr>
                <w:rFonts w:ascii="Times New Roman" w:hAnsi="Times New Roman" w:eastAsia="宋体"/>
                <w:b w:val="0"/>
                <w:sz w:val="18"/>
              </w:rPr>
              <w:t>构件预制、浮运和沉放工作量较大</w:t>
            </w:r>
          </w:p>
        </w:tc>
      </w:tr>
      <w:tr>
        <w:trPr>
          <w:cantSplit/>
        </w:trPr>
        <w:tc>
          <w:tcPr>
            <w:tcW w:type="dxa" w:w="2376"/>
            <w:vAlign w:val="center"/>
          </w:tcPr>
          <w:p>
            <w:pPr>
              <w:keepLines/>
              <w:spacing w:lineRule="auto" w:line="276"/>
              <w:jc w:val="center"/>
            </w:pPr>
            <w:r>
              <w:rPr>
                <w:rFonts w:ascii="Times New Roman" w:hAnsi="Times New Roman" w:eastAsia="宋体"/>
                <w:b w:val="0"/>
                <w:sz w:val="18"/>
              </w:rPr>
              <w:t>软基换填量</w:t>
            </w:r>
          </w:p>
        </w:tc>
        <w:tc>
          <w:tcPr>
            <w:tcW w:type="dxa" w:w="2016"/>
            <w:vAlign w:val="center"/>
          </w:tcPr>
          <w:p>
            <w:pPr>
              <w:keepLines/>
              <w:spacing w:lineRule="auto" w:line="276"/>
              <w:jc w:val="center"/>
            </w:pPr>
            <w:r>
              <w:rPr>
                <w:rFonts w:ascii="Times New Roman" w:hAnsi="Times New Roman" w:eastAsia="宋体"/>
                <w:b w:val="0"/>
                <w:sz w:val="18"/>
              </w:rPr>
              <w:t>约18720m³</w:t>
            </w:r>
          </w:p>
        </w:tc>
        <w:tc>
          <w:tcPr>
            <w:tcW w:type="dxa" w:w="3960"/>
            <w:vAlign w:val="center"/>
          </w:tcPr>
          <w:p>
            <w:pPr>
              <w:keepLines/>
              <w:spacing w:lineRule="auto" w:line="276"/>
              <w:jc w:val="center"/>
            </w:pPr>
            <w:r>
              <w:rPr>
                <w:rFonts w:ascii="Times New Roman" w:hAnsi="Times New Roman" w:eastAsia="宋体"/>
                <w:b w:val="0"/>
                <w:sz w:val="18"/>
              </w:rPr>
              <w:t>水下地基处理工程量明显</w:t>
            </w:r>
          </w:p>
        </w:tc>
      </w:tr>
      <w:tr>
        <w:trPr>
          <w:cantSplit/>
        </w:trPr>
        <w:tc>
          <w:tcPr>
            <w:tcW w:type="dxa" w:w="2376"/>
            <w:vAlign w:val="center"/>
          </w:tcPr>
          <w:p>
            <w:pPr>
              <w:keepLines/>
              <w:spacing w:lineRule="auto" w:line="276"/>
              <w:jc w:val="center"/>
            </w:pPr>
            <w:r>
              <w:rPr>
                <w:rFonts w:ascii="Times New Roman" w:hAnsi="Times New Roman" w:eastAsia="宋体"/>
                <w:b w:val="0"/>
                <w:sz w:val="18"/>
              </w:rPr>
              <w:t>抛石基床量</w:t>
            </w:r>
          </w:p>
        </w:tc>
        <w:tc>
          <w:tcPr>
            <w:tcW w:type="dxa" w:w="2016"/>
            <w:vAlign w:val="center"/>
          </w:tcPr>
          <w:p>
            <w:pPr>
              <w:keepLines/>
              <w:spacing w:lineRule="auto" w:line="276"/>
              <w:jc w:val="center"/>
            </w:pPr>
            <w:r>
              <w:rPr>
                <w:rFonts w:ascii="Times New Roman" w:hAnsi="Times New Roman" w:eastAsia="宋体"/>
                <w:b w:val="0"/>
                <w:sz w:val="18"/>
              </w:rPr>
              <w:t>约8320m³</w:t>
            </w:r>
          </w:p>
        </w:tc>
        <w:tc>
          <w:tcPr>
            <w:tcW w:type="dxa" w:w="3960"/>
            <w:vAlign w:val="center"/>
          </w:tcPr>
          <w:p>
            <w:pPr>
              <w:keepLines/>
              <w:spacing w:lineRule="auto" w:line="276"/>
              <w:jc w:val="center"/>
            </w:pPr>
            <w:r>
              <w:rPr>
                <w:rFonts w:ascii="Times New Roman" w:hAnsi="Times New Roman" w:eastAsia="宋体"/>
                <w:b w:val="0"/>
                <w:sz w:val="18"/>
              </w:rPr>
              <w:t>需整平和承载复核</w:t>
            </w:r>
          </w:p>
        </w:tc>
      </w:tr>
      <w:tr>
        <w:trPr>
          <w:cantSplit/>
        </w:trPr>
        <w:tc>
          <w:tcPr>
            <w:tcW w:type="dxa" w:w="2376"/>
            <w:vAlign w:val="center"/>
          </w:tcPr>
          <w:p>
            <w:pPr>
              <w:keepLines/>
              <w:spacing w:lineRule="auto" w:line="276"/>
              <w:jc w:val="center"/>
            </w:pPr>
            <w:r>
              <w:rPr>
                <w:rFonts w:ascii="Times New Roman" w:hAnsi="Times New Roman" w:eastAsia="宋体"/>
                <w:b w:val="0"/>
                <w:sz w:val="18"/>
              </w:rPr>
              <w:t>主动土压力</w:t>
            </w:r>
          </w:p>
        </w:tc>
        <w:tc>
          <w:tcPr>
            <w:tcW w:type="dxa" w:w="2016"/>
            <w:vAlign w:val="center"/>
          </w:tcPr>
          <w:p>
            <w:pPr>
              <w:keepLines/>
              <w:spacing w:lineRule="auto" w:line="276"/>
              <w:jc w:val="center"/>
            </w:pPr>
            <w:r>
              <w:rPr>
                <w:rFonts w:ascii="Times New Roman" w:hAnsi="Times New Roman" w:eastAsia="宋体"/>
                <w:b w:val="0"/>
                <w:sz w:val="18"/>
              </w:rPr>
              <w:t>约6468kN/单元</w:t>
            </w:r>
          </w:p>
        </w:tc>
        <w:tc>
          <w:tcPr>
            <w:tcW w:type="dxa" w:w="3960"/>
            <w:vAlign w:val="center"/>
          </w:tcPr>
          <w:p>
            <w:pPr>
              <w:keepLines/>
              <w:spacing w:lineRule="auto" w:line="276"/>
              <w:jc w:val="center"/>
            </w:pPr>
            <w:r>
              <w:rPr>
                <w:rFonts w:ascii="Times New Roman" w:hAnsi="Times New Roman" w:eastAsia="宋体"/>
                <w:b w:val="0"/>
                <w:sz w:val="18"/>
              </w:rPr>
              <w:t>控制抗滑和抗倾覆</w:t>
            </w:r>
          </w:p>
        </w:tc>
      </w:tr>
      <w:tr>
        <w:trPr>
          <w:cantSplit/>
        </w:trPr>
        <w:tc>
          <w:tcPr>
            <w:tcW w:type="dxa" w:w="2376"/>
            <w:vAlign w:val="center"/>
          </w:tcPr>
          <w:p>
            <w:pPr>
              <w:keepLines/>
              <w:spacing w:lineRule="auto" w:line="276"/>
              <w:jc w:val="center"/>
            </w:pPr>
            <w:r>
              <w:rPr>
                <w:rFonts w:ascii="Times New Roman" w:hAnsi="Times New Roman" w:eastAsia="宋体"/>
                <w:b w:val="0"/>
                <w:sz w:val="18"/>
              </w:rPr>
              <w:t>堆载附加土压力</w:t>
            </w:r>
          </w:p>
        </w:tc>
        <w:tc>
          <w:tcPr>
            <w:tcW w:type="dxa" w:w="2016"/>
            <w:vAlign w:val="center"/>
          </w:tcPr>
          <w:p>
            <w:pPr>
              <w:keepLines/>
              <w:spacing w:lineRule="auto" w:line="276"/>
              <w:jc w:val="center"/>
            </w:pPr>
            <w:r>
              <w:rPr>
                <w:rFonts w:ascii="Times New Roman" w:hAnsi="Times New Roman" w:eastAsia="宋体"/>
                <w:b w:val="0"/>
                <w:sz w:val="18"/>
              </w:rPr>
              <w:t>约4620kN/单元</w:t>
            </w:r>
          </w:p>
        </w:tc>
        <w:tc>
          <w:tcPr>
            <w:tcW w:type="dxa" w:w="3960"/>
            <w:vAlign w:val="center"/>
          </w:tcPr>
          <w:p>
            <w:pPr>
              <w:keepLines/>
              <w:spacing w:lineRule="auto" w:line="276"/>
              <w:jc w:val="center"/>
            </w:pPr>
            <w:r>
              <w:rPr>
                <w:rFonts w:ascii="Times New Roman" w:hAnsi="Times New Roman" w:eastAsia="宋体"/>
                <w:b w:val="0"/>
                <w:sz w:val="18"/>
              </w:rPr>
              <w:t>对胸墙后堆载敏感</w:t>
            </w:r>
          </w:p>
        </w:tc>
      </w:tr>
    </w:tbl>
    <w:p/>
    <w:p>
      <w:pPr>
        <w:spacing w:lineRule="auto" w:line="360" w:before="0" w:after="0"/>
        <w:ind w:firstLine="480"/>
      </w:pPr>
      <w:r>
        <w:rPr>
          <w:rFonts w:ascii="Times New Roman" w:hAnsi="Times New Roman" w:eastAsia="宋体"/>
          <w:sz w:val="24"/>
        </w:rPr>
        <w:t>上述估算表明，沉箱方案的主体结构虽然整体性较好，但其工作量集中在水下开挖、软基换填、基床整平、沉箱预制浮运和墙后回填质量控制。墙后堆载会显著增加水平土压力，若基床下卧软土处理不足，抗滑安全、抗倾覆安全和工后沉降均会成为控制因素。</w:t>
      </w:r>
    </w:p>
    <w:p>
      <w:pPr>
        <w:pStyle w:val="3"/>
        <w:jc w:val="left"/>
      </w:pPr>
      <w:r>
        <w:rPr>
          <w:rFonts w:ascii="Times New Roman" w:hAnsi="Times New Roman" w:eastAsia="宋体"/>
          <w:b/>
          <w:sz w:val="24"/>
        </w:rPr>
        <w:t xml:space="preserve"> 推荐方案</w:t>
      </w:r>
    </w:p>
    <w:p>
      <w:pPr>
        <w:keepNext/>
        <w:spacing w:lineRule="auto" w:line="300" w:before="0" w:after="120"/>
        <w:jc w:val="center"/>
      </w:pPr>
      <w:r>
        <w:rPr>
          <w:rFonts w:ascii="Times New Roman" w:hAnsi="Times New Roman" w:eastAsia="宋体"/>
          <w:b w:val="0"/>
          <w:sz w:val="20"/>
        </w:rPr>
        <w:t>表5-2 码头结构方案比选</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160"/>
        <w:gridCol w:w="3168"/>
        <w:gridCol w:w="3024"/>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比选项目</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高桩梁板式</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重力式沉箱</w:t>
            </w:r>
          </w:p>
        </w:tc>
      </w:tr>
      <w:tr>
        <w:trPr>
          <w:cantSplit/>
        </w:trPr>
        <w:tc>
          <w:tcPr>
            <w:tcW w:type="dxa" w:w="2160"/>
            <w:vAlign w:val="center"/>
          </w:tcPr>
          <w:p>
            <w:pPr>
              <w:keepLines/>
              <w:spacing w:lineRule="auto" w:line="276"/>
              <w:jc w:val="center"/>
            </w:pPr>
            <w:r>
              <w:rPr>
                <w:rFonts w:ascii="Times New Roman" w:hAnsi="Times New Roman" w:eastAsia="宋体"/>
                <w:b w:val="0"/>
                <w:sz w:val="18"/>
              </w:rPr>
              <w:t>地基适应性</w:t>
            </w:r>
          </w:p>
        </w:tc>
        <w:tc>
          <w:tcPr>
            <w:tcW w:type="dxa" w:w="3168"/>
            <w:vAlign w:val="center"/>
          </w:tcPr>
          <w:p>
            <w:pPr>
              <w:keepLines/>
              <w:spacing w:lineRule="auto" w:line="276"/>
              <w:jc w:val="center"/>
            </w:pPr>
            <w:r>
              <w:rPr>
                <w:rFonts w:ascii="Times New Roman" w:hAnsi="Times New Roman" w:eastAsia="宋体"/>
                <w:b w:val="0"/>
                <w:sz w:val="18"/>
              </w:rPr>
              <w:t>适合软土地基，桩端进入持力层</w:t>
            </w:r>
          </w:p>
        </w:tc>
        <w:tc>
          <w:tcPr>
            <w:tcW w:type="dxa" w:w="3024"/>
            <w:vAlign w:val="center"/>
          </w:tcPr>
          <w:p>
            <w:pPr>
              <w:keepLines/>
              <w:spacing w:lineRule="auto" w:line="276"/>
              <w:jc w:val="center"/>
            </w:pPr>
            <w:r>
              <w:rPr>
                <w:rFonts w:ascii="Times New Roman" w:hAnsi="Times New Roman" w:eastAsia="宋体"/>
                <w:b w:val="0"/>
                <w:sz w:val="18"/>
              </w:rPr>
              <w:t>需较高地基承载力和基床处理</w:t>
            </w:r>
          </w:p>
        </w:tc>
      </w:tr>
      <w:tr>
        <w:trPr>
          <w:cantSplit/>
        </w:trPr>
        <w:tc>
          <w:tcPr>
            <w:tcW w:type="dxa" w:w="2160"/>
            <w:vAlign w:val="center"/>
          </w:tcPr>
          <w:p>
            <w:pPr>
              <w:keepLines/>
              <w:spacing w:lineRule="auto" w:line="276"/>
              <w:jc w:val="center"/>
            </w:pPr>
            <w:r>
              <w:rPr>
                <w:rFonts w:ascii="Times New Roman" w:hAnsi="Times New Roman" w:eastAsia="宋体"/>
                <w:b w:val="0"/>
                <w:sz w:val="18"/>
              </w:rPr>
              <w:t>施工条件</w:t>
            </w:r>
          </w:p>
        </w:tc>
        <w:tc>
          <w:tcPr>
            <w:tcW w:type="dxa" w:w="3168"/>
            <w:vAlign w:val="center"/>
          </w:tcPr>
          <w:p>
            <w:pPr>
              <w:keepLines/>
              <w:spacing w:lineRule="auto" w:line="276"/>
              <w:jc w:val="center"/>
            </w:pPr>
            <w:r>
              <w:rPr>
                <w:rFonts w:ascii="Times New Roman" w:hAnsi="Times New Roman" w:eastAsia="宋体"/>
                <w:b w:val="0"/>
                <w:sz w:val="18"/>
              </w:rPr>
              <w:t>打桩与梁板施工成熟</w:t>
            </w:r>
          </w:p>
        </w:tc>
        <w:tc>
          <w:tcPr>
            <w:tcW w:type="dxa" w:w="3024"/>
            <w:vAlign w:val="center"/>
          </w:tcPr>
          <w:p>
            <w:pPr>
              <w:keepLines/>
              <w:spacing w:lineRule="auto" w:line="276"/>
              <w:jc w:val="center"/>
            </w:pPr>
            <w:r>
              <w:rPr>
                <w:rFonts w:ascii="Times New Roman" w:hAnsi="Times New Roman" w:eastAsia="宋体"/>
                <w:b w:val="0"/>
                <w:sz w:val="18"/>
              </w:rPr>
              <w:t>需沉箱预制、浮运和沉放</w:t>
            </w:r>
          </w:p>
        </w:tc>
      </w:tr>
      <w:tr>
        <w:trPr>
          <w:cantSplit/>
        </w:trPr>
        <w:tc>
          <w:tcPr>
            <w:tcW w:type="dxa" w:w="2160"/>
            <w:vAlign w:val="center"/>
          </w:tcPr>
          <w:p>
            <w:pPr>
              <w:keepLines/>
              <w:spacing w:lineRule="auto" w:line="276"/>
              <w:jc w:val="center"/>
            </w:pPr>
            <w:r>
              <w:rPr>
                <w:rFonts w:ascii="Times New Roman" w:hAnsi="Times New Roman" w:eastAsia="宋体"/>
                <w:b w:val="0"/>
                <w:sz w:val="18"/>
              </w:rPr>
              <w:t>工程量</w:t>
            </w:r>
          </w:p>
        </w:tc>
        <w:tc>
          <w:tcPr>
            <w:tcW w:type="dxa" w:w="3168"/>
            <w:vAlign w:val="center"/>
          </w:tcPr>
          <w:p>
            <w:pPr>
              <w:keepLines/>
              <w:spacing w:lineRule="auto" w:line="276"/>
              <w:jc w:val="center"/>
            </w:pPr>
            <w:r>
              <w:rPr>
                <w:rFonts w:ascii="Times New Roman" w:hAnsi="Times New Roman" w:eastAsia="宋体"/>
                <w:b w:val="0"/>
                <w:sz w:val="18"/>
              </w:rPr>
              <w:t>桩基较多，地基处理少</w:t>
            </w:r>
          </w:p>
        </w:tc>
        <w:tc>
          <w:tcPr>
            <w:tcW w:type="dxa" w:w="3024"/>
            <w:vAlign w:val="center"/>
          </w:tcPr>
          <w:p>
            <w:pPr>
              <w:keepLines/>
              <w:spacing w:lineRule="auto" w:line="276"/>
              <w:jc w:val="center"/>
            </w:pPr>
            <w:r>
              <w:rPr>
                <w:rFonts w:ascii="Times New Roman" w:hAnsi="Times New Roman" w:eastAsia="宋体"/>
                <w:b w:val="0"/>
                <w:sz w:val="18"/>
              </w:rPr>
              <w:t>混凝土和抛石工程量大</w:t>
            </w:r>
          </w:p>
        </w:tc>
      </w:tr>
      <w:tr>
        <w:trPr>
          <w:cantSplit/>
        </w:trPr>
        <w:tc>
          <w:tcPr>
            <w:tcW w:type="dxa" w:w="2160"/>
            <w:vAlign w:val="center"/>
          </w:tcPr>
          <w:p>
            <w:pPr>
              <w:keepLines/>
              <w:spacing w:lineRule="auto" w:line="276"/>
              <w:jc w:val="center"/>
            </w:pPr>
            <w:r>
              <w:rPr>
                <w:rFonts w:ascii="Times New Roman" w:hAnsi="Times New Roman" w:eastAsia="宋体"/>
                <w:b w:val="0"/>
                <w:sz w:val="18"/>
              </w:rPr>
              <w:t>沉降控制</w:t>
            </w:r>
          </w:p>
        </w:tc>
        <w:tc>
          <w:tcPr>
            <w:tcW w:type="dxa" w:w="3168"/>
            <w:vAlign w:val="center"/>
          </w:tcPr>
          <w:p>
            <w:pPr>
              <w:keepLines/>
              <w:spacing w:lineRule="auto" w:line="276"/>
              <w:jc w:val="center"/>
            </w:pPr>
            <w:r>
              <w:rPr>
                <w:rFonts w:ascii="Times New Roman" w:hAnsi="Times New Roman" w:eastAsia="宋体"/>
                <w:b w:val="0"/>
                <w:sz w:val="18"/>
              </w:rPr>
              <w:t>整体沉降小，差异沉降可控</w:t>
            </w:r>
          </w:p>
        </w:tc>
        <w:tc>
          <w:tcPr>
            <w:tcW w:type="dxa" w:w="3024"/>
            <w:vAlign w:val="center"/>
          </w:tcPr>
          <w:p>
            <w:pPr>
              <w:keepLines/>
              <w:spacing w:lineRule="auto" w:line="276"/>
              <w:jc w:val="center"/>
            </w:pPr>
            <w:r>
              <w:rPr>
                <w:rFonts w:ascii="Times New Roman" w:hAnsi="Times New Roman" w:eastAsia="宋体"/>
                <w:b w:val="0"/>
                <w:sz w:val="18"/>
              </w:rPr>
              <w:t>软土区沉降风险较大</w:t>
            </w:r>
          </w:p>
        </w:tc>
      </w:tr>
      <w:tr>
        <w:trPr>
          <w:cantSplit/>
        </w:trPr>
        <w:tc>
          <w:tcPr>
            <w:tcW w:type="dxa" w:w="2160"/>
            <w:vAlign w:val="center"/>
          </w:tcPr>
          <w:p>
            <w:pPr>
              <w:keepLines/>
              <w:spacing w:lineRule="auto" w:line="276"/>
              <w:jc w:val="center"/>
            </w:pPr>
            <w:r>
              <w:rPr>
                <w:rFonts w:ascii="Times New Roman" w:hAnsi="Times New Roman" w:eastAsia="宋体"/>
                <w:b w:val="0"/>
                <w:sz w:val="18"/>
              </w:rPr>
              <w:t>运行维护</w:t>
            </w:r>
          </w:p>
        </w:tc>
        <w:tc>
          <w:tcPr>
            <w:tcW w:type="dxa" w:w="3168"/>
            <w:vAlign w:val="center"/>
          </w:tcPr>
          <w:p>
            <w:pPr>
              <w:keepLines/>
              <w:spacing w:lineRule="auto" w:line="276"/>
              <w:jc w:val="center"/>
            </w:pPr>
            <w:r>
              <w:rPr>
                <w:rFonts w:ascii="Times New Roman" w:hAnsi="Times New Roman" w:eastAsia="宋体"/>
                <w:b w:val="0"/>
                <w:sz w:val="18"/>
              </w:rPr>
              <w:t>构件可分区检修</w:t>
            </w:r>
          </w:p>
        </w:tc>
        <w:tc>
          <w:tcPr>
            <w:tcW w:type="dxa" w:w="3024"/>
            <w:vAlign w:val="center"/>
          </w:tcPr>
          <w:p>
            <w:pPr>
              <w:keepLines/>
              <w:spacing w:lineRule="auto" w:line="276"/>
              <w:jc w:val="center"/>
            </w:pPr>
            <w:r>
              <w:rPr>
                <w:rFonts w:ascii="Times New Roman" w:hAnsi="Times New Roman" w:eastAsia="宋体"/>
                <w:b w:val="0"/>
                <w:sz w:val="18"/>
              </w:rPr>
              <w:t>前沿整体性好但修复难度较大</w:t>
            </w:r>
          </w:p>
        </w:tc>
      </w:tr>
      <w:tr>
        <w:trPr>
          <w:cantSplit/>
        </w:trPr>
        <w:tc>
          <w:tcPr>
            <w:tcW w:type="dxa" w:w="2160"/>
            <w:vAlign w:val="center"/>
          </w:tcPr>
          <w:p>
            <w:pPr>
              <w:keepLines/>
              <w:spacing w:lineRule="auto" w:line="276"/>
              <w:jc w:val="center"/>
            </w:pPr>
            <w:r>
              <w:rPr>
                <w:rFonts w:ascii="Times New Roman" w:hAnsi="Times New Roman" w:eastAsia="宋体"/>
                <w:b w:val="0"/>
                <w:sz w:val="18"/>
              </w:rPr>
              <w:t>综合评价</w:t>
            </w:r>
          </w:p>
        </w:tc>
        <w:tc>
          <w:tcPr>
            <w:tcW w:type="dxa" w:w="3168"/>
            <w:vAlign w:val="center"/>
          </w:tcPr>
          <w:p>
            <w:pPr>
              <w:keepLines/>
              <w:spacing w:lineRule="auto" w:line="276"/>
              <w:jc w:val="center"/>
            </w:pPr>
            <w:r>
              <w:rPr>
                <w:rFonts w:ascii="Times New Roman" w:hAnsi="Times New Roman" w:eastAsia="宋体"/>
                <w:b w:val="0"/>
                <w:sz w:val="18"/>
              </w:rPr>
              <w:t>推荐方案</w:t>
            </w:r>
          </w:p>
        </w:tc>
        <w:tc>
          <w:tcPr>
            <w:tcW w:type="dxa" w:w="3024"/>
            <w:vAlign w:val="center"/>
          </w:tcPr>
          <w:p>
            <w:pPr>
              <w:keepLines/>
              <w:spacing w:lineRule="auto" w:line="276"/>
              <w:jc w:val="center"/>
            </w:pPr>
            <w:r>
              <w:rPr>
                <w:rFonts w:ascii="Times New Roman" w:hAnsi="Times New Roman" w:eastAsia="宋体"/>
                <w:b w:val="0"/>
                <w:sz w:val="18"/>
              </w:rPr>
              <w:t>不推荐作为本工程主方案</w:t>
            </w:r>
          </w:p>
        </w:tc>
      </w:tr>
    </w:tbl>
    <w:p/>
    <w:p>
      <w:pPr>
        <w:spacing w:lineRule="auto" w:line="360" w:before="0" w:after="0"/>
        <w:ind w:firstLine="480"/>
      </w:pPr>
      <w:r>
        <w:rPr>
          <w:rFonts w:ascii="Times New Roman" w:hAnsi="Times New Roman" w:eastAsia="宋体"/>
          <w:sz w:val="24"/>
        </w:rPr>
        <w:t>综合技术可行性、施工风险和经济性，本设计推荐采用高桩梁板式码头结构。</w:t>
      </w:r>
    </w:p>
    <w:p>
      <w:pPr>
        <w:spacing w:lineRule="auto" w:line="360" w:before="0" w:after="0"/>
        <w:ind w:firstLine="480"/>
      </w:pPr>
      <w:r>
        <w:rPr>
          <w:rFonts w:ascii="Times New Roman" w:hAnsi="Times New Roman" w:eastAsia="宋体"/>
          <w:sz w:val="24"/>
        </w:rPr>
        <w:t>因此，本设计保留沉箱方案图纸作为比选成果，推荐高桩梁板式结构作为实施方案。后续第六章按高桩方案展开结构计算，并结合图纸中的断面和配筋表达说明构件尺寸、荷载和桩基承载。</w:t>
      </w:r>
    </w:p>
    <w:p>
      <w:pPr>
        <w:spacing w:lineRule="auto" w:line="360" w:before="0" w:after="0"/>
        <w:ind w:firstLine="480"/>
      </w:pPr>
      <w:r>
        <w:rPr>
          <w:rFonts w:ascii="Times New Roman" w:hAnsi="Times New Roman" w:eastAsia="宋体"/>
          <w:sz w:val="24"/>
        </w:rPr>
        <w:t>结构方案推荐还要考虑后期维护。高桩码头上部构件外露程度较高，梁板、桩帽、靠船构件和轨道梁可分区检查维修；沉箱结构虽然岸壁整体性好，但一旦发生基床沉降、墙后空洞或胸墙开裂，水下检测和修复难度较大。结合电厂燃煤供应连续性要求，高桩方案更利于运行期风险控制。</w:t>
      </w:r>
    </w:p>
    <w:p>
      <w:pPr>
        <w:spacing w:lineRule="auto" w:line="360" w:before="0" w:after="0"/>
        <w:ind w:firstLine="480"/>
      </w:pPr>
      <w:r>
        <w:rPr>
          <w:rFonts w:ascii="Times New Roman" w:hAnsi="Times New Roman" w:eastAsia="宋体"/>
          <w:sz w:val="24"/>
        </w:rPr>
        <w:t>从计算工作量角度，本设计后续不仅对推荐高桩方案进行梁板和桩基计算，也补充沉箱比选方案的基床换填、稳定和工程量估算，使方案选择具有可计算依据。</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根据工程地质条件、船舶荷载、施工条件和经济性，对高桩梁板式与重力式沉箱两种结构方案进行了比选。由于本工程浅部软土发育、下部持力层较好，推荐采用高桩梁板式码头结构，下一章将对其主要结构参数进行初步计算。</w:t>
      </w:r>
    </w:p>
    <w:p>
      <w:pPr>
        <w:pStyle w:val="1"/>
        <w:pageBreakBefore/>
        <w:jc w:val="center"/>
      </w:pPr>
      <w:r>
        <w:rPr>
          <w:rFonts w:ascii="Times New Roman" w:hAnsi="Times New Roman" w:eastAsia="宋体"/>
          <w:b/>
          <w:sz w:val="30"/>
        </w:rPr>
        <w:t xml:space="preserve"> 推荐方案结构计算</w:t>
      </w:r>
    </w:p>
    <w:p>
      <w:pPr>
        <w:pStyle w:val="2"/>
        <w:jc w:val="left"/>
      </w:pPr>
      <w:r>
        <w:rPr>
          <w:rFonts w:ascii="Times New Roman" w:hAnsi="Times New Roman" w:eastAsia="宋体"/>
          <w:b/>
          <w:sz w:val="24"/>
        </w:rPr>
        <w:t xml:space="preserve"> 结构计算原则与计算单元</w:t>
      </w:r>
    </w:p>
    <w:p>
      <w:pPr>
        <w:pStyle w:val="3"/>
        <w:jc w:val="left"/>
      </w:pPr>
      <w:r>
        <w:rPr>
          <w:rFonts w:ascii="Times New Roman" w:hAnsi="Times New Roman" w:eastAsia="宋体"/>
          <w:b/>
          <w:sz w:val="24"/>
        </w:rPr>
        <w:t xml:space="preserve"> 设计依据</w:t>
      </w:r>
    </w:p>
    <w:p>
      <w:pPr>
        <w:spacing w:lineRule="auto" w:line="360" w:before="0" w:after="0"/>
        <w:ind w:firstLine="480"/>
      </w:pPr>
      <w:r>
        <w:rPr>
          <w:rFonts w:ascii="Times New Roman" w:hAnsi="Times New Roman" w:eastAsia="宋体"/>
          <w:sz w:val="24"/>
        </w:rPr>
        <w:t>推荐方案结构计算按高桩梁板式码头进行。结构形式根据使用要求、自然条件、使用环境、施工条件和工程经济性确定；永久性码头结构设计使用年限按50年考虑，结构安全等级按任务书取二级。荷载取值与组合参考港口工程荷载规范进行初步确定</w:t>
      </w:r>
      <w:r>
        <w:rPr>
          <w:rFonts w:ascii="Times New Roman" w:hAnsi="Times New Roman" w:eastAsia="宋体"/>
          <w:sz w:val="24"/>
          <w:vertAlign w:val="superscript"/>
        </w:rPr>
        <w:t>[15]</w:t>
      </w:r>
      <w:r>
        <w:rPr>
          <w:rFonts w:ascii="Times New Roman" w:hAnsi="Times New Roman" w:eastAsia="宋体"/>
          <w:sz w:val="24"/>
        </w:rPr>
        <w:t>。钢筋混凝土构件承载力和配筋计算参考水运工程混凝土结构设计规范进行说明</w:t>
      </w:r>
      <w:r>
        <w:rPr>
          <w:rFonts w:ascii="Times New Roman" w:hAnsi="Times New Roman" w:eastAsia="宋体"/>
          <w:sz w:val="24"/>
          <w:vertAlign w:val="superscript"/>
        </w:rPr>
        <w:t>[16]</w:t>
      </w:r>
      <w:r>
        <w:rPr>
          <w:rFonts w:ascii="Times New Roman" w:hAnsi="Times New Roman" w:eastAsia="宋体"/>
          <w:sz w:val="24"/>
        </w:rPr>
        <w:t>。地震动参数按中国地震动参数区划图及任务书给定7度设防条件考虑</w:t>
      </w:r>
      <w:r>
        <w:rPr>
          <w:rFonts w:ascii="Times New Roman" w:hAnsi="Times New Roman" w:eastAsia="宋体"/>
          <w:sz w:val="24"/>
          <w:vertAlign w:val="superscript"/>
        </w:rPr>
        <w:t>[17]</w:t>
      </w:r>
      <w:r>
        <w:rPr>
          <w:rFonts w:ascii="Times New Roman" w:hAnsi="Times New Roman" w:eastAsia="宋体"/>
          <w:sz w:val="24"/>
        </w:rPr>
        <w:t>。地震作用组合和抗震构造要求在施工图阶段应按水运工程抗震设计规范进一步复核</w:t>
      </w:r>
      <w:r>
        <w:rPr>
          <w:rFonts w:ascii="Times New Roman" w:hAnsi="Times New Roman" w:eastAsia="宋体"/>
          <w:sz w:val="24"/>
          <w:vertAlign w:val="superscript"/>
        </w:rPr>
        <w:t>[18]</w:t>
      </w:r>
      <w:r>
        <w:rPr>
          <w:rFonts w:ascii="Times New Roman" w:hAnsi="Times New Roman" w:eastAsia="宋体"/>
          <w:sz w:val="24"/>
        </w:rPr>
        <w:t>。</w:t>
      </w:r>
    </w:p>
    <w:p>
      <w:pPr>
        <w:pStyle w:val="3"/>
        <w:jc w:val="left"/>
      </w:pPr>
      <w:r>
        <w:rPr>
          <w:rFonts w:ascii="Times New Roman" w:hAnsi="Times New Roman" w:eastAsia="宋体"/>
          <w:b/>
          <w:sz w:val="24"/>
        </w:rPr>
        <w:t xml:space="preserve"> 计算工况与荷载组合</w:t>
      </w:r>
    </w:p>
    <w:p>
      <w:pPr>
        <w:spacing w:lineRule="auto" w:line="360" w:before="0" w:after="0"/>
        <w:ind w:firstLine="480"/>
      </w:pPr>
      <w:r>
        <w:rPr>
          <w:rFonts w:ascii="Times New Roman" w:hAnsi="Times New Roman" w:eastAsia="宋体"/>
          <w:sz w:val="24"/>
        </w:rPr>
        <w:t>初步设计阶段主要考虑正常使用工况、堆货及设备作业工况、船舶靠泊工况、系缆工况、施工检修工况和地震工况。作用分类按永久作用、可变作用和地震作用整理：永久作用包括结构自重、面层及固定附属设施荷载；可变作用包括堆货荷载、设备轮压、检修车辆荷载、船舶撞击力和系缆力；地震作用用于方案合理性与后续深化控制。结构计算按承载能力极限状态和正常使用极限状态分别控制，承载能力极限状态应验算整体稳定、岸坡稳定、构件受弯、受剪、受冲切、受压、受拉、受扭、桩身稳定和桩基承载力，正常使用极限状态应控制混凝土抗裂、限裂、变形、沉降和桩顶水平位移。本阶段构件配筋采用设计组合作初算，桩基承载力和沉降按标准组合作控制，施工图阶段再结合完整分项系数、组合系数和试桩资料复核。</w:t>
      </w:r>
    </w:p>
    <w:p>
      <w:pPr>
        <w:spacing w:lineRule="auto" w:line="360" w:before="0" w:after="0"/>
        <w:ind w:firstLine="480"/>
      </w:pPr>
      <w:r>
        <w:rPr>
          <w:rFonts w:ascii="Times New Roman" w:hAnsi="Times New Roman" w:eastAsia="宋体"/>
          <w:sz w:val="24"/>
        </w:rPr>
        <w:t>计算工况应覆盖正常卸煤、设备检修、船舶靠泊、系缆受力和极端气象停工等状态。正常卸煤工况下，卸船机轮压和皮带机廊道荷载是上部结构控制荷载；船舶靠泊工况下，护舷反力和前排桩水平位移更为关键；台风预警工况下，船舶应离泊避风，码头结构主要承受设备锚定和风荷载作用。</w:t>
      </w:r>
    </w:p>
    <w:p>
      <w:pPr>
        <w:spacing w:lineRule="auto" w:line="360" w:before="0" w:after="0"/>
        <w:ind w:firstLine="480"/>
      </w:pPr>
      <w:r>
        <w:rPr>
          <w:rFonts w:ascii="Times New Roman" w:hAnsi="Times New Roman" w:eastAsia="宋体"/>
          <w:sz w:val="24"/>
        </w:rPr>
        <w:t>初步设计阶段采用简化模型可以快速判断构件尺寸是否合理，但简化模型应保留必要的安全侧。面板按单向板估算，纵梁按连续梁估算，横梁和排架按单榀排架估算，桩基承载力按单桩控制反力验算。后续施工图阶段应建立空间排架模型，复核横向联系、轨道梁局部效应和桩土共同作用。</w:t>
      </w:r>
    </w:p>
    <w:p>
      <w:pPr>
        <w:pStyle w:val="3"/>
        <w:jc w:val="left"/>
      </w:pPr>
      <w:r>
        <w:rPr>
          <w:rFonts w:ascii="Times New Roman" w:hAnsi="Times New Roman" w:eastAsia="宋体"/>
          <w:b/>
          <w:sz w:val="24"/>
        </w:rPr>
        <w:t xml:space="preserve"> 计算单元确定</w:t>
      </w:r>
    </w:p>
    <w:p>
      <w:pPr>
        <w:spacing w:lineRule="auto" w:line="360" w:before="0" w:after="0"/>
        <w:ind w:firstLine="480"/>
      </w:pPr>
      <w:r>
        <w:rPr>
          <w:rFonts w:ascii="Times New Roman" w:hAnsi="Times New Roman" w:eastAsia="宋体"/>
          <w:sz w:val="24"/>
        </w:rPr>
        <w:t>码头长260m，排架间距取8m，形成约32跨、33榀排架。排架间距处于高桩梁板式码头前桩台常用6m～12m范围内，兼顾上部梁板受力、施工吊装和桩基布置。每榀排架设4根PHC管桩，单榀排架作为横向计算单元；面板按单向板初步计算，纵梁按简支梁近似计算，横梁按排架梁进行初步估算，桩基按单桩竖向承载力、水平承载和位移控制进行验算。由于排架间距均匀、桩型相同且桩基主要沿横梁布置，初步阶段可按纵向和横向两个平面模型分析；船舶撞击力、系缆力等水平集中作用应考虑相邻排架按刚度分配。</w:t>
      </w:r>
    </w:p>
    <w:p>
      <w:pPr>
        <w:pStyle w:val="2"/>
        <w:jc w:val="left"/>
      </w:pPr>
      <w:r>
        <w:rPr>
          <w:rFonts w:ascii="Times New Roman" w:hAnsi="Times New Roman" w:eastAsia="宋体"/>
          <w:b/>
          <w:sz w:val="24"/>
        </w:rPr>
        <w:t xml:space="preserve"> 码头结构布置与构件尺寸</w:t>
      </w:r>
    </w:p>
    <w:p>
      <w:pPr>
        <w:pStyle w:val="3"/>
        <w:jc w:val="left"/>
      </w:pPr>
      <w:r>
        <w:rPr>
          <w:rFonts w:ascii="Times New Roman" w:hAnsi="Times New Roman" w:eastAsia="宋体"/>
          <w:b/>
          <w:sz w:val="24"/>
        </w:rPr>
        <w:t xml:space="preserve"> 平面布置</w:t>
      </w:r>
    </w:p>
    <w:p>
      <w:pPr>
        <w:spacing w:lineRule="auto" w:line="360" w:before="0" w:after="0"/>
        <w:ind w:firstLine="480"/>
      </w:pPr>
      <w:r>
        <w:rPr>
          <w:rFonts w:ascii="Times New Roman" w:hAnsi="Times New Roman" w:eastAsia="宋体"/>
          <w:sz w:val="24"/>
        </w:rPr>
        <w:t>码头采用顺岸式连片桩台布置，长度260m，宽度18m。前沿设置护舷、系船柱和卸船机轨道，后方布置皮带机廊道及检修通道。卸船机轨道梁下优先布置基桩，使设备轮压尽量直接传至横梁和桩基，减少面板局部受力和轨道沉降差。排架沿码头长度方向均匀布置，标准排架间距8m；分段缝、沉降缝和伸缩缝在施工图阶段结合温度作用、上部结构连续长度和地基差异沉降进一步确定。</w:t>
      </w:r>
    </w:p>
    <w:p>
      <w:pPr>
        <w:spacing w:before="120" w:after="0"/>
        <w:jc w:val="center"/>
      </w:pPr>
      <w:r>
        <w:drawing>
          <wp:inline xmlns:a="http://schemas.openxmlformats.org/drawingml/2006/main" xmlns:pic="http://schemas.openxmlformats.org/drawingml/2006/picture">
            <wp:extent cx="5349240" cy="3778500"/>
            <wp:docPr id="10" name="Picture 10"/>
            <wp:cNvGraphicFramePr>
              <a:graphicFrameLocks noChangeAspect="1"/>
            </wp:cNvGraphicFramePr>
            <a:graphic>
              <a:graphicData uri="http://schemas.openxmlformats.org/drawingml/2006/picture">
                <pic:pic>
                  <pic:nvPicPr>
                    <pic:cNvPr id="0" name="S-01_high_pile_plan_elevation.png"/>
                    <pic:cNvPicPr/>
                  </pic:nvPicPr>
                  <pic:blipFill>
                    <a:blip r:embed="rId35"/>
                    <a:stretch>
                      <a:fillRect/>
                    </a:stretch>
                  </pic:blipFill>
                  <pic:spPr>
                    <a:xfrm>
                      <a:off x="0" y="0"/>
                      <a:ext cx="5349240" cy="377850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图6-1 推荐高桩梁板式方案结构平面及立面图</w:t>
      </w:r>
    </w:p>
    <w:p>
      <w:pPr>
        <w:spacing w:lineRule="auto" w:line="360" w:before="0" w:after="0"/>
        <w:ind w:firstLine="480"/>
      </w:pPr>
      <w:r>
        <w:rPr>
          <w:rFonts w:ascii="Times New Roman" w:hAnsi="Times New Roman" w:eastAsia="宋体"/>
          <w:sz w:val="24"/>
        </w:rPr>
        <w:t>图6-1与第五章方案比选中的高桩图纸一致，作为推荐方案的结构布置依据。结构长度按约250m表达，排架间距按8m控制，前沿布置护舷和系船柱，后方与卸船机轨道、皮带机廊道和检修通道衔接。</w:t>
      </w:r>
    </w:p>
    <w:p>
      <w:pPr>
        <w:pStyle w:val="3"/>
        <w:jc w:val="left"/>
      </w:pPr>
      <w:r>
        <w:rPr>
          <w:rFonts w:ascii="Times New Roman" w:hAnsi="Times New Roman" w:eastAsia="宋体"/>
          <w:b/>
          <w:sz w:val="24"/>
        </w:rPr>
        <w:t xml:space="preserve"> 断面布置</w:t>
      </w:r>
    </w:p>
    <w:p>
      <w:pPr>
        <w:spacing w:lineRule="auto" w:line="360" w:before="0" w:after="0"/>
        <w:ind w:firstLine="480"/>
      </w:pPr>
      <w:r>
        <w:rPr>
          <w:rFonts w:ascii="Times New Roman" w:hAnsi="Times New Roman" w:eastAsia="宋体"/>
          <w:sz w:val="24"/>
        </w:rPr>
        <w:t>码头断面由面板、纵梁、横梁、轨道梁、桩帽、靠船构件和PHC管桩组成。面板将堆货和检修车辆荷载传至纵梁，卸船机轮压通过轨道梁和横梁优先传至桩基，纵梁将一般面荷载传至横梁，横梁通过桩帽传递至桩基。船舶撞击力和系缆力经靠船构件、系船柱基础和横向排架传至前排桩，桩基最终将荷载传至下部风化花岗岩持力层。面层兼作磨耗层时厚度不宜过薄，前沿浪溅区和靠船部位应提高混凝土耐久性和构造保护要求。</w:t>
      </w:r>
    </w:p>
    <w:p>
      <w:pPr>
        <w:spacing w:before="120" w:after="0"/>
        <w:jc w:val="center"/>
      </w:pPr>
      <w:r>
        <w:drawing>
          <wp:inline xmlns:a="http://schemas.openxmlformats.org/drawingml/2006/main" xmlns:pic="http://schemas.openxmlformats.org/drawingml/2006/picture">
            <wp:extent cx="5349240" cy="3778500"/>
            <wp:docPr id="11" name="Picture 11"/>
            <wp:cNvGraphicFramePr>
              <a:graphicFrameLocks noChangeAspect="1"/>
            </wp:cNvGraphicFramePr>
            <a:graphic>
              <a:graphicData uri="http://schemas.openxmlformats.org/drawingml/2006/picture">
                <pic:pic>
                  <pic:nvPicPr>
                    <pic:cNvPr id="0" name="S-02_high_pile_section_detail_rebar.png"/>
                    <pic:cNvPicPr/>
                  </pic:nvPicPr>
                  <pic:blipFill>
                    <a:blip r:embed="rId39"/>
                    <a:stretch>
                      <a:fillRect/>
                    </a:stretch>
                  </pic:blipFill>
                  <pic:spPr>
                    <a:xfrm>
                      <a:off x="0" y="0"/>
                      <a:ext cx="5349240" cy="377850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图6-2 高桩方案断面、细部构造及代表配筋图</w:t>
      </w:r>
    </w:p>
    <w:p>
      <w:pPr>
        <w:spacing w:lineRule="auto" w:line="360" w:before="0" w:after="0"/>
        <w:ind w:firstLine="480"/>
      </w:pPr>
      <w:r>
        <w:rPr>
          <w:rFonts w:ascii="Times New Roman" w:hAnsi="Times New Roman" w:eastAsia="宋体"/>
          <w:sz w:val="24"/>
        </w:rPr>
        <w:t>断面图中应重点核对码头面高程、前沿水深、桩基入土深度、梁板高度、轨道梁位置和靠船构件。高桩梁板式结构的优点在于上部梁板与桩基形成明确的空间排架体系，可通过调整桩径、桩距和横梁刚度适应设备荷载。</w:t>
      </w:r>
    </w:p>
    <w:p>
      <w:pPr>
        <w:pStyle w:val="3"/>
        <w:jc w:val="left"/>
      </w:pPr>
      <w:r>
        <w:rPr>
          <w:rFonts w:ascii="Times New Roman" w:hAnsi="Times New Roman" w:eastAsia="宋体"/>
          <w:b/>
          <w:sz w:val="24"/>
        </w:rPr>
        <w:t xml:space="preserve"> 主要构件尺寸拟定</w:t>
      </w:r>
    </w:p>
    <w:p>
      <w:pPr>
        <w:keepNext/>
        <w:pageBreakBefore/>
        <w:spacing w:lineRule="auto" w:line="300" w:before="0" w:after="120"/>
        <w:jc w:val="center"/>
      </w:pPr>
      <w:r>
        <w:rPr>
          <w:rFonts w:ascii="Times New Roman" w:hAnsi="Times New Roman" w:eastAsia="宋体"/>
          <w:b w:val="0"/>
          <w:sz w:val="20"/>
        </w:rPr>
        <w:t>表6-1 主要结构尺寸拟定</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04"/>
        <w:gridCol w:w="2304"/>
        <w:gridCol w:w="3744"/>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构件</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拟定尺寸</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说明</w:t>
            </w:r>
          </w:p>
        </w:tc>
      </w:tr>
      <w:tr>
        <w:trPr>
          <w:cantSplit/>
        </w:trPr>
        <w:tc>
          <w:tcPr>
            <w:tcW w:type="dxa" w:w="2304"/>
            <w:vAlign w:val="center"/>
          </w:tcPr>
          <w:p>
            <w:pPr>
              <w:keepLines/>
              <w:spacing w:lineRule="auto" w:line="276"/>
              <w:jc w:val="center"/>
            </w:pPr>
            <w:r>
              <w:rPr>
                <w:rFonts w:ascii="Times New Roman" w:hAnsi="Times New Roman" w:eastAsia="宋体"/>
                <w:b w:val="0"/>
                <w:sz w:val="18"/>
              </w:rPr>
              <w:t>码头长度</w:t>
            </w:r>
          </w:p>
        </w:tc>
        <w:tc>
          <w:tcPr>
            <w:tcW w:type="dxa" w:w="2304"/>
            <w:vAlign w:val="center"/>
          </w:tcPr>
          <w:p>
            <w:pPr>
              <w:keepLines/>
              <w:spacing w:lineRule="auto" w:line="276"/>
              <w:jc w:val="center"/>
            </w:pPr>
            <w:r>
              <w:rPr>
                <w:rFonts w:ascii="Times New Roman" w:hAnsi="Times New Roman" w:eastAsia="宋体"/>
                <w:b w:val="0"/>
                <w:sz w:val="18"/>
              </w:rPr>
              <w:t>260m</w:t>
            </w:r>
          </w:p>
        </w:tc>
        <w:tc>
          <w:tcPr>
            <w:tcW w:type="dxa" w:w="3744"/>
            <w:vAlign w:val="center"/>
          </w:tcPr>
          <w:p>
            <w:pPr>
              <w:keepLines/>
              <w:spacing w:lineRule="auto" w:line="276"/>
              <w:jc w:val="center"/>
            </w:pPr>
            <w:r>
              <w:rPr>
                <w:rFonts w:ascii="Times New Roman" w:hAnsi="Times New Roman" w:eastAsia="宋体"/>
                <w:b w:val="0"/>
                <w:sz w:val="18"/>
              </w:rPr>
              <w:t>与泊位长度一致</w:t>
            </w:r>
          </w:p>
        </w:tc>
      </w:tr>
      <w:tr>
        <w:trPr>
          <w:cantSplit/>
        </w:trPr>
        <w:tc>
          <w:tcPr>
            <w:tcW w:type="dxa" w:w="2304"/>
            <w:vAlign w:val="center"/>
          </w:tcPr>
          <w:p>
            <w:pPr>
              <w:keepLines/>
              <w:spacing w:lineRule="auto" w:line="276"/>
              <w:jc w:val="center"/>
            </w:pPr>
            <w:r>
              <w:rPr>
                <w:rFonts w:ascii="Times New Roman" w:hAnsi="Times New Roman" w:eastAsia="宋体"/>
                <w:b w:val="0"/>
                <w:sz w:val="18"/>
              </w:rPr>
              <w:t>码头宽度</w:t>
            </w:r>
          </w:p>
        </w:tc>
        <w:tc>
          <w:tcPr>
            <w:tcW w:type="dxa" w:w="2304"/>
            <w:vAlign w:val="center"/>
          </w:tcPr>
          <w:p>
            <w:pPr>
              <w:keepLines/>
              <w:spacing w:lineRule="auto" w:line="276"/>
              <w:jc w:val="center"/>
            </w:pPr>
            <w:r>
              <w:rPr>
                <w:rFonts w:ascii="Times New Roman" w:hAnsi="Times New Roman" w:eastAsia="宋体"/>
                <w:b w:val="0"/>
                <w:sz w:val="18"/>
              </w:rPr>
              <w:t>18m</w:t>
            </w:r>
          </w:p>
        </w:tc>
        <w:tc>
          <w:tcPr>
            <w:tcW w:type="dxa" w:w="3744"/>
            <w:vAlign w:val="center"/>
          </w:tcPr>
          <w:p>
            <w:pPr>
              <w:keepLines/>
              <w:spacing w:lineRule="auto" w:line="276"/>
              <w:jc w:val="center"/>
            </w:pPr>
            <w:r>
              <w:rPr>
                <w:rFonts w:ascii="Times New Roman" w:hAnsi="Times New Roman" w:eastAsia="宋体"/>
                <w:b w:val="0"/>
                <w:sz w:val="18"/>
              </w:rPr>
              <w:t>满足卸船机轨距和作业通道</w:t>
            </w:r>
          </w:p>
        </w:tc>
      </w:tr>
      <w:tr>
        <w:trPr>
          <w:cantSplit/>
        </w:trPr>
        <w:tc>
          <w:tcPr>
            <w:tcW w:type="dxa" w:w="2304"/>
            <w:vAlign w:val="center"/>
          </w:tcPr>
          <w:p>
            <w:pPr>
              <w:keepLines/>
              <w:spacing w:lineRule="auto" w:line="276"/>
              <w:jc w:val="center"/>
            </w:pPr>
            <w:r>
              <w:rPr>
                <w:rFonts w:ascii="Times New Roman" w:hAnsi="Times New Roman" w:eastAsia="宋体"/>
                <w:b w:val="0"/>
                <w:sz w:val="18"/>
              </w:rPr>
              <w:t>排架间距</w:t>
            </w:r>
          </w:p>
        </w:tc>
        <w:tc>
          <w:tcPr>
            <w:tcW w:type="dxa" w:w="2304"/>
            <w:vAlign w:val="center"/>
          </w:tcPr>
          <w:p>
            <w:pPr>
              <w:keepLines/>
              <w:spacing w:lineRule="auto" w:line="276"/>
              <w:jc w:val="center"/>
            </w:pPr>
            <w:r>
              <w:rPr>
                <w:rFonts w:ascii="Times New Roman" w:hAnsi="Times New Roman" w:eastAsia="宋体"/>
                <w:b w:val="0"/>
                <w:sz w:val="18"/>
              </w:rPr>
              <w:t>8m</w:t>
            </w:r>
          </w:p>
        </w:tc>
        <w:tc>
          <w:tcPr>
            <w:tcW w:type="dxa" w:w="3744"/>
            <w:vAlign w:val="center"/>
          </w:tcPr>
          <w:p>
            <w:pPr>
              <w:keepLines/>
              <w:spacing w:lineRule="auto" w:line="276"/>
              <w:jc w:val="center"/>
            </w:pPr>
            <w:r>
              <w:rPr>
                <w:rFonts w:ascii="Times New Roman" w:hAnsi="Times New Roman" w:eastAsia="宋体"/>
                <w:b w:val="0"/>
                <w:sz w:val="18"/>
              </w:rPr>
              <w:t>兼顾上部结构受力和施工</w:t>
            </w:r>
          </w:p>
        </w:tc>
      </w:tr>
      <w:tr>
        <w:trPr>
          <w:cantSplit/>
        </w:trPr>
        <w:tc>
          <w:tcPr>
            <w:tcW w:type="dxa" w:w="2304"/>
            <w:vAlign w:val="center"/>
          </w:tcPr>
          <w:p>
            <w:pPr>
              <w:keepLines/>
              <w:spacing w:lineRule="auto" w:line="276"/>
              <w:jc w:val="center"/>
            </w:pPr>
            <w:r>
              <w:rPr>
                <w:rFonts w:ascii="Times New Roman" w:hAnsi="Times New Roman" w:eastAsia="宋体"/>
                <w:b w:val="0"/>
                <w:sz w:val="18"/>
              </w:rPr>
              <w:t>面板厚度</w:t>
            </w:r>
          </w:p>
        </w:tc>
        <w:tc>
          <w:tcPr>
            <w:tcW w:type="dxa" w:w="2304"/>
            <w:vAlign w:val="center"/>
          </w:tcPr>
          <w:p>
            <w:pPr>
              <w:keepLines/>
              <w:spacing w:lineRule="auto" w:line="276"/>
              <w:jc w:val="center"/>
            </w:pPr>
            <w:r>
              <w:rPr>
                <w:rFonts w:ascii="Times New Roman" w:hAnsi="Times New Roman" w:eastAsia="宋体"/>
                <w:b w:val="0"/>
                <w:sz w:val="18"/>
              </w:rPr>
              <w:t>0.35m</w:t>
            </w:r>
          </w:p>
        </w:tc>
        <w:tc>
          <w:tcPr>
            <w:tcW w:type="dxa" w:w="3744"/>
            <w:vAlign w:val="center"/>
          </w:tcPr>
          <w:p>
            <w:pPr>
              <w:keepLines/>
              <w:spacing w:lineRule="auto" w:line="276"/>
              <w:jc w:val="center"/>
            </w:pPr>
            <w:r>
              <w:rPr>
                <w:rFonts w:ascii="Times New Roman" w:hAnsi="Times New Roman" w:eastAsia="宋体"/>
                <w:b w:val="0"/>
                <w:sz w:val="18"/>
              </w:rPr>
              <w:t>叠合面板初步取值</w:t>
            </w:r>
          </w:p>
        </w:tc>
      </w:tr>
      <w:tr>
        <w:trPr>
          <w:cantSplit/>
        </w:trPr>
        <w:tc>
          <w:tcPr>
            <w:tcW w:type="dxa" w:w="2304"/>
            <w:vAlign w:val="center"/>
          </w:tcPr>
          <w:p>
            <w:pPr>
              <w:keepLines/>
              <w:spacing w:lineRule="auto" w:line="276"/>
              <w:jc w:val="center"/>
            </w:pPr>
            <w:r>
              <w:rPr>
                <w:rFonts w:ascii="Times New Roman" w:hAnsi="Times New Roman" w:eastAsia="宋体"/>
                <w:b w:val="0"/>
                <w:sz w:val="18"/>
              </w:rPr>
              <w:t>纵梁截面</w:t>
            </w:r>
          </w:p>
        </w:tc>
        <w:tc>
          <w:tcPr>
            <w:tcW w:type="dxa" w:w="2304"/>
            <w:vAlign w:val="center"/>
          </w:tcPr>
          <w:p>
            <w:pPr>
              <w:keepLines/>
              <w:spacing w:lineRule="auto" w:line="276"/>
              <w:jc w:val="center"/>
            </w:pPr>
            <w:r>
              <w:rPr>
                <w:rFonts w:ascii="Times New Roman" w:hAnsi="Times New Roman" w:eastAsia="宋体"/>
                <w:b w:val="0"/>
                <w:sz w:val="18"/>
              </w:rPr>
              <w:t>0.60m×1.00m</w:t>
            </w:r>
          </w:p>
        </w:tc>
        <w:tc>
          <w:tcPr>
            <w:tcW w:type="dxa" w:w="3744"/>
            <w:vAlign w:val="center"/>
          </w:tcPr>
          <w:p>
            <w:pPr>
              <w:keepLines/>
              <w:spacing w:lineRule="auto" w:line="276"/>
              <w:jc w:val="center"/>
            </w:pPr>
            <w:r>
              <w:rPr>
                <w:rFonts w:ascii="Times New Roman" w:hAnsi="Times New Roman" w:eastAsia="宋体"/>
                <w:b w:val="0"/>
                <w:sz w:val="18"/>
              </w:rPr>
              <w:t>按8m跨简支梁估算</w:t>
            </w:r>
          </w:p>
        </w:tc>
      </w:tr>
      <w:tr>
        <w:trPr>
          <w:cantSplit/>
        </w:trPr>
        <w:tc>
          <w:tcPr>
            <w:tcW w:type="dxa" w:w="2304"/>
            <w:vAlign w:val="center"/>
          </w:tcPr>
          <w:p>
            <w:pPr>
              <w:keepLines/>
              <w:spacing w:lineRule="auto" w:line="276"/>
              <w:jc w:val="center"/>
            </w:pPr>
            <w:r>
              <w:rPr>
                <w:rFonts w:ascii="Times New Roman" w:hAnsi="Times New Roman" w:eastAsia="宋体"/>
                <w:b w:val="0"/>
                <w:sz w:val="18"/>
              </w:rPr>
              <w:t>横梁截面</w:t>
            </w:r>
          </w:p>
        </w:tc>
        <w:tc>
          <w:tcPr>
            <w:tcW w:type="dxa" w:w="2304"/>
            <w:vAlign w:val="center"/>
          </w:tcPr>
          <w:p>
            <w:pPr>
              <w:keepLines/>
              <w:spacing w:lineRule="auto" w:line="276"/>
              <w:jc w:val="center"/>
            </w:pPr>
            <w:r>
              <w:rPr>
                <w:rFonts w:ascii="Times New Roman" w:hAnsi="Times New Roman" w:eastAsia="宋体"/>
                <w:b w:val="0"/>
                <w:sz w:val="18"/>
              </w:rPr>
              <w:t>1.00m×1.40m</w:t>
            </w:r>
          </w:p>
        </w:tc>
        <w:tc>
          <w:tcPr>
            <w:tcW w:type="dxa" w:w="3744"/>
            <w:vAlign w:val="center"/>
          </w:tcPr>
          <w:p>
            <w:pPr>
              <w:keepLines/>
              <w:spacing w:lineRule="auto" w:line="276"/>
              <w:jc w:val="center"/>
            </w:pPr>
            <w:r>
              <w:rPr>
                <w:rFonts w:ascii="Times New Roman" w:hAnsi="Times New Roman" w:eastAsia="宋体"/>
                <w:b w:val="0"/>
                <w:sz w:val="18"/>
              </w:rPr>
              <w:t>按排架梁估算</w:t>
            </w:r>
          </w:p>
        </w:tc>
      </w:tr>
      <w:tr>
        <w:trPr>
          <w:cantSplit/>
        </w:trPr>
        <w:tc>
          <w:tcPr>
            <w:tcW w:type="dxa" w:w="2304"/>
            <w:vAlign w:val="center"/>
          </w:tcPr>
          <w:p>
            <w:pPr>
              <w:keepLines/>
              <w:spacing w:lineRule="auto" w:line="276"/>
              <w:jc w:val="center"/>
            </w:pPr>
            <w:r>
              <w:rPr>
                <w:rFonts w:ascii="Times New Roman" w:hAnsi="Times New Roman" w:eastAsia="宋体"/>
                <w:b w:val="0"/>
                <w:sz w:val="18"/>
              </w:rPr>
              <w:t>轨道梁控制</w:t>
            </w:r>
          </w:p>
        </w:tc>
        <w:tc>
          <w:tcPr>
            <w:tcW w:type="dxa" w:w="2304"/>
            <w:vAlign w:val="center"/>
          </w:tcPr>
          <w:p>
            <w:pPr>
              <w:keepLines/>
              <w:spacing w:lineRule="auto" w:line="276"/>
              <w:jc w:val="center"/>
            </w:pPr>
            <w:r>
              <w:rPr>
                <w:rFonts w:ascii="Times New Roman" w:hAnsi="Times New Roman" w:eastAsia="宋体"/>
                <w:b w:val="0"/>
                <w:sz w:val="18"/>
              </w:rPr>
              <w:t>桩上布置</w:t>
            </w:r>
          </w:p>
        </w:tc>
        <w:tc>
          <w:tcPr>
            <w:tcW w:type="dxa" w:w="3744"/>
            <w:vAlign w:val="center"/>
          </w:tcPr>
          <w:p>
            <w:pPr>
              <w:keepLines/>
              <w:spacing w:lineRule="auto" w:line="276"/>
              <w:jc w:val="center"/>
            </w:pPr>
            <w:r>
              <w:rPr>
                <w:rFonts w:ascii="Times New Roman" w:hAnsi="Times New Roman" w:eastAsia="宋体"/>
                <w:b w:val="0"/>
                <w:sz w:val="18"/>
              </w:rPr>
              <w:t>卸船机轮压优先传至桩基</w:t>
            </w:r>
          </w:p>
        </w:tc>
      </w:tr>
      <w:tr>
        <w:trPr>
          <w:cantSplit/>
        </w:trPr>
        <w:tc>
          <w:tcPr>
            <w:tcW w:type="dxa" w:w="2304"/>
            <w:vAlign w:val="center"/>
          </w:tcPr>
          <w:p>
            <w:pPr>
              <w:keepLines/>
              <w:spacing w:lineRule="auto" w:line="276"/>
              <w:jc w:val="center"/>
            </w:pPr>
            <w:r>
              <w:rPr>
                <w:rFonts w:ascii="Times New Roman" w:hAnsi="Times New Roman" w:eastAsia="宋体"/>
                <w:b w:val="0"/>
                <w:sz w:val="18"/>
              </w:rPr>
              <w:t>面层及磨耗层</w:t>
            </w:r>
          </w:p>
        </w:tc>
        <w:tc>
          <w:tcPr>
            <w:tcW w:type="dxa" w:w="2304"/>
            <w:vAlign w:val="center"/>
          </w:tcPr>
          <w:p>
            <w:pPr>
              <w:keepLines/>
              <w:spacing w:lineRule="auto" w:line="276"/>
              <w:jc w:val="center"/>
            </w:pPr>
            <w:r>
              <w:rPr>
                <w:rFonts w:ascii="Times New Roman" w:hAnsi="Times New Roman" w:eastAsia="宋体"/>
                <w:b w:val="0"/>
                <w:sz w:val="18"/>
              </w:rPr>
              <w:t>50mm</w:t>
            </w:r>
          </w:p>
        </w:tc>
        <w:tc>
          <w:tcPr>
            <w:tcW w:type="dxa" w:w="3744"/>
            <w:vAlign w:val="center"/>
          </w:tcPr>
          <w:p>
            <w:pPr>
              <w:keepLines/>
              <w:spacing w:lineRule="auto" w:line="276"/>
              <w:jc w:val="center"/>
            </w:pPr>
            <w:r>
              <w:rPr>
                <w:rFonts w:ascii="Times New Roman" w:hAnsi="Times New Roman" w:eastAsia="宋体"/>
                <w:b w:val="0"/>
                <w:sz w:val="18"/>
              </w:rPr>
              <w:t>施工图阶段结合面板构造确定</w:t>
            </w:r>
          </w:p>
        </w:tc>
      </w:tr>
      <w:tr>
        <w:trPr>
          <w:cantSplit/>
        </w:trPr>
        <w:tc>
          <w:tcPr>
            <w:tcW w:type="dxa" w:w="2304"/>
            <w:vAlign w:val="center"/>
          </w:tcPr>
          <w:p>
            <w:pPr>
              <w:keepLines/>
              <w:spacing w:lineRule="auto" w:line="276"/>
              <w:jc w:val="center"/>
            </w:pPr>
            <w:r>
              <w:rPr>
                <w:rFonts w:ascii="Times New Roman" w:hAnsi="Times New Roman" w:eastAsia="宋体"/>
                <w:b w:val="0"/>
                <w:sz w:val="18"/>
              </w:rPr>
              <w:t>PHC管桩</w:t>
            </w:r>
          </w:p>
        </w:tc>
        <w:tc>
          <w:tcPr>
            <w:tcW w:type="dxa" w:w="2304"/>
            <w:vAlign w:val="center"/>
          </w:tcPr>
          <w:p>
            <w:pPr>
              <w:keepLines/>
              <w:spacing w:lineRule="auto" w:line="276"/>
              <w:jc w:val="center"/>
            </w:pPr>
            <w:r>
              <w:rPr>
                <w:rFonts w:ascii="Times New Roman" w:hAnsi="Times New Roman" w:eastAsia="宋体"/>
                <w:b w:val="0"/>
                <w:sz w:val="18"/>
              </w:rPr>
              <w:t>φ800mm</w:t>
            </w:r>
          </w:p>
        </w:tc>
        <w:tc>
          <w:tcPr>
            <w:tcW w:type="dxa" w:w="3744"/>
            <w:vAlign w:val="center"/>
          </w:tcPr>
          <w:p>
            <w:pPr>
              <w:keepLines/>
              <w:spacing w:lineRule="auto" w:line="276"/>
              <w:jc w:val="center"/>
            </w:pPr>
            <w:r>
              <w:rPr>
                <w:rFonts w:ascii="Times New Roman" w:hAnsi="Times New Roman" w:eastAsia="宋体"/>
                <w:b w:val="0"/>
                <w:sz w:val="18"/>
              </w:rPr>
              <w:t>桩长暂取32m</w:t>
            </w:r>
          </w:p>
        </w:tc>
      </w:tr>
      <w:tr>
        <w:trPr>
          <w:cantSplit/>
        </w:trPr>
        <w:tc>
          <w:tcPr>
            <w:tcW w:type="dxa" w:w="2304"/>
            <w:vAlign w:val="center"/>
          </w:tcPr>
          <w:p>
            <w:pPr>
              <w:keepLines/>
              <w:spacing w:lineRule="auto" w:line="276"/>
              <w:jc w:val="center"/>
            </w:pPr>
            <w:r>
              <w:rPr>
                <w:rFonts w:ascii="Times New Roman" w:hAnsi="Times New Roman" w:eastAsia="宋体"/>
                <w:b w:val="0"/>
                <w:sz w:val="18"/>
              </w:rPr>
              <w:t>排架桩数</w:t>
            </w:r>
          </w:p>
        </w:tc>
        <w:tc>
          <w:tcPr>
            <w:tcW w:type="dxa" w:w="2304"/>
            <w:vAlign w:val="center"/>
          </w:tcPr>
          <w:p>
            <w:pPr>
              <w:keepLines/>
              <w:spacing w:lineRule="auto" w:line="276"/>
              <w:jc w:val="center"/>
            </w:pPr>
            <w:r>
              <w:rPr>
                <w:rFonts w:ascii="Times New Roman" w:hAnsi="Times New Roman" w:eastAsia="宋体"/>
                <w:b w:val="0"/>
                <w:sz w:val="18"/>
              </w:rPr>
              <w:t>4根/榀</w:t>
            </w:r>
          </w:p>
        </w:tc>
        <w:tc>
          <w:tcPr>
            <w:tcW w:type="dxa" w:w="3744"/>
            <w:vAlign w:val="center"/>
          </w:tcPr>
          <w:p>
            <w:pPr>
              <w:keepLines/>
              <w:spacing w:lineRule="auto" w:line="276"/>
              <w:jc w:val="center"/>
            </w:pPr>
            <w:r>
              <w:rPr>
                <w:rFonts w:ascii="Times New Roman" w:hAnsi="Times New Roman" w:eastAsia="宋体"/>
                <w:b w:val="0"/>
                <w:sz w:val="18"/>
              </w:rPr>
              <w:t>前中后排组合布置</w:t>
            </w:r>
          </w:p>
        </w:tc>
      </w:tr>
    </w:tbl>
    <w:p/>
    <w:p>
      <w:pPr>
        <w:spacing w:lineRule="auto" w:line="360" w:before="0" w:after="0"/>
        <w:ind w:firstLine="480"/>
      </w:pPr>
      <w:r>
        <w:rPr>
          <w:rFonts w:ascii="Times New Roman" w:hAnsi="Times New Roman" w:eastAsia="宋体"/>
          <w:sz w:val="24"/>
        </w:rPr>
        <w:t>最终图纸包中高桩方案采用前中排PHC800、后排PHC600的组合思路，横梁尺寸按1.2m×1.8m表达，卸船机轨距约10.5m。正文计算仍按初步设计控制值进行，施工图阶段应以设备厂家轮压和详勘桩端标高为准重新复核。</w:t>
      </w:r>
    </w:p>
    <w:p>
      <w:pPr>
        <w:spacing w:lineRule="auto" w:line="360" w:before="0" w:after="0"/>
        <w:ind w:firstLine="480"/>
      </w:pPr>
      <w:r>
        <w:rPr>
          <w:rFonts w:ascii="Times New Roman" w:hAnsi="Times New Roman" w:eastAsia="宋体"/>
          <w:sz w:val="24"/>
        </w:rPr>
        <w:t>构件尺寸拟定遵循“先满足受力，再满足构造和施工”的原则。面板厚度需要满足受弯、受剪和耐久性要求；纵梁和横梁高度需要兼顾承载力、刚度和预制吊装重量；桩帽与桩顶连接需要保证锚固长度和节点混凝土浇筑质量；轨道梁则需满足卸船机轮压、轨距精度和长期沉降控制要求。</w:t>
      </w:r>
    </w:p>
    <w:p>
      <w:pPr>
        <w:pStyle w:val="2"/>
        <w:jc w:val="left"/>
      </w:pPr>
      <w:r>
        <w:rPr>
          <w:rFonts w:ascii="Times New Roman" w:hAnsi="Times New Roman" w:eastAsia="宋体"/>
          <w:b/>
          <w:sz w:val="24"/>
        </w:rPr>
        <w:t xml:space="preserve"> 作用与荷载计算</w:t>
      </w:r>
    </w:p>
    <w:p>
      <w:pPr>
        <w:pStyle w:val="3"/>
        <w:jc w:val="left"/>
      </w:pPr>
      <w:r>
        <w:rPr>
          <w:rFonts w:ascii="Times New Roman" w:hAnsi="Times New Roman" w:eastAsia="宋体"/>
          <w:b/>
          <w:sz w:val="24"/>
        </w:rPr>
        <w:t xml:space="preserve"> 永久作用</w:t>
      </w:r>
    </w:p>
    <w:p>
      <w:pPr>
        <w:spacing w:lineRule="auto" w:line="360" w:before="0" w:after="0"/>
        <w:ind w:firstLine="480"/>
      </w:pPr>
      <w:r>
        <w:rPr>
          <w:rFonts w:ascii="Times New Roman" w:hAnsi="Times New Roman" w:eastAsia="宋体"/>
          <w:sz w:val="24"/>
        </w:rPr>
        <w:t>面板混凝土容重取25kN/m³，面板厚度0.35m，则面板自重标准值为：</w:t>
      </w:r>
    </w:p>
    <w:p>
      <w:pPr>
        <w:tabs>
          <w:tab w:pos="4100" w:val="center"/>
          <w:tab w:pos="8200" w:val="right"/>
        </w:tabs>
        <w:spacing w:lineRule="auto" w:line="360" w:before="0" w:after="0"/>
        <w:jc w:val="left"/>
      </w:pPr>
      <w:r>
        <w:tab/>
      </w:r>
      <m:oMath>
        <m:sSub>
          <m:e>
            <m:r>
              <m:t>g</m:t>
            </m:r>
          </m:e>
          <m:sub>
            <m:r>
              <m:t>1</m:t>
            </m:r>
          </m:sub>
        </m:sSub>
        <m:r>
          <m:rPr>
            <m:sty m:val="p"/>
          </m:rPr>
          <m:t>=</m:t>
        </m:r>
        <m:sSub>
          <m:e>
            <m:r>
              <m:t>γ</m:t>
            </m:r>
          </m:e>
          <m:sub>
            <m:r>
              <m:t>c</m:t>
            </m:r>
          </m:sub>
        </m:sSub>
        <m:r>
          <m:t>h</m:t>
        </m:r>
        <m:r>
          <m:rPr>
            <m:sty m:val="p"/>
          </m:rPr>
          <m:t>=</m:t>
        </m:r>
        <m:r>
          <m:t>25</m:t>
        </m:r>
        <m:r>
          <m:rPr>
            <m:sty m:val="p"/>
          </m:rPr>
          <m:t>×</m:t>
        </m:r>
        <m:r>
          <m:t>0.35</m:t>
        </m:r>
        <m:r>
          <m:rPr>
            <m:sty m:val="p"/>
          </m:rPr>
          <m:t>=</m:t>
        </m:r>
        <m:r>
          <m:t>8.75</m:t>
        </m:r>
        <m:r>
          <m:t> </m:t>
        </m:r>
        <m:r>
          <m:rPr>
            <m:sty m:val="p"/>
          </m:rPr>
          <m:t>k</m:t>
        </m:r>
        <m:r>
          <m:rPr>
            <m:sty m:val="p"/>
          </m:rPr>
          <m:t>N</m:t>
        </m:r>
        <m:r>
          <m:rPr>
            <m:sty m:val="p"/>
          </m:rPr>
          <m:t>/</m:t>
        </m:r>
        <m:sSup>
          <m:e>
            <m:r>
              <m:rPr>
                <m:sty m:val="p"/>
              </m:rPr>
              <m:t>m</m:t>
            </m:r>
          </m:e>
          <m:sup>
            <m:r>
              <m:rPr>
                <m:sty m:val="p"/>
              </m:rPr>
              <m:t>2</m:t>
            </m:r>
          </m:sup>
        </m:sSup>
      </m:oMath>
      <w:r>
        <w:rPr>
          <w:rFonts w:ascii="Times New Roman" w:hAnsi="Times New Roman" w:eastAsia="宋体"/>
          <w:sz w:val="24"/>
        </w:rPr>
        <w:tab/>
        <w:t>(6.1)</w:t>
      </w:r>
    </w:p>
    <w:p>
      <w:pPr>
        <w:spacing w:lineRule="auto" w:line="360" w:before="0" w:after="0"/>
        <w:ind w:firstLine="480"/>
      </w:pPr>
      <w:r>
        <w:rPr>
          <w:rFonts w:ascii="Times New Roman" w:hAnsi="Times New Roman" w:eastAsia="宋体"/>
          <w:sz w:val="24"/>
        </w:rPr>
        <w:t>考虑面层、管线及附属设施荷载2.0kN/m²，面板永久作用标准值取10.75kN/m²。</w:t>
      </w:r>
    </w:p>
    <w:p>
      <w:pPr>
        <w:spacing w:lineRule="auto" w:line="360" w:before="0" w:after="0"/>
        <w:ind w:firstLine="480"/>
      </w:pPr>
      <w:r>
        <w:rPr>
          <w:rFonts w:ascii="Times New Roman" w:hAnsi="Times New Roman" w:eastAsia="宋体"/>
          <w:sz w:val="24"/>
        </w:rPr>
        <w:t>永久作用除构件自重外，还包括轨道梁、管沟、廊道支座和附属构造自重。初步设计阶段可按等效面荷载折算，施工图阶段应按构件实际尺寸和设备基础位置分项统计。</w:t>
      </w:r>
    </w:p>
    <w:p>
      <w:pPr>
        <w:pStyle w:val="3"/>
        <w:jc w:val="left"/>
      </w:pPr>
      <w:r>
        <w:rPr>
          <w:rFonts w:ascii="Times New Roman" w:hAnsi="Times New Roman" w:eastAsia="宋体"/>
          <w:b/>
          <w:sz w:val="24"/>
        </w:rPr>
        <w:t xml:space="preserve"> 堆货与设备荷载</w:t>
      </w:r>
    </w:p>
    <w:p>
      <w:pPr>
        <w:spacing w:lineRule="auto" w:line="360" w:before="0" w:after="0"/>
        <w:ind w:firstLine="480"/>
      </w:pPr>
      <w:r>
        <w:rPr>
          <w:rFonts w:ascii="Times New Roman" w:hAnsi="Times New Roman" w:eastAsia="宋体"/>
          <w:sz w:val="24"/>
        </w:rPr>
        <w:t>煤码头前方作业区堆货荷载按60kN/m²初步取值，设备荷载按卸船机轮压进行局部验算。面板标准组合竖向均布荷载为：</w:t>
      </w:r>
    </w:p>
    <w:p>
      <w:pPr>
        <w:tabs>
          <w:tab w:pos="4100" w:val="center"/>
          <w:tab w:pos="8200" w:val="right"/>
        </w:tabs>
        <w:spacing w:lineRule="auto" w:line="360" w:before="0" w:after="0"/>
        <w:jc w:val="left"/>
      </w:pPr>
      <w:r>
        <w:tab/>
      </w:r>
      <m:oMath>
        <m:sSub>
          <m:e>
            <m:r>
              <m:t>q</m:t>
            </m:r>
          </m:e>
          <m:sub>
            <m:r>
              <m:t>k</m:t>
            </m:r>
          </m:sub>
        </m:sSub>
        <m:r>
          <m:rPr>
            <m:sty m:val="p"/>
          </m:rPr>
          <m:t>=</m:t>
        </m:r>
        <m:sSub>
          <m:e>
            <m:r>
              <m:t>g</m:t>
            </m:r>
          </m:e>
          <m:sub>
            <m:r>
              <m:t>k</m:t>
            </m:r>
          </m:sub>
        </m:sSub>
        <m:r>
          <m:rPr>
            <m:sty m:val="p"/>
          </m:rPr>
          <m:t>+</m:t>
        </m:r>
        <m:sSub>
          <m:e>
            <m:r>
              <m:t>q</m:t>
            </m:r>
          </m:e>
          <m:sub>
            <m:r>
              <m:t>c</m:t>
            </m:r>
          </m:sub>
        </m:sSub>
        <m:r>
          <m:rPr>
            <m:sty m:val="p"/>
          </m:rPr>
          <m:t>=</m:t>
        </m:r>
        <m:r>
          <m:t>10.75</m:t>
        </m:r>
        <m:r>
          <m:rPr>
            <m:sty m:val="p"/>
          </m:rPr>
          <m:t>+</m:t>
        </m:r>
        <m:r>
          <m:t>60</m:t>
        </m:r>
        <m:r>
          <m:rPr>
            <m:sty m:val="p"/>
          </m:rPr>
          <m:t>=</m:t>
        </m:r>
        <m:r>
          <m:t>70.75</m:t>
        </m:r>
        <m:r>
          <m:t> </m:t>
        </m:r>
        <m:r>
          <m:rPr>
            <m:sty m:val="p"/>
          </m:rPr>
          <m:t>k</m:t>
        </m:r>
        <m:r>
          <m:rPr>
            <m:sty m:val="p"/>
          </m:rPr>
          <m:t>N</m:t>
        </m:r>
        <m:r>
          <m:rPr>
            <m:sty m:val="p"/>
          </m:rPr>
          <m:t>/</m:t>
        </m:r>
        <m:sSup>
          <m:e>
            <m:r>
              <m:rPr>
                <m:sty m:val="p"/>
              </m:rPr>
              <m:t>m</m:t>
            </m:r>
          </m:e>
          <m:sup>
            <m:r>
              <m:rPr>
                <m:sty m:val="p"/>
              </m:rPr>
              <m:t>2</m:t>
            </m:r>
          </m:sup>
        </m:sSup>
      </m:oMath>
      <w:r>
        <w:rPr>
          <w:rFonts w:ascii="Times New Roman" w:hAnsi="Times New Roman" w:eastAsia="宋体"/>
          <w:sz w:val="24"/>
        </w:rPr>
        <w:tab/>
        <w:t>(6.2)</w:t>
      </w:r>
    </w:p>
    <w:p>
      <w:pPr>
        <w:spacing w:lineRule="auto" w:line="360" w:before="0" w:after="0"/>
        <w:ind w:firstLine="480"/>
      </w:pPr>
      <w:r>
        <w:rPr>
          <w:rFonts w:ascii="Times New Roman" w:hAnsi="Times New Roman" w:eastAsia="宋体"/>
          <w:sz w:val="24"/>
        </w:rPr>
        <w:t>构件承载力初算时，永久作用分项系数暂按1.2、可变作用分项系数暂按1.4考虑，得到竖向设计面荷载：</w:t>
      </w:r>
    </w:p>
    <w:p>
      <w:pPr>
        <w:tabs>
          <w:tab w:pos="4100" w:val="center"/>
          <w:tab w:pos="8200" w:val="right"/>
        </w:tabs>
        <w:spacing w:lineRule="auto" w:line="360" w:before="0" w:after="0"/>
        <w:jc w:val="left"/>
      </w:pPr>
      <w:r>
        <w:tab/>
      </w:r>
      <m:oMath>
        <m:sSub>
          <m:e>
            <m:r>
              <m:t>q</m:t>
            </m:r>
          </m:e>
          <m:sub>
            <m:r>
              <m:t>d</m:t>
            </m:r>
          </m:sub>
        </m:sSub>
        <m:r>
          <m:rPr>
            <m:sty m:val="p"/>
          </m:rPr>
          <m:t>=</m:t>
        </m:r>
        <m:r>
          <m:t>1.2</m:t>
        </m:r>
        <m:sSub>
          <m:e>
            <m:r>
              <m:t>g</m:t>
            </m:r>
          </m:e>
          <m:sub>
            <m:r>
              <m:t>k</m:t>
            </m:r>
          </m:sub>
        </m:sSub>
        <m:r>
          <m:rPr>
            <m:sty m:val="p"/>
          </m:rPr>
          <m:t>+</m:t>
        </m:r>
        <m:r>
          <m:t>1.4</m:t>
        </m:r>
        <m:sSub>
          <m:e>
            <m:r>
              <m:t>q</m:t>
            </m:r>
          </m:e>
          <m:sub>
            <m:r>
              <m:t>c</m:t>
            </m:r>
          </m:sub>
        </m:sSub>
        <m:r>
          <m:rPr>
            <m:sty m:val="p"/>
          </m:rPr>
          <m:t>=</m:t>
        </m:r>
        <m:r>
          <m:t>1.2</m:t>
        </m:r>
        <m:r>
          <m:rPr>
            <m:sty m:val="p"/>
          </m:rPr>
          <m:t>×</m:t>
        </m:r>
        <m:r>
          <m:t>10.75</m:t>
        </m:r>
        <m:r>
          <m:rPr>
            <m:sty m:val="p"/>
          </m:rPr>
          <m:t>+</m:t>
        </m:r>
        <m:r>
          <m:t>1.4</m:t>
        </m:r>
        <m:r>
          <m:rPr>
            <m:sty m:val="p"/>
          </m:rPr>
          <m:t>×</m:t>
        </m:r>
        <m:r>
          <m:t>60</m:t>
        </m:r>
        <m:r>
          <m:rPr>
            <m:sty m:val="p"/>
          </m:rPr>
          <m:t>=</m:t>
        </m:r>
        <m:r>
          <m:t>96.9</m:t>
        </m:r>
        <m:r>
          <m:t> </m:t>
        </m:r>
        <m:r>
          <m:rPr>
            <m:sty m:val="p"/>
          </m:rPr>
          <m:t>k</m:t>
        </m:r>
        <m:r>
          <m:rPr>
            <m:sty m:val="p"/>
          </m:rPr>
          <m:t>N</m:t>
        </m:r>
        <m:r>
          <m:rPr>
            <m:sty m:val="p"/>
          </m:rPr>
          <m:t>/</m:t>
        </m:r>
        <m:sSup>
          <m:e>
            <m:r>
              <m:rPr>
                <m:sty m:val="p"/>
              </m:rPr>
              <m:t>m</m:t>
            </m:r>
          </m:e>
          <m:sup>
            <m:r>
              <m:rPr>
                <m:sty m:val="p"/>
              </m:rPr>
              <m:t>2</m:t>
            </m:r>
          </m:sup>
        </m:sSup>
      </m:oMath>
      <w:r>
        <w:rPr>
          <w:rFonts w:ascii="Times New Roman" w:hAnsi="Times New Roman" w:eastAsia="宋体"/>
          <w:sz w:val="24"/>
        </w:rPr>
        <w:tab/>
        <w:t>(6.3)</w:t>
      </w:r>
    </w:p>
    <w:p>
      <w:pPr>
        <w:spacing w:lineRule="auto" w:line="360" w:before="0" w:after="0"/>
        <w:ind w:firstLine="480"/>
      </w:pPr>
      <w:r>
        <w:rPr>
          <w:rFonts w:ascii="Times New Roman" w:hAnsi="Times New Roman" w:eastAsia="宋体"/>
          <w:sz w:val="24"/>
        </w:rPr>
        <w:t>煤码头堆货荷载和设备荷载具有明显局部性。卸船机轮压集中作用于轨道梁，皮带机廊道通过支座传力，检修车辆和局部堆载作用于面板。计算时应区分面板均布荷载、轨道梁集中荷载和排架水平荷载，避免把所有荷载简单平均。</w:t>
      </w:r>
    </w:p>
    <w:p>
      <w:pPr>
        <w:pStyle w:val="3"/>
        <w:jc w:val="left"/>
      </w:pPr>
      <w:r>
        <w:rPr>
          <w:rFonts w:ascii="Times New Roman" w:hAnsi="Times New Roman" w:eastAsia="宋体"/>
          <w:b/>
          <w:sz w:val="24"/>
        </w:rPr>
        <w:t xml:space="preserve"> 船舶撞击力</w:t>
      </w:r>
    </w:p>
    <w:p>
      <w:pPr>
        <w:spacing w:lineRule="auto" w:line="360" w:before="0" w:after="0"/>
        <w:ind w:firstLine="480"/>
      </w:pPr>
      <w:r>
        <w:rPr>
          <w:rFonts w:ascii="Times New Roman" w:hAnsi="Times New Roman" w:eastAsia="宋体"/>
          <w:sz w:val="24"/>
        </w:rPr>
        <w:t>本工程处于有掩护海域，船舶靠泊速度较小。初步设计中按护舷吸能后作用于前沿构件的水平反力500kN控制，后续施工图阶段应根据船舶有效质量、靠泊速度、偏心系数和护舷特性曲线进一步复核。</w:t>
      </w:r>
    </w:p>
    <w:p>
      <w:pPr>
        <w:pStyle w:val="3"/>
        <w:jc w:val="left"/>
      </w:pPr>
      <w:r>
        <w:rPr>
          <w:rFonts w:ascii="Times New Roman" w:hAnsi="Times New Roman" w:eastAsia="宋体"/>
          <w:b/>
          <w:sz w:val="24"/>
        </w:rPr>
        <w:t xml:space="preserve"> 系缆力</w:t>
      </w:r>
    </w:p>
    <w:p>
      <w:pPr>
        <w:spacing w:lineRule="auto" w:line="360" w:before="0" w:after="0"/>
        <w:ind w:firstLine="480"/>
      </w:pPr>
      <w:r>
        <w:rPr>
          <w:rFonts w:ascii="Times New Roman" w:hAnsi="Times New Roman" w:eastAsia="宋体"/>
          <w:sz w:val="24"/>
        </w:rPr>
        <w:t>5万DWT散货船系船柱初步取650kN等级。系缆力通过系船柱、横梁和桩基传递，正常作业工况下与船舶撞击力不同时取最大值，风况控制时按运营管理要求限制作业。</w:t>
      </w:r>
    </w:p>
    <w:p>
      <w:pPr>
        <w:pStyle w:val="3"/>
        <w:jc w:val="left"/>
      </w:pPr>
      <w:r>
        <w:rPr>
          <w:rFonts w:ascii="Times New Roman" w:hAnsi="Times New Roman" w:eastAsia="宋体"/>
          <w:b/>
          <w:sz w:val="24"/>
        </w:rPr>
        <w:t xml:space="preserve"> 作用效应组合</w:t>
      </w:r>
    </w:p>
    <w:p>
      <w:pPr>
        <w:spacing w:lineRule="auto" w:line="360" w:before="0" w:after="0"/>
        <w:ind w:firstLine="480"/>
      </w:pPr>
      <w:r>
        <w:rPr>
          <w:rFonts w:ascii="Times New Roman" w:hAnsi="Times New Roman" w:eastAsia="宋体"/>
          <w:sz w:val="24"/>
        </w:rPr>
        <w:t>初步计算采用“永久作用+堆货荷载+设备荷载”为竖向控制组合，采用“永久作用+船舶撞击力”或“永久作用+系缆力”为水平控制组合。构件受弯和配筋按设计面荷载进行承载能力初算，桩基竖向承载力、沉降和正常使用状态按标准组合复核；水平集中力作用于前沿时，应按上部结构水平刚度和排架间距考虑相邻排架分配。施工图阶段仍需按港口工程荷载规范补充设备轮压最不利位置、施工荷载、温度作用、地震作用和组合系数。主要荷载取值见表6-2。</w:t>
      </w:r>
    </w:p>
    <w:p>
      <w:pPr>
        <w:keepNext/>
        <w:spacing w:lineRule="auto" w:line="300" w:before="0" w:after="120"/>
        <w:jc w:val="center"/>
      </w:pPr>
      <w:r>
        <w:rPr>
          <w:rFonts w:ascii="Times New Roman" w:hAnsi="Times New Roman" w:eastAsia="宋体"/>
          <w:b w:val="0"/>
          <w:sz w:val="20"/>
        </w:rPr>
        <w:t>表6-2 主要荷载取值</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592"/>
        <w:gridCol w:w="2592"/>
        <w:gridCol w:w="3168"/>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荷载类别</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取值</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用途</w:t>
            </w:r>
          </w:p>
        </w:tc>
      </w:tr>
      <w:tr>
        <w:trPr>
          <w:cantSplit/>
        </w:trPr>
        <w:tc>
          <w:tcPr>
            <w:tcW w:type="dxa" w:w="2592"/>
            <w:vAlign w:val="center"/>
          </w:tcPr>
          <w:p>
            <w:pPr>
              <w:keepLines/>
              <w:spacing w:lineRule="auto" w:line="276"/>
              <w:jc w:val="center"/>
            </w:pPr>
            <w:r>
              <w:rPr>
                <w:rFonts w:ascii="Times New Roman" w:hAnsi="Times New Roman" w:eastAsia="宋体"/>
                <w:b w:val="0"/>
                <w:sz w:val="18"/>
              </w:rPr>
              <w:t>面板自重</w:t>
            </w:r>
          </w:p>
        </w:tc>
        <w:tc>
          <w:tcPr>
            <w:tcW w:type="dxa" w:w="2592"/>
            <w:vAlign w:val="center"/>
          </w:tcPr>
          <w:p>
            <w:pPr>
              <w:keepLines/>
              <w:spacing w:lineRule="auto" w:line="276"/>
              <w:jc w:val="center"/>
            </w:pPr>
            <w:r>
              <w:rPr>
                <w:rFonts w:ascii="Times New Roman" w:hAnsi="Times New Roman" w:eastAsia="宋体"/>
                <w:b w:val="0"/>
                <w:sz w:val="18"/>
              </w:rPr>
              <w:t>8.75kN/m²</w:t>
            </w:r>
          </w:p>
        </w:tc>
        <w:tc>
          <w:tcPr>
            <w:tcW w:type="dxa" w:w="3168"/>
            <w:vAlign w:val="center"/>
          </w:tcPr>
          <w:p>
            <w:pPr>
              <w:keepLines/>
              <w:spacing w:lineRule="auto" w:line="276"/>
              <w:jc w:val="center"/>
            </w:pPr>
            <w:r>
              <w:rPr>
                <w:rFonts w:ascii="Times New Roman" w:hAnsi="Times New Roman" w:eastAsia="宋体"/>
                <w:b w:val="0"/>
                <w:sz w:val="18"/>
              </w:rPr>
              <w:t>面板和梁系计算</w:t>
            </w:r>
          </w:p>
        </w:tc>
      </w:tr>
      <w:tr>
        <w:trPr>
          <w:cantSplit/>
        </w:trPr>
        <w:tc>
          <w:tcPr>
            <w:tcW w:type="dxa" w:w="2592"/>
            <w:vAlign w:val="center"/>
          </w:tcPr>
          <w:p>
            <w:pPr>
              <w:keepLines/>
              <w:spacing w:lineRule="auto" w:line="276"/>
              <w:jc w:val="center"/>
            </w:pPr>
            <w:r>
              <w:rPr>
                <w:rFonts w:ascii="Times New Roman" w:hAnsi="Times New Roman" w:eastAsia="宋体"/>
                <w:b w:val="0"/>
                <w:sz w:val="18"/>
              </w:rPr>
              <w:t>附加恒载</w:t>
            </w:r>
          </w:p>
        </w:tc>
        <w:tc>
          <w:tcPr>
            <w:tcW w:type="dxa" w:w="2592"/>
            <w:vAlign w:val="center"/>
          </w:tcPr>
          <w:p>
            <w:pPr>
              <w:keepLines/>
              <w:spacing w:lineRule="auto" w:line="276"/>
              <w:jc w:val="center"/>
            </w:pPr>
            <w:r>
              <w:rPr>
                <w:rFonts w:ascii="Times New Roman" w:hAnsi="Times New Roman" w:eastAsia="宋体"/>
                <w:b w:val="0"/>
                <w:sz w:val="18"/>
              </w:rPr>
              <w:t>2.0kN/m²</w:t>
            </w:r>
          </w:p>
        </w:tc>
        <w:tc>
          <w:tcPr>
            <w:tcW w:type="dxa" w:w="3168"/>
            <w:vAlign w:val="center"/>
          </w:tcPr>
          <w:p>
            <w:pPr>
              <w:keepLines/>
              <w:spacing w:lineRule="auto" w:line="276"/>
              <w:jc w:val="center"/>
            </w:pPr>
            <w:r>
              <w:rPr>
                <w:rFonts w:ascii="Times New Roman" w:hAnsi="Times New Roman" w:eastAsia="宋体"/>
                <w:b w:val="0"/>
                <w:sz w:val="18"/>
              </w:rPr>
              <w:t>面层及附属设施</w:t>
            </w:r>
          </w:p>
        </w:tc>
      </w:tr>
      <w:tr>
        <w:trPr>
          <w:cantSplit/>
        </w:trPr>
        <w:tc>
          <w:tcPr>
            <w:tcW w:type="dxa" w:w="2592"/>
            <w:vAlign w:val="center"/>
          </w:tcPr>
          <w:p>
            <w:pPr>
              <w:keepLines/>
              <w:spacing w:lineRule="auto" w:line="276"/>
              <w:jc w:val="center"/>
            </w:pPr>
            <w:r>
              <w:rPr>
                <w:rFonts w:ascii="Times New Roman" w:hAnsi="Times New Roman" w:eastAsia="宋体"/>
                <w:b w:val="0"/>
                <w:sz w:val="18"/>
              </w:rPr>
              <w:t>堆货荷载</w:t>
            </w:r>
          </w:p>
        </w:tc>
        <w:tc>
          <w:tcPr>
            <w:tcW w:type="dxa" w:w="2592"/>
            <w:vAlign w:val="center"/>
          </w:tcPr>
          <w:p>
            <w:pPr>
              <w:keepLines/>
              <w:spacing w:lineRule="auto" w:line="276"/>
              <w:jc w:val="center"/>
            </w:pPr>
            <w:r>
              <w:rPr>
                <w:rFonts w:ascii="Times New Roman" w:hAnsi="Times New Roman" w:eastAsia="宋体"/>
                <w:b w:val="0"/>
                <w:sz w:val="18"/>
              </w:rPr>
              <w:t>60kN/m²</w:t>
            </w:r>
          </w:p>
        </w:tc>
        <w:tc>
          <w:tcPr>
            <w:tcW w:type="dxa" w:w="3168"/>
            <w:vAlign w:val="center"/>
          </w:tcPr>
          <w:p>
            <w:pPr>
              <w:keepLines/>
              <w:spacing w:lineRule="auto" w:line="276"/>
              <w:jc w:val="center"/>
            </w:pPr>
            <w:r>
              <w:rPr>
                <w:rFonts w:ascii="Times New Roman" w:hAnsi="Times New Roman" w:eastAsia="宋体"/>
                <w:b w:val="0"/>
                <w:sz w:val="18"/>
              </w:rPr>
              <w:t>前方作业区控制荷载</w:t>
            </w:r>
          </w:p>
        </w:tc>
      </w:tr>
      <w:tr>
        <w:trPr>
          <w:cantSplit/>
        </w:trPr>
        <w:tc>
          <w:tcPr>
            <w:tcW w:type="dxa" w:w="2592"/>
            <w:vAlign w:val="center"/>
          </w:tcPr>
          <w:p>
            <w:pPr>
              <w:keepLines/>
              <w:spacing w:lineRule="auto" w:line="276"/>
              <w:jc w:val="center"/>
            </w:pPr>
            <w:r>
              <w:rPr>
                <w:rFonts w:ascii="Times New Roman" w:hAnsi="Times New Roman" w:eastAsia="宋体"/>
                <w:b w:val="0"/>
                <w:sz w:val="18"/>
              </w:rPr>
              <w:t>卸船机轮压</w:t>
            </w:r>
          </w:p>
        </w:tc>
        <w:tc>
          <w:tcPr>
            <w:tcW w:type="dxa" w:w="2592"/>
            <w:vAlign w:val="center"/>
          </w:tcPr>
          <w:p>
            <w:pPr>
              <w:keepLines/>
              <w:spacing w:lineRule="auto" w:line="276"/>
              <w:jc w:val="center"/>
            </w:pPr>
            <w:r>
              <w:rPr>
                <w:rFonts w:ascii="Times New Roman" w:hAnsi="Times New Roman" w:eastAsia="宋体"/>
                <w:b w:val="0"/>
                <w:sz w:val="18"/>
              </w:rPr>
              <w:t>350kN/轮</w:t>
            </w:r>
          </w:p>
        </w:tc>
        <w:tc>
          <w:tcPr>
            <w:tcW w:type="dxa" w:w="3168"/>
            <w:vAlign w:val="center"/>
          </w:tcPr>
          <w:p>
            <w:pPr>
              <w:keepLines/>
              <w:spacing w:lineRule="auto" w:line="276"/>
              <w:jc w:val="center"/>
            </w:pPr>
            <w:r>
              <w:rPr>
                <w:rFonts w:ascii="Times New Roman" w:hAnsi="Times New Roman" w:eastAsia="宋体"/>
                <w:b w:val="0"/>
                <w:sz w:val="18"/>
              </w:rPr>
              <w:t>轨道梁局部验算</w:t>
            </w:r>
          </w:p>
        </w:tc>
      </w:tr>
      <w:tr>
        <w:trPr>
          <w:cantSplit/>
        </w:trPr>
        <w:tc>
          <w:tcPr>
            <w:tcW w:type="dxa" w:w="2592"/>
            <w:vAlign w:val="center"/>
          </w:tcPr>
          <w:p>
            <w:pPr>
              <w:keepLines/>
              <w:spacing w:lineRule="auto" w:line="276"/>
              <w:jc w:val="center"/>
            </w:pPr>
            <w:r>
              <w:rPr>
                <w:rFonts w:ascii="Times New Roman" w:hAnsi="Times New Roman" w:eastAsia="宋体"/>
                <w:b w:val="0"/>
                <w:sz w:val="18"/>
              </w:rPr>
              <w:t>船舶撞击力</w:t>
            </w:r>
          </w:p>
        </w:tc>
        <w:tc>
          <w:tcPr>
            <w:tcW w:type="dxa" w:w="2592"/>
            <w:vAlign w:val="center"/>
          </w:tcPr>
          <w:p>
            <w:pPr>
              <w:keepLines/>
              <w:spacing w:lineRule="auto" w:line="276"/>
              <w:jc w:val="center"/>
            </w:pPr>
            <w:r>
              <w:rPr>
                <w:rFonts w:ascii="Times New Roman" w:hAnsi="Times New Roman" w:eastAsia="宋体"/>
                <w:b w:val="0"/>
                <w:sz w:val="18"/>
              </w:rPr>
              <w:t>500kN</w:t>
            </w:r>
          </w:p>
        </w:tc>
        <w:tc>
          <w:tcPr>
            <w:tcW w:type="dxa" w:w="3168"/>
            <w:vAlign w:val="center"/>
          </w:tcPr>
          <w:p>
            <w:pPr>
              <w:keepLines/>
              <w:spacing w:lineRule="auto" w:line="276"/>
              <w:jc w:val="center"/>
            </w:pPr>
            <w:r>
              <w:rPr>
                <w:rFonts w:ascii="Times New Roman" w:hAnsi="Times New Roman" w:eastAsia="宋体"/>
                <w:b w:val="0"/>
                <w:sz w:val="18"/>
              </w:rPr>
              <w:t>靠船构件和桩基水平作用</w:t>
            </w:r>
          </w:p>
        </w:tc>
      </w:tr>
      <w:tr>
        <w:trPr>
          <w:cantSplit/>
        </w:trPr>
        <w:tc>
          <w:tcPr>
            <w:tcW w:type="dxa" w:w="2592"/>
            <w:vAlign w:val="center"/>
          </w:tcPr>
          <w:p>
            <w:pPr>
              <w:keepLines/>
              <w:spacing w:lineRule="auto" w:line="276"/>
              <w:jc w:val="center"/>
            </w:pPr>
            <w:r>
              <w:rPr>
                <w:rFonts w:ascii="Times New Roman" w:hAnsi="Times New Roman" w:eastAsia="宋体"/>
                <w:b w:val="0"/>
                <w:sz w:val="18"/>
              </w:rPr>
              <w:t>系缆力</w:t>
            </w:r>
          </w:p>
        </w:tc>
        <w:tc>
          <w:tcPr>
            <w:tcW w:type="dxa" w:w="2592"/>
            <w:vAlign w:val="center"/>
          </w:tcPr>
          <w:p>
            <w:pPr>
              <w:keepLines/>
              <w:spacing w:lineRule="auto" w:line="276"/>
              <w:jc w:val="center"/>
            </w:pPr>
            <w:r>
              <w:rPr>
                <w:rFonts w:ascii="Times New Roman" w:hAnsi="Times New Roman" w:eastAsia="宋体"/>
                <w:b w:val="0"/>
                <w:sz w:val="18"/>
              </w:rPr>
              <w:t>650kN</w:t>
            </w:r>
          </w:p>
        </w:tc>
        <w:tc>
          <w:tcPr>
            <w:tcW w:type="dxa" w:w="3168"/>
            <w:vAlign w:val="center"/>
          </w:tcPr>
          <w:p>
            <w:pPr>
              <w:keepLines/>
              <w:spacing w:lineRule="auto" w:line="276"/>
              <w:jc w:val="center"/>
            </w:pPr>
            <w:r>
              <w:rPr>
                <w:rFonts w:ascii="Times New Roman" w:hAnsi="Times New Roman" w:eastAsia="宋体"/>
                <w:b w:val="0"/>
                <w:sz w:val="18"/>
              </w:rPr>
              <w:t>系船柱和横梁验算</w:t>
            </w:r>
          </w:p>
        </w:tc>
      </w:tr>
    </w:tbl>
    <w:p/>
    <w:p>
      <w:pPr>
        <w:spacing w:before="120" w:after="0"/>
        <w:jc w:val="center"/>
      </w:pPr>
      <w:r>
        <w:drawing>
          <wp:inline xmlns:a="http://schemas.openxmlformats.org/drawingml/2006/main" xmlns:pic="http://schemas.openxmlformats.org/drawingml/2006/picture">
            <wp:extent cx="5120640" cy="3413760"/>
            <wp:docPr id="12" name="Picture 12"/>
            <wp:cNvGraphicFramePr>
              <a:graphicFrameLocks noChangeAspect="1"/>
            </wp:cNvGraphicFramePr>
            <a:graphic>
              <a:graphicData uri="http://schemas.openxmlformats.org/drawingml/2006/picture">
                <pic:pic>
                  <pic:nvPicPr>
                    <pic:cNvPr id="0" name="fig6-2-load-model.png"/>
                    <pic:cNvPicPr/>
                  </pic:nvPicPr>
                  <pic:blipFill>
                    <a:blip r:embed="rId40"/>
                    <a:stretch>
                      <a:fillRect/>
                    </a:stretch>
                  </pic:blipFill>
                  <pic:spPr>
                    <a:xfrm>
                      <a:off x="0" y="0"/>
                      <a:ext cx="5120640" cy="341376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图6-3 高桩梁板式码头荷载与桩基传力示意</w:t>
      </w:r>
    </w:p>
    <w:p>
      <w:pPr>
        <w:spacing w:lineRule="auto" w:line="360" w:before="0" w:after="0"/>
        <w:ind w:firstLine="480"/>
      </w:pPr>
      <w:r>
        <w:rPr>
          <w:rFonts w:ascii="Times New Roman" w:hAnsi="Times New Roman" w:eastAsia="宋体"/>
          <w:sz w:val="24"/>
        </w:rPr>
        <w:t>作用效应组合应服务于构件控制。面板以均布荷载下受弯受剪为主，纵梁以连续梁受弯和支座剪力为主，横向排架以设备荷载和船舶水平作用组合为主，桩基则需同时检查竖向承载、水平位移和桩身弯矩。</w:t>
      </w:r>
    </w:p>
    <w:p>
      <w:pPr>
        <w:spacing w:before="120" w:after="0"/>
        <w:jc w:val="center"/>
      </w:pPr>
      <w:r>
        <w:drawing>
          <wp:inline xmlns:a="http://schemas.openxmlformats.org/drawingml/2006/main" xmlns:pic="http://schemas.openxmlformats.org/drawingml/2006/picture">
            <wp:extent cx="5349240" cy="3566160"/>
            <wp:docPr id="13" name="Picture 13"/>
            <wp:cNvGraphicFramePr>
              <a:graphicFrameLocks noChangeAspect="1"/>
            </wp:cNvGraphicFramePr>
            <a:graphic>
              <a:graphicData uri="http://schemas.openxmlformats.org/drawingml/2006/picture">
                <pic:pic>
                  <pic:nvPicPr>
                    <pic:cNvPr id="0" name="fig6-4-high-pile-load-transfer.png"/>
                    <pic:cNvPicPr/>
                  </pic:nvPicPr>
                  <pic:blipFill>
                    <a:blip r:embed="rId41"/>
                    <a:stretch>
                      <a:fillRect/>
                    </a:stretch>
                  </pic:blipFill>
                  <pic:spPr>
                    <a:xfrm>
                      <a:off x="0" y="0"/>
                      <a:ext cx="5349240" cy="356616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图6-4 高桩排架受力与桩基传力示意</w:t>
      </w:r>
    </w:p>
    <w:p>
      <w:pPr>
        <w:spacing w:lineRule="auto" w:line="360" w:before="0" w:after="0"/>
        <w:ind w:firstLine="480"/>
      </w:pPr>
      <w:r>
        <w:rPr>
          <w:rFonts w:ascii="Times New Roman" w:hAnsi="Times New Roman" w:eastAsia="宋体"/>
          <w:sz w:val="24"/>
        </w:rPr>
        <w:t>图6-4进一步说明推荐高桩方案的传力路径。卸船机轮压、皮带机廊道荷载、面板均布荷载和靠船系缆水平力先由上部梁板体系收集，再通过横梁和桩帽传递到各排PHC管桩，最终由桩侧阻力和桩端阻力共同承担。该传力关系是后续排架、桩基和节点复核的基础。</w:t>
      </w:r>
    </w:p>
    <w:p>
      <w:pPr>
        <w:pStyle w:val="2"/>
        <w:jc w:val="left"/>
      </w:pPr>
      <w:r>
        <w:rPr>
          <w:rFonts w:ascii="Times New Roman" w:hAnsi="Times New Roman" w:eastAsia="宋体"/>
          <w:b/>
          <w:sz w:val="24"/>
        </w:rPr>
        <w:t xml:space="preserve"> 面板计算</w:t>
      </w:r>
    </w:p>
    <w:p>
      <w:pPr>
        <w:pStyle w:val="3"/>
        <w:jc w:val="left"/>
      </w:pPr>
      <w:r>
        <w:rPr>
          <w:rFonts w:ascii="Times New Roman" w:hAnsi="Times New Roman" w:eastAsia="宋体"/>
          <w:b/>
          <w:sz w:val="24"/>
        </w:rPr>
        <w:t xml:space="preserve"> 计算简图</w:t>
      </w:r>
    </w:p>
    <w:p>
      <w:pPr>
        <w:spacing w:lineRule="auto" w:line="360" w:before="0" w:after="0"/>
        <w:ind w:firstLine="480"/>
      </w:pPr>
      <w:r>
        <w:rPr>
          <w:rFonts w:ascii="Times New Roman" w:hAnsi="Times New Roman" w:eastAsia="宋体"/>
          <w:sz w:val="24"/>
        </w:rPr>
        <w:t>面板按纵梁间距3.0m的单向板计算，取1m板宽作为计算单元，承载力计算采用竖向设计面荷载96.9kN/m²。梁板式码头面板可按单向板或双向板简化，长短跨比、支承条件和集中轮压是确定计算模型的主要因素；本设计在初步阶段先按简支单向板估算跨中弯矩，卸船机轮压作用区另按局部冲切和局部受剪控制。</w:t>
      </w:r>
    </w:p>
    <w:p>
      <w:pPr>
        <w:spacing w:lineRule="auto" w:line="360" w:before="0" w:after="0"/>
        <w:ind w:firstLine="480"/>
      </w:pPr>
      <w:r>
        <w:rPr>
          <w:rFonts w:ascii="Times New Roman" w:hAnsi="Times New Roman" w:eastAsia="宋体"/>
          <w:sz w:val="24"/>
        </w:rPr>
        <w:t>面板计算简图应与实际支承条件一致。预制叠合板在施工阶段可能按简支构件受力，现浇层和节点形成后可按连续体系考虑。若施工阶段临时荷载较大，需单独复核吊装、堆放和未形成整体前的面板受力。</w:t>
      </w:r>
    </w:p>
    <w:p>
      <w:pPr>
        <w:pStyle w:val="3"/>
        <w:jc w:val="left"/>
      </w:pPr>
      <w:r>
        <w:rPr>
          <w:rFonts w:ascii="Times New Roman" w:hAnsi="Times New Roman" w:eastAsia="宋体"/>
          <w:b/>
          <w:sz w:val="24"/>
        </w:rPr>
        <w:t xml:space="preserve"> 内力计算</w:t>
      </w:r>
    </w:p>
    <w:p>
      <w:pPr>
        <w:tabs>
          <w:tab w:pos="4100" w:val="center"/>
          <w:tab w:pos="8200" w:val="right"/>
        </w:tabs>
        <w:spacing w:lineRule="auto" w:line="360" w:before="0" w:after="0"/>
        <w:jc w:val="left"/>
      </w:pPr>
      <w:r>
        <w:tab/>
      </w:r>
      <m:oMath>
        <m:r>
          <m:t>M</m:t>
        </m:r>
        <m:r>
          <m:rPr>
            <m:sty m:val="p"/>
          </m:rPr>
          <m:t>=</m:t>
        </m:r>
        <m:f>
          <m:fPr>
            <m:type m:val="bar"/>
          </m:fPr>
          <m:num>
            <m:sSub>
              <m:e>
                <m:r>
                  <m:t>q</m:t>
                </m:r>
              </m:e>
              <m:sub>
                <m:r>
                  <m:t>d</m:t>
                </m:r>
              </m:sub>
            </m:sSub>
            <m:sSup>
              <m:e>
                <m:r>
                  <m:t>l</m:t>
                </m:r>
              </m:e>
              <m:sup>
                <m:r>
                  <m:t>2</m:t>
                </m:r>
              </m:sup>
            </m:sSup>
          </m:num>
          <m:den>
            <m:r>
              <m:t>8</m:t>
            </m:r>
          </m:den>
        </m:f>
        <m:r>
          <m:rPr>
            <m:sty m:val="p"/>
          </m:rPr>
          <m:t>=</m:t>
        </m:r>
        <m:f>
          <m:fPr>
            <m:type m:val="bar"/>
          </m:fPr>
          <m:num>
            <m:r>
              <m:t>96.9</m:t>
            </m:r>
            <m:r>
              <m:rPr>
                <m:sty m:val="p"/>
              </m:rPr>
              <m:t>×</m:t>
            </m:r>
            <m:sSup>
              <m:e>
                <m:r>
                  <m:t>3.0</m:t>
                </m:r>
              </m:e>
              <m:sup>
                <m:r>
                  <m:t>2</m:t>
                </m:r>
              </m:sup>
            </m:sSup>
          </m:num>
          <m:den>
            <m:r>
              <m:t>8</m:t>
            </m:r>
          </m:den>
        </m:f>
        <m:r>
          <m:rPr>
            <m:sty m:val="p"/>
          </m:rPr>
          <m:t>=</m:t>
        </m:r>
        <m:r>
          <m:t>109.0</m:t>
        </m:r>
        <m:r>
          <m:t> </m:t>
        </m:r>
        <m:r>
          <m:rPr>
            <m:sty m:val="p"/>
          </m:rPr>
          <m:t>k</m:t>
        </m:r>
        <m:r>
          <m:rPr>
            <m:sty m:val="p"/>
          </m:rPr>
          <m:t>N</m:t>
        </m:r>
        <m:r>
          <m:rPr>
            <m:sty m:val="p"/>
          </m:rPr>
          <m:t>⋅</m:t>
        </m:r>
        <m:r>
          <m:rPr>
            <m:sty m:val="p"/>
          </m:rPr>
          <m:t>m</m:t>
        </m:r>
        <m:r>
          <m:rPr>
            <m:sty m:val="p"/>
          </m:rPr>
          <m:t>/</m:t>
        </m:r>
        <m:r>
          <m:rPr>
            <m:sty m:val="p"/>
          </m:rPr>
          <m:t>m</m:t>
        </m:r>
      </m:oMath>
      <w:r>
        <w:rPr>
          <w:rFonts w:ascii="Times New Roman" w:hAnsi="Times New Roman" w:eastAsia="宋体"/>
          <w:sz w:val="24"/>
        </w:rPr>
        <w:tab/>
        <w:t>(6.4)</w:t>
      </w:r>
    </w:p>
    <w:p>
      <w:pPr>
        <w:pStyle w:val="3"/>
        <w:jc w:val="left"/>
      </w:pPr>
      <w:r>
        <w:rPr>
          <w:rFonts w:ascii="Times New Roman" w:hAnsi="Times New Roman" w:eastAsia="宋体"/>
          <w:b/>
          <w:sz w:val="24"/>
        </w:rPr>
        <w:t xml:space="preserve"> 配筋与裂缝验算</w:t>
      </w:r>
    </w:p>
    <w:p>
      <w:pPr>
        <w:spacing w:lineRule="auto" w:line="360" w:before="0" w:after="0"/>
        <w:ind w:firstLine="480"/>
      </w:pPr>
      <w:r>
        <w:rPr>
          <w:rFonts w:ascii="Times New Roman" w:hAnsi="Times New Roman" w:eastAsia="宋体"/>
          <w:sz w:val="24"/>
        </w:rPr>
        <w:t>面板厚度350mm，取有效高度h0=300mm，钢筋强度设计值fy=360MPa，所需受拉钢筋面积为：</w:t>
      </w:r>
    </w:p>
    <w:p>
      <w:pPr>
        <w:tabs>
          <w:tab w:pos="4100" w:val="center"/>
          <w:tab w:pos="8200" w:val="right"/>
        </w:tabs>
        <w:spacing w:lineRule="auto" w:line="360" w:before="0" w:after="0"/>
        <w:jc w:val="left"/>
      </w:pPr>
      <w:r>
        <w:tab/>
      </w:r>
      <m:oMath>
        <m:sSub>
          <m:e>
            <m:r>
              <m:t>A</m:t>
            </m:r>
          </m:e>
          <m:sub>
            <m:r>
              <m:t>s</m:t>
            </m:r>
          </m:sub>
        </m:sSub>
        <m:r>
          <m:rPr>
            <m:sty m:val="p"/>
          </m:rPr>
          <m:t>=</m:t>
        </m:r>
        <m:f>
          <m:fPr>
            <m:type m:val="bar"/>
          </m:fPr>
          <m:num>
            <m:r>
              <m:t>M</m:t>
            </m:r>
          </m:num>
          <m:den>
            <m:r>
              <m:t>0.87</m:t>
            </m:r>
            <m:sSub>
              <m:e>
                <m:r>
                  <m:t>f</m:t>
                </m:r>
              </m:e>
              <m:sub>
                <m:r>
                  <m:t>y</m:t>
                </m:r>
              </m:sub>
            </m:sSub>
            <m:sSub>
              <m:e>
                <m:r>
                  <m:t>h</m:t>
                </m:r>
              </m:e>
              <m:sub>
                <m:r>
                  <m:t>0</m:t>
                </m:r>
              </m:sub>
            </m:sSub>
          </m:den>
        </m:f>
        <m:r>
          <m:rPr>
            <m:sty m:val="p"/>
          </m:rPr>
          <m:t>=</m:t>
        </m:r>
        <m:f>
          <m:fPr>
            <m:type m:val="bar"/>
          </m:fPr>
          <m:num>
            <m:r>
              <m:t>109.0</m:t>
            </m:r>
            <m:r>
              <m:rPr>
                <m:sty m:val="p"/>
              </m:rPr>
              <m:t>×</m:t>
            </m:r>
            <m:sSup>
              <m:e>
                <m:r>
                  <m:t>10</m:t>
                </m:r>
              </m:e>
              <m:sup>
                <m:r>
                  <m:t>6</m:t>
                </m:r>
              </m:sup>
            </m:sSup>
          </m:num>
          <m:den>
            <m:r>
              <m:t>0.87</m:t>
            </m:r>
            <m:r>
              <m:rPr>
                <m:sty m:val="p"/>
              </m:rPr>
              <m:t>×</m:t>
            </m:r>
            <m:r>
              <m:t>360</m:t>
            </m:r>
            <m:r>
              <m:rPr>
                <m:sty m:val="p"/>
              </m:rPr>
              <m:t>×</m:t>
            </m:r>
            <m:r>
              <m:t>300</m:t>
            </m:r>
          </m:den>
        </m:f>
        <m:r>
          <m:rPr>
            <m:sty m:val="p"/>
          </m:rPr>
          <m:t>=</m:t>
        </m:r>
        <m:r>
          <m:t>1160</m:t>
        </m:r>
        <m:r>
          <m:t> </m:t>
        </m:r>
        <m:r>
          <m:rPr>
            <m:sty m:val="p"/>
          </m:rPr>
          <m:t>m</m:t>
        </m:r>
        <m:sSup>
          <m:e>
            <m:r>
              <m:rPr>
                <m:sty m:val="p"/>
              </m:rPr>
              <m:t>m</m:t>
            </m:r>
          </m:e>
          <m:sup>
            <m:r>
              <m:rPr>
                <m:sty m:val="p"/>
              </m:rPr>
              <m:t>2</m:t>
            </m:r>
          </m:sup>
        </m:sSup>
        <m:r>
          <m:rPr>
            <m:sty m:val="p"/>
          </m:rPr>
          <m:t>/</m:t>
        </m:r>
        <m:r>
          <m:rPr>
            <m:sty m:val="p"/>
          </m:rPr>
          <m:t>m</m:t>
        </m:r>
      </m:oMath>
      <w:r>
        <w:rPr>
          <w:rFonts w:ascii="Times New Roman" w:hAnsi="Times New Roman" w:eastAsia="宋体"/>
          <w:sz w:val="24"/>
        </w:rPr>
        <w:tab/>
        <w:t>(6.5)</w:t>
      </w:r>
    </w:p>
    <w:p>
      <w:pPr>
        <w:spacing w:lineRule="auto" w:line="360" w:before="0" w:after="0"/>
        <w:ind w:firstLine="480"/>
      </w:pPr>
      <w:r>
        <w:rPr>
          <w:rFonts w:ascii="Times New Roman" w:hAnsi="Times New Roman" w:eastAsia="宋体"/>
          <w:sz w:val="24"/>
        </w:rPr>
        <w:t>采用Φ16@150钢筋，配筋面积为1340mm²/m，大于计算需要值，满足初步配筋要求。卸船机轮压及检修车辆作用处应在轨道梁、面板支承边附近复核局部冲切、局部受剪和负弯矩配筋；裂缝宽度需在施工图阶段结合混凝土强度、保护层厚度和长期作用进一步复核。</w:t>
      </w:r>
    </w:p>
    <w:p>
      <w:pPr>
        <w:spacing w:lineRule="auto" w:line="360" w:before="0" w:after="0"/>
        <w:ind w:firstLine="480"/>
      </w:pPr>
      <w:r>
        <w:rPr>
          <w:rFonts w:ascii="Times New Roman" w:hAnsi="Times New Roman" w:eastAsia="宋体"/>
          <w:sz w:val="24"/>
        </w:rPr>
        <w:t>配筋初算满足后，还应检查裂缝宽度、保护层厚度和施工缝位置。煤码头面板长期处于海洋氯盐和煤尘环境，裂缝控制不仅影响承载力，也影响钢筋耐久性。</w:t>
      </w:r>
    </w:p>
    <w:p>
      <w:pPr>
        <w:spacing w:lineRule="auto" w:line="360" w:before="0" w:after="0"/>
        <w:ind w:firstLine="480"/>
      </w:pPr>
      <w:r>
        <w:rPr>
          <w:rFonts w:ascii="Times New Roman" w:hAnsi="Times New Roman" w:eastAsia="宋体"/>
          <w:sz w:val="24"/>
        </w:rPr>
        <w:t>为避免配筋说明停留在选筋结论，进一步按Φ16@150计算实配钢筋面积和配筋率：</w:t>
      </w:r>
    </w:p>
    <w:p>
      <w:pPr>
        <w:tabs>
          <w:tab w:pos="4100" w:val="center"/>
          <w:tab w:pos="8200" w:val="right"/>
        </w:tabs>
        <w:spacing w:lineRule="auto" w:line="360" w:before="0" w:after="0"/>
        <w:jc w:val="left"/>
      </w:pPr>
      <w:r>
        <w:tab/>
      </w:r>
      <m:oMath>
        <m:sSub>
          <m:e>
            <m:r>
              <m:t>A</m:t>
            </m:r>
          </m:e>
          <m:sub>
            <m:r>
              <m:t>s</m:t>
            </m:r>
            <m:r>
              <m:rPr>
                <m:sty m:val="p"/>
              </m:rPr>
              <m:t>,</m:t>
            </m:r>
            <m:r>
              <m:t>p</m:t>
            </m:r>
            <m:r>
              <m:t>r</m:t>
            </m:r>
            <m:r>
              <m:t>o</m:t>
            </m:r>
            <m:r>
              <m:t>v</m:t>
            </m:r>
          </m:sub>
        </m:sSub>
        <m:r>
          <m:rPr>
            <m:sty m:val="p"/>
          </m:rPr>
          <m:t>=</m:t>
        </m:r>
        <m:f>
          <m:fPr>
            <m:type m:val="bar"/>
          </m:fPr>
          <m:num>
            <m:r>
              <m:t>π</m:t>
            </m:r>
            <m:r>
              <m:rPr>
                <m:sty m:val="p"/>
              </m:rPr>
              <m:t>×</m:t>
            </m:r>
            <m:sSup>
              <m:e>
                <m:r>
                  <m:t>16</m:t>
                </m:r>
              </m:e>
              <m:sup>
                <m:r>
                  <m:t>2</m:t>
                </m:r>
              </m:sup>
            </m:sSup>
          </m:num>
          <m:den>
            <m:r>
              <m:t>4</m:t>
            </m:r>
          </m:den>
        </m:f>
        <m:r>
          <m:rPr>
            <m:sty m:val="p"/>
          </m:rPr>
          <m:t>×</m:t>
        </m:r>
        <m:f>
          <m:fPr>
            <m:type m:val="bar"/>
          </m:fPr>
          <m:num>
            <m:r>
              <m:t>1000</m:t>
            </m:r>
          </m:num>
          <m:den>
            <m:r>
              <m:t>150</m:t>
            </m:r>
          </m:den>
        </m:f>
        <m:r>
          <m:rPr>
            <m:sty m:val="p"/>
          </m:rPr>
          <m:t>=</m:t>
        </m:r>
        <m:r>
          <m:t>1340</m:t>
        </m:r>
        <m:r>
          <m:t> </m:t>
        </m:r>
        <m:r>
          <m:rPr>
            <m:sty m:val="p"/>
          </m:rPr>
          <m:t>m</m:t>
        </m:r>
        <m:sSup>
          <m:e>
            <m:r>
              <m:rPr>
                <m:sty m:val="p"/>
              </m:rPr>
              <m:t>m</m:t>
            </m:r>
          </m:e>
          <m:sup>
            <m:r>
              <m:rPr>
                <m:sty m:val="p"/>
              </m:rPr>
              <m:t>2</m:t>
            </m:r>
          </m:sup>
        </m:sSup>
        <m:r>
          <m:rPr>
            <m:sty m:val="p"/>
          </m:rPr>
          <m:t>/</m:t>
        </m:r>
        <m:r>
          <m:rPr>
            <m:sty m:val="p"/>
          </m:rPr>
          <m:t>m</m:t>
        </m:r>
      </m:oMath>
      <w:r>
        <w:rPr>
          <w:rFonts w:ascii="Times New Roman" w:hAnsi="Times New Roman" w:eastAsia="宋体"/>
          <w:sz w:val="24"/>
        </w:rPr>
        <w:tab/>
        <w:t>(6.6)</w:t>
      </w:r>
    </w:p>
    <w:p>
      <w:pPr>
        <w:tabs>
          <w:tab w:pos="4100" w:val="center"/>
          <w:tab w:pos="8200" w:val="right"/>
        </w:tabs>
        <w:spacing w:lineRule="auto" w:line="360" w:before="0" w:after="0"/>
        <w:jc w:val="left"/>
      </w:pPr>
      <w:r>
        <w:tab/>
      </w:r>
      <m:oMath>
        <m:sSub>
          <m:e>
            <m:r>
              <m:t>ρ</m:t>
            </m:r>
          </m:e>
          <m:sub>
            <m:r>
              <m:t>s</m:t>
            </m:r>
          </m:sub>
        </m:sSub>
        <m:r>
          <m:rPr>
            <m:sty m:val="p"/>
          </m:rPr>
          <m:t>=</m:t>
        </m:r>
        <m:f>
          <m:fPr>
            <m:type m:val="bar"/>
          </m:fPr>
          <m:num>
            <m:r>
              <m:t>1340</m:t>
            </m:r>
          </m:num>
          <m:den>
            <m:r>
              <m:t>1000</m:t>
            </m:r>
            <m:r>
              <m:rPr>
                <m:sty m:val="p"/>
              </m:rPr>
              <m:t>×</m:t>
            </m:r>
            <m:r>
              <m:t>300</m:t>
            </m:r>
          </m:den>
        </m:f>
        <m:r>
          <m:rPr>
            <m:sty m:val="p"/>
          </m:rPr>
          <m:t>=</m:t>
        </m:r>
        <m:r>
          <m:t>0.00447</m:t>
        </m:r>
      </m:oMath>
      <w:r>
        <w:rPr>
          <w:rFonts w:ascii="Times New Roman" w:hAnsi="Times New Roman" w:eastAsia="宋体"/>
          <w:sz w:val="24"/>
        </w:rPr>
        <w:tab/>
        <w:t>(6.7)</w:t>
      </w:r>
    </w:p>
    <w:p>
      <w:pPr>
        <w:spacing w:lineRule="auto" w:line="360" w:before="0" w:after="0"/>
        <w:ind w:firstLine="480"/>
      </w:pPr>
      <w:r>
        <w:rPr>
          <w:rFonts w:ascii="Times New Roman" w:hAnsi="Times New Roman" w:eastAsia="宋体"/>
          <w:sz w:val="24"/>
        </w:rPr>
        <w:t>实配面积大于计算所需面积，配筋率约0.45%，可满足初步受弯配筋要求；后续应结合长期作用和保护层厚度复核裂缝宽度。</w:t>
      </w:r>
    </w:p>
    <w:p>
      <w:pPr>
        <w:pStyle w:val="3"/>
        <w:jc w:val="left"/>
      </w:pPr>
      <w:r>
        <w:rPr>
          <w:rFonts w:ascii="Times New Roman" w:hAnsi="Times New Roman" w:eastAsia="宋体"/>
          <w:b/>
          <w:sz w:val="24"/>
        </w:rPr>
        <w:t xml:space="preserve"> 受剪与局部冲切控制</w:t>
      </w:r>
    </w:p>
    <w:p>
      <w:pPr>
        <w:spacing w:lineRule="auto" w:line="360" w:before="0" w:after="0"/>
        <w:ind w:firstLine="480"/>
      </w:pPr>
      <w:r>
        <w:rPr>
          <w:rFonts w:ascii="Times New Roman" w:hAnsi="Times New Roman" w:eastAsia="宋体"/>
          <w:sz w:val="24"/>
        </w:rPr>
        <w:t>按1m板宽估算面板支座剪力，支座处剪力标准值和设计值均小于面板受弯配筋控制效应。承载力设计组合下支座剪力为：</w:t>
      </w:r>
    </w:p>
    <w:p>
      <w:pPr>
        <w:tabs>
          <w:tab w:pos="4100" w:val="center"/>
          <w:tab w:pos="8200" w:val="right"/>
        </w:tabs>
        <w:spacing w:lineRule="auto" w:line="360" w:before="0" w:after="0"/>
        <w:jc w:val="left"/>
      </w:pPr>
      <w:r>
        <w:tab/>
      </w:r>
      <m:oMath>
        <m:sSub>
          <m:e>
            <m:r>
              <m:t>V</m:t>
            </m:r>
          </m:e>
          <m:sub>
            <m:r>
              <m:t>s</m:t>
            </m:r>
          </m:sub>
        </m:sSub>
        <m:r>
          <m:rPr>
            <m:sty m:val="p"/>
          </m:rPr>
          <m:t>=</m:t>
        </m:r>
        <m:f>
          <m:fPr>
            <m:type m:val="bar"/>
          </m:fPr>
          <m:num>
            <m:sSub>
              <m:e>
                <m:r>
                  <m:t>q</m:t>
                </m:r>
              </m:e>
              <m:sub>
                <m:r>
                  <m:t>d</m:t>
                </m:r>
              </m:sub>
            </m:sSub>
            <m:r>
              <m:t>l</m:t>
            </m:r>
          </m:num>
          <m:den>
            <m:r>
              <m:t>2</m:t>
            </m:r>
          </m:den>
        </m:f>
        <m:r>
          <m:rPr>
            <m:sty m:val="p"/>
          </m:rPr>
          <m:t>=</m:t>
        </m:r>
        <m:f>
          <m:fPr>
            <m:type m:val="bar"/>
          </m:fPr>
          <m:num>
            <m:r>
              <m:t>96.9</m:t>
            </m:r>
            <m:r>
              <m:rPr>
                <m:sty m:val="p"/>
              </m:rPr>
              <m:t>×</m:t>
            </m:r>
            <m:r>
              <m:t>3.0</m:t>
            </m:r>
          </m:num>
          <m:den>
            <m:r>
              <m:t>2</m:t>
            </m:r>
          </m:den>
        </m:f>
        <m:r>
          <m:rPr>
            <m:sty m:val="p"/>
          </m:rPr>
          <m:t>=</m:t>
        </m:r>
        <m:r>
          <m:t>145.4</m:t>
        </m:r>
        <m:r>
          <m:t> </m:t>
        </m:r>
        <m:r>
          <m:rPr>
            <m:sty m:val="p"/>
          </m:rPr>
          <m:t>k</m:t>
        </m:r>
        <m:r>
          <m:rPr>
            <m:sty m:val="p"/>
          </m:rPr>
          <m:t>N</m:t>
        </m:r>
        <m:r>
          <m:rPr>
            <m:sty m:val="p"/>
          </m:rPr>
          <m:t>/</m:t>
        </m:r>
        <m:r>
          <m:rPr>
            <m:sty m:val="p"/>
          </m:rPr>
          <m:t>m</m:t>
        </m:r>
      </m:oMath>
      <w:r>
        <w:rPr>
          <w:rFonts w:ascii="Times New Roman" w:hAnsi="Times New Roman" w:eastAsia="宋体"/>
          <w:sz w:val="24"/>
        </w:rPr>
        <w:tab/>
        <w:t>(6.8)</w:t>
      </w:r>
    </w:p>
    <w:p>
      <w:pPr>
        <w:spacing w:lineRule="auto" w:line="360" w:before="0" w:after="0"/>
        <w:ind w:firstLine="480"/>
      </w:pPr>
      <w:r>
        <w:rPr>
          <w:rFonts w:ascii="Times New Roman" w:hAnsi="Times New Roman" w:eastAsia="宋体"/>
          <w:sz w:val="24"/>
        </w:rPr>
        <w:t>面板厚度350mm，支承边附近按构造设置分布钢筋和负弯矩钢筋；卸船机轮压通过轨道梁传递，局部轮压不直接作为普通面板控制荷载。施工图阶段仍需按轮压扩散面积、轨道梁支承宽度和面板有效高度复核局部冲切，并在轨道梁、系船柱基础和护舷锚固区设置加强钢筋。</w:t>
      </w:r>
    </w:p>
    <w:p>
      <w:pPr>
        <w:spacing w:lineRule="auto" w:line="360" w:before="0" w:after="0"/>
        <w:ind w:firstLine="480"/>
      </w:pPr>
      <w:r>
        <w:rPr>
          <w:rFonts w:ascii="Times New Roman" w:hAnsi="Times New Roman" w:eastAsia="宋体"/>
          <w:sz w:val="24"/>
        </w:rPr>
        <w:t>卸船机轮压通过轨道梁向面板和纵梁扩散，初步按单轮设计轮压250kN、扩散面积0.60m×0.80m估算局部等效面荷载：</w:t>
      </w:r>
    </w:p>
    <w:p>
      <w:pPr>
        <w:tabs>
          <w:tab w:pos="4100" w:val="center"/>
          <w:tab w:pos="8200" w:val="right"/>
        </w:tabs>
        <w:spacing w:lineRule="auto" w:line="360" w:before="0" w:after="0"/>
        <w:jc w:val="left"/>
      </w:pPr>
      <w:r>
        <w:tab/>
      </w:r>
      <m:oMath>
        <m:sSub>
          <m:e>
            <m:r>
              <m:t>A</m:t>
            </m:r>
          </m:e>
          <m:sub>
            <m:r>
              <m:t>w</m:t>
            </m:r>
          </m:sub>
        </m:sSub>
        <m:r>
          <m:rPr>
            <m:sty m:val="p"/>
          </m:rPr>
          <m:t>=</m:t>
        </m:r>
        <m:r>
          <m:t>0.60</m:t>
        </m:r>
        <m:r>
          <m:rPr>
            <m:sty m:val="p"/>
          </m:rPr>
          <m:t>×</m:t>
        </m:r>
        <m:r>
          <m:t>0.80</m:t>
        </m:r>
        <m:r>
          <m:rPr>
            <m:sty m:val="p"/>
          </m:rPr>
          <m:t>=</m:t>
        </m:r>
        <m:r>
          <m:t>0.48</m:t>
        </m:r>
        <m:r>
          <m:t> </m:t>
        </m:r>
        <m:sSup>
          <m:e>
            <m:r>
              <m:rPr>
                <m:sty m:val="p"/>
              </m:rPr>
              <m:t>m</m:t>
            </m:r>
          </m:e>
          <m:sup>
            <m:r>
              <m:rPr>
                <m:sty m:val="p"/>
              </m:rPr>
              <m:t>2</m:t>
            </m:r>
          </m:sup>
        </m:sSup>
      </m:oMath>
      <w:r>
        <w:rPr>
          <w:rFonts w:ascii="Times New Roman" w:hAnsi="Times New Roman" w:eastAsia="宋体"/>
          <w:sz w:val="24"/>
        </w:rPr>
        <w:tab/>
        <w:t>(6.9)</w:t>
      </w:r>
    </w:p>
    <w:p>
      <w:pPr>
        <w:tabs>
          <w:tab w:pos="4100" w:val="center"/>
          <w:tab w:pos="8200" w:val="right"/>
        </w:tabs>
        <w:spacing w:lineRule="auto" w:line="360" w:before="0" w:after="0"/>
        <w:jc w:val="left"/>
      </w:pPr>
      <w:r>
        <w:tab/>
      </w:r>
      <m:oMath>
        <m:sSub>
          <m:e>
            <m:r>
              <m:t>q</m:t>
            </m:r>
          </m:e>
          <m:sub>
            <m:r>
              <m:t>w</m:t>
            </m:r>
          </m:sub>
        </m:sSub>
        <m:r>
          <m:rPr>
            <m:sty m:val="p"/>
          </m:rPr>
          <m:t>=</m:t>
        </m:r>
        <m:f>
          <m:fPr>
            <m:type m:val="bar"/>
          </m:fPr>
          <m:num>
            <m:r>
              <m:t>250</m:t>
            </m:r>
          </m:num>
          <m:den>
            <m:r>
              <m:t>0.48</m:t>
            </m:r>
          </m:den>
        </m:f>
        <m:r>
          <m:rPr>
            <m:sty m:val="p"/>
          </m:rPr>
          <m:t>=</m:t>
        </m:r>
        <m:r>
          <m:t>520.8</m:t>
        </m:r>
        <m:r>
          <m:t> </m:t>
        </m:r>
        <m:r>
          <m:rPr>
            <m:sty m:val="p"/>
          </m:rPr>
          <m:t>k</m:t>
        </m:r>
        <m:r>
          <m:rPr>
            <m:sty m:val="p"/>
          </m:rPr>
          <m:t>N</m:t>
        </m:r>
        <m:r>
          <m:rPr>
            <m:sty m:val="p"/>
          </m:rPr>
          <m:t>/</m:t>
        </m:r>
        <m:sSup>
          <m:e>
            <m:r>
              <m:rPr>
                <m:sty m:val="p"/>
              </m:rPr>
              <m:t>m</m:t>
            </m:r>
          </m:e>
          <m:sup>
            <m:r>
              <m:rPr>
                <m:sty m:val="p"/>
              </m:rPr>
              <m:t>2</m:t>
            </m:r>
          </m:sup>
        </m:sSup>
      </m:oMath>
      <w:r>
        <w:rPr>
          <w:rFonts w:ascii="Times New Roman" w:hAnsi="Times New Roman" w:eastAsia="宋体"/>
          <w:sz w:val="24"/>
        </w:rPr>
        <w:tab/>
        <w:t>(6.10)</w:t>
      </w:r>
    </w:p>
    <w:p>
      <w:pPr>
        <w:spacing w:lineRule="auto" w:line="360" w:before="0" w:after="0"/>
        <w:ind w:firstLine="480"/>
      </w:pPr>
      <w:r>
        <w:rPr>
          <w:rFonts w:ascii="Times New Roman" w:hAnsi="Times New Roman" w:eastAsia="宋体"/>
          <w:sz w:val="24"/>
        </w:rPr>
        <w:t>局部等效面荷载明显大于普通堆载面荷载，因此轨道梁下方不宜按普通面板控制，应设置轨道梁、局部加强钢筋和节点加密箍筋。</w:t>
      </w:r>
    </w:p>
    <w:p>
      <w:pPr>
        <w:pStyle w:val="2"/>
        <w:jc w:val="left"/>
      </w:pPr>
      <w:r>
        <w:rPr>
          <w:rFonts w:ascii="Times New Roman" w:hAnsi="Times New Roman" w:eastAsia="宋体"/>
          <w:b/>
          <w:sz w:val="24"/>
        </w:rPr>
        <w:t xml:space="preserve"> 纵梁计算</w:t>
      </w:r>
    </w:p>
    <w:p>
      <w:pPr>
        <w:pStyle w:val="3"/>
        <w:jc w:val="left"/>
      </w:pPr>
      <w:r>
        <w:rPr>
          <w:rFonts w:ascii="Times New Roman" w:hAnsi="Times New Roman" w:eastAsia="宋体"/>
          <w:b/>
          <w:sz w:val="24"/>
        </w:rPr>
        <w:t xml:space="preserve"> 计算简图</w:t>
      </w:r>
    </w:p>
    <w:p>
      <w:pPr>
        <w:spacing w:lineRule="auto" w:line="360" w:before="0" w:after="0"/>
        <w:ind w:firstLine="480"/>
      </w:pPr>
      <w:r>
        <w:rPr>
          <w:rFonts w:ascii="Times New Roman" w:hAnsi="Times New Roman" w:eastAsia="宋体"/>
          <w:sz w:val="24"/>
        </w:rPr>
        <w:t>纵梁按8m跨简支梁估算，承担3.0m范围内面板传来的竖向设计荷载，并计入纵梁自重。纵梁截面初拟为0.60m×1.00m。实际工程中纵梁与面板、横梁整体工作，初步设计按简支梁计算偏保守，施工图阶段可按连续梁或空间梁板模型复核支座负弯矩。</w:t>
      </w:r>
    </w:p>
    <w:p>
      <w:pPr>
        <w:pStyle w:val="3"/>
        <w:jc w:val="left"/>
      </w:pPr>
      <w:r>
        <w:rPr>
          <w:rFonts w:ascii="Times New Roman" w:hAnsi="Times New Roman" w:eastAsia="宋体"/>
          <w:b/>
          <w:sz w:val="24"/>
        </w:rPr>
        <w:t xml:space="preserve"> 内力计算</w:t>
      </w:r>
    </w:p>
    <w:p>
      <w:pPr>
        <w:tabs>
          <w:tab w:pos="4100" w:val="center"/>
          <w:tab w:pos="8200" w:val="right"/>
        </w:tabs>
        <w:spacing w:lineRule="auto" w:line="360" w:before="0" w:after="0"/>
        <w:jc w:val="left"/>
      </w:pPr>
      <w:r>
        <w:tab/>
      </w:r>
      <m:oMath>
        <m:sSub>
          <m:e>
            <m:r>
              <m:t>q</m:t>
            </m:r>
          </m:e>
          <m:sub>
            <m:r>
              <m:t>l</m:t>
            </m:r>
          </m:sub>
        </m:sSub>
        <m:r>
          <m:rPr>
            <m:sty m:val="p"/>
          </m:rPr>
          <m:t>=</m:t>
        </m:r>
        <m:r>
          <m:t>96.9</m:t>
        </m:r>
        <m:r>
          <m:rPr>
            <m:sty m:val="p"/>
          </m:rPr>
          <m:t>×</m:t>
        </m:r>
        <m:r>
          <m:t>3.0</m:t>
        </m:r>
        <m:r>
          <m:rPr>
            <m:sty m:val="p"/>
          </m:rPr>
          <m:t>+</m:t>
        </m:r>
        <m:r>
          <m:t>0.60</m:t>
        </m:r>
        <m:r>
          <m:rPr>
            <m:sty m:val="p"/>
          </m:rPr>
          <m:t>×</m:t>
        </m:r>
        <m:r>
          <m:t>1.00</m:t>
        </m:r>
        <m:r>
          <m:rPr>
            <m:sty m:val="p"/>
          </m:rPr>
          <m:t>×</m:t>
        </m:r>
        <m:r>
          <m:t>25</m:t>
        </m:r>
        <m:r>
          <m:rPr>
            <m:sty m:val="p"/>
          </m:rPr>
          <m:t>=</m:t>
        </m:r>
        <m:r>
          <m:t>305.7</m:t>
        </m:r>
        <m:r>
          <m:t> </m:t>
        </m:r>
        <m:r>
          <m:rPr>
            <m:sty m:val="p"/>
          </m:rPr>
          <m:t>k</m:t>
        </m:r>
        <m:r>
          <m:rPr>
            <m:sty m:val="p"/>
          </m:rPr>
          <m:t>N</m:t>
        </m:r>
        <m:r>
          <m:rPr>
            <m:sty m:val="p"/>
          </m:rPr>
          <m:t>/</m:t>
        </m:r>
        <m:r>
          <m:rPr>
            <m:sty m:val="p"/>
          </m:rPr>
          <m:t>m</m:t>
        </m:r>
      </m:oMath>
      <w:r>
        <w:rPr>
          <w:rFonts w:ascii="Times New Roman" w:hAnsi="Times New Roman" w:eastAsia="宋体"/>
          <w:sz w:val="24"/>
        </w:rPr>
        <w:tab/>
        <w:t>(6.11)</w:t>
      </w:r>
    </w:p>
    <w:p>
      <w:pPr>
        <w:tabs>
          <w:tab w:pos="4100" w:val="center"/>
          <w:tab w:pos="8200" w:val="right"/>
        </w:tabs>
        <w:spacing w:lineRule="auto" w:line="360" w:before="0" w:after="0"/>
        <w:jc w:val="left"/>
      </w:pPr>
      <w:r>
        <w:tab/>
      </w:r>
      <m:oMath>
        <m:sSub>
          <m:e>
            <m:r>
              <m:t>M</m:t>
            </m:r>
          </m:e>
          <m:sub>
            <m:r>
              <m:t>l</m:t>
            </m:r>
          </m:sub>
        </m:sSub>
        <m:r>
          <m:rPr>
            <m:sty m:val="p"/>
          </m:rPr>
          <m:t>=</m:t>
        </m:r>
        <m:f>
          <m:fPr>
            <m:type m:val="bar"/>
          </m:fPr>
          <m:num>
            <m:sSub>
              <m:e>
                <m:r>
                  <m:t>q</m:t>
                </m:r>
              </m:e>
              <m:sub>
                <m:r>
                  <m:t>l</m:t>
                </m:r>
              </m:sub>
            </m:sSub>
            <m:sSup>
              <m:e>
                <m:r>
                  <m:t>l</m:t>
                </m:r>
              </m:e>
              <m:sup>
                <m:r>
                  <m:t>2</m:t>
                </m:r>
              </m:sup>
            </m:sSup>
          </m:num>
          <m:den>
            <m:r>
              <m:t>8</m:t>
            </m:r>
          </m:den>
        </m:f>
        <m:r>
          <m:rPr>
            <m:sty m:val="p"/>
          </m:rPr>
          <m:t>=</m:t>
        </m:r>
        <m:f>
          <m:fPr>
            <m:type m:val="bar"/>
          </m:fPr>
          <m:num>
            <m:r>
              <m:t>305.7</m:t>
            </m:r>
            <m:r>
              <m:rPr>
                <m:sty m:val="p"/>
              </m:rPr>
              <m:t>×</m:t>
            </m:r>
            <m:sSup>
              <m:e>
                <m:r>
                  <m:t>8</m:t>
                </m:r>
              </m:e>
              <m:sup>
                <m:r>
                  <m:t>2</m:t>
                </m:r>
              </m:sup>
            </m:sSup>
          </m:num>
          <m:den>
            <m:r>
              <m:t>8</m:t>
            </m:r>
          </m:den>
        </m:f>
        <m:r>
          <m:rPr>
            <m:sty m:val="p"/>
          </m:rPr>
          <m:t>=</m:t>
        </m:r>
        <m:r>
          <m:t>2446</m:t>
        </m:r>
        <m:r>
          <m:t> </m:t>
        </m:r>
        <m:r>
          <m:rPr>
            <m:sty m:val="p"/>
          </m:rPr>
          <m:t>k</m:t>
        </m:r>
        <m:r>
          <m:rPr>
            <m:sty m:val="p"/>
          </m:rPr>
          <m:t>N</m:t>
        </m:r>
        <m:r>
          <m:rPr>
            <m:sty m:val="p"/>
          </m:rPr>
          <m:t>⋅</m:t>
        </m:r>
        <m:r>
          <m:rPr>
            <m:sty m:val="p"/>
          </m:rPr>
          <m:t>m</m:t>
        </m:r>
      </m:oMath>
      <w:r>
        <w:rPr>
          <w:rFonts w:ascii="Times New Roman" w:hAnsi="Times New Roman" w:eastAsia="宋体"/>
          <w:sz w:val="24"/>
        </w:rPr>
        <w:tab/>
        <w:t>(6.12)</w:t>
      </w:r>
    </w:p>
    <w:p>
      <w:pPr>
        <w:tabs>
          <w:tab w:pos="4100" w:val="center"/>
          <w:tab w:pos="8200" w:val="right"/>
        </w:tabs>
        <w:spacing w:lineRule="auto" w:line="360" w:before="0" w:after="0"/>
        <w:jc w:val="left"/>
      </w:pPr>
      <w:r>
        <w:tab/>
      </w:r>
      <m:oMath>
        <m:sSub>
          <m:e>
            <m:r>
              <m:t>V</m:t>
            </m:r>
          </m:e>
          <m:sub>
            <m:r>
              <m:t>l</m:t>
            </m:r>
          </m:sub>
        </m:sSub>
        <m:r>
          <m:rPr>
            <m:sty m:val="p"/>
          </m:rPr>
          <m:t>=</m:t>
        </m:r>
        <m:f>
          <m:fPr>
            <m:type m:val="bar"/>
          </m:fPr>
          <m:num>
            <m:sSub>
              <m:e>
                <m:r>
                  <m:t>q</m:t>
                </m:r>
              </m:e>
              <m:sub>
                <m:r>
                  <m:t>l</m:t>
                </m:r>
              </m:sub>
            </m:sSub>
            <m:r>
              <m:t>l</m:t>
            </m:r>
          </m:num>
          <m:den>
            <m:r>
              <m:t>2</m:t>
            </m:r>
          </m:den>
        </m:f>
        <m:r>
          <m:rPr>
            <m:sty m:val="p"/>
          </m:rPr>
          <m:t>=</m:t>
        </m:r>
        <m:f>
          <m:fPr>
            <m:type m:val="bar"/>
          </m:fPr>
          <m:num>
            <m:r>
              <m:t>305.7</m:t>
            </m:r>
            <m:r>
              <m:rPr>
                <m:sty m:val="p"/>
              </m:rPr>
              <m:t>×</m:t>
            </m:r>
            <m:r>
              <m:t>8</m:t>
            </m:r>
          </m:num>
          <m:den>
            <m:r>
              <m:t>2</m:t>
            </m:r>
          </m:den>
        </m:f>
        <m:r>
          <m:rPr>
            <m:sty m:val="p"/>
          </m:rPr>
          <m:t>=</m:t>
        </m:r>
        <m:r>
          <m:t>1223</m:t>
        </m:r>
        <m:r>
          <m:t> </m:t>
        </m:r>
        <m:r>
          <m:rPr>
            <m:sty m:val="p"/>
          </m:rPr>
          <m:t>k</m:t>
        </m:r>
        <m:r>
          <m:rPr>
            <m:sty m:val="p"/>
          </m:rPr>
          <m:t>N</m:t>
        </m:r>
      </m:oMath>
      <w:r>
        <w:rPr>
          <w:rFonts w:ascii="Times New Roman" w:hAnsi="Times New Roman" w:eastAsia="宋体"/>
          <w:sz w:val="24"/>
        </w:rPr>
        <w:tab/>
        <w:t>(6.13)</w:t>
      </w:r>
    </w:p>
    <w:p>
      <w:pPr>
        <w:pStyle w:val="3"/>
        <w:jc w:val="left"/>
      </w:pPr>
      <w:r>
        <w:rPr>
          <w:rFonts w:ascii="Times New Roman" w:hAnsi="Times New Roman" w:eastAsia="宋体"/>
          <w:b/>
          <w:sz w:val="24"/>
        </w:rPr>
        <w:t xml:space="preserve"> 配筋验算</w:t>
      </w:r>
    </w:p>
    <w:p>
      <w:pPr>
        <w:spacing w:lineRule="auto" w:line="360" w:before="0" w:after="0"/>
        <w:ind w:firstLine="480"/>
      </w:pPr>
      <w:r>
        <w:rPr>
          <w:rFonts w:ascii="Times New Roman" w:hAnsi="Times New Roman" w:eastAsia="宋体"/>
          <w:sz w:val="24"/>
        </w:rPr>
        <w:t>纵梁有效高度取900mm，按受弯构件估算，所需受拉钢筋面积为：</w:t>
      </w:r>
    </w:p>
    <w:p>
      <w:pPr>
        <w:tabs>
          <w:tab w:pos="4100" w:val="center"/>
          <w:tab w:pos="8200" w:val="right"/>
        </w:tabs>
        <w:spacing w:lineRule="auto" w:line="360" w:before="0" w:after="0"/>
        <w:jc w:val="left"/>
      </w:pPr>
      <w:r>
        <w:tab/>
      </w:r>
      <m:oMath>
        <m:sSub>
          <m:e>
            <m:r>
              <m:t>A</m:t>
            </m:r>
          </m:e>
          <m:sub>
            <m:r>
              <m:t>s</m:t>
            </m:r>
            <m:r>
              <m:t>l</m:t>
            </m:r>
          </m:sub>
        </m:sSub>
        <m:r>
          <m:rPr>
            <m:sty m:val="p"/>
          </m:rPr>
          <m:t>=</m:t>
        </m:r>
        <m:f>
          <m:fPr>
            <m:type m:val="bar"/>
          </m:fPr>
          <m:num>
            <m:sSub>
              <m:e>
                <m:r>
                  <m:t>M</m:t>
                </m:r>
              </m:e>
              <m:sub>
                <m:r>
                  <m:t>l</m:t>
                </m:r>
              </m:sub>
            </m:sSub>
          </m:num>
          <m:den>
            <m:r>
              <m:t>0.87</m:t>
            </m:r>
            <m:sSub>
              <m:e>
                <m:r>
                  <m:t>f</m:t>
                </m:r>
              </m:e>
              <m:sub>
                <m:r>
                  <m:t>y</m:t>
                </m:r>
              </m:sub>
            </m:sSub>
            <m:sSub>
              <m:e>
                <m:r>
                  <m:t>h</m:t>
                </m:r>
              </m:e>
              <m:sub>
                <m:r>
                  <m:t>0</m:t>
                </m:r>
              </m:sub>
            </m:sSub>
          </m:den>
        </m:f>
        <m:r>
          <m:rPr>
            <m:sty m:val="p"/>
          </m:rPr>
          <m:t>=</m:t>
        </m:r>
        <m:f>
          <m:fPr>
            <m:type m:val="bar"/>
          </m:fPr>
          <m:num>
            <m:r>
              <m:t>2446</m:t>
            </m:r>
            <m:r>
              <m:rPr>
                <m:sty m:val="p"/>
              </m:rPr>
              <m:t>×</m:t>
            </m:r>
            <m:sSup>
              <m:e>
                <m:r>
                  <m:t>10</m:t>
                </m:r>
              </m:e>
              <m:sup>
                <m:r>
                  <m:t>6</m:t>
                </m:r>
              </m:sup>
            </m:sSup>
          </m:num>
          <m:den>
            <m:r>
              <m:t>0.87</m:t>
            </m:r>
            <m:r>
              <m:rPr>
                <m:sty m:val="p"/>
              </m:rPr>
              <m:t>×</m:t>
            </m:r>
            <m:r>
              <m:t>360</m:t>
            </m:r>
            <m:r>
              <m:rPr>
                <m:sty m:val="p"/>
              </m:rPr>
              <m:t>×</m:t>
            </m:r>
            <m:r>
              <m:t>900</m:t>
            </m:r>
          </m:den>
        </m:f>
        <m:r>
          <m:rPr>
            <m:sty m:val="p"/>
          </m:rPr>
          <m:t>=</m:t>
        </m:r>
        <m:r>
          <m:t>8680</m:t>
        </m:r>
        <m:r>
          <m:t> </m:t>
        </m:r>
        <m:r>
          <m:rPr>
            <m:sty m:val="p"/>
          </m:rPr>
          <m:t>m</m:t>
        </m:r>
        <m:sSup>
          <m:e>
            <m:r>
              <m:rPr>
                <m:sty m:val="p"/>
              </m:rPr>
              <m:t>m</m:t>
            </m:r>
          </m:e>
          <m:sup>
            <m:r>
              <m:rPr>
                <m:sty m:val="p"/>
              </m:rPr>
              <m:t>2</m:t>
            </m:r>
          </m:sup>
        </m:sSup>
      </m:oMath>
      <w:r>
        <w:rPr>
          <w:rFonts w:ascii="Times New Roman" w:hAnsi="Times New Roman" w:eastAsia="宋体"/>
          <w:sz w:val="24"/>
        </w:rPr>
        <w:tab/>
        <w:t>(6.14)</w:t>
      </w:r>
    </w:p>
    <w:p>
      <w:pPr>
        <w:spacing w:lineRule="auto" w:line="360" w:before="0" w:after="0"/>
        <w:ind w:firstLine="480"/>
      </w:pPr>
      <w:r>
        <w:rPr>
          <w:rFonts w:ascii="Times New Roman" w:hAnsi="Times New Roman" w:eastAsia="宋体"/>
          <w:sz w:val="24"/>
        </w:rPr>
        <w:t>初拟底部配置12Φ32钢筋，面积约9651mm²，大于计算需要值；支座区按连续作用和局部集中荷载设置上部负筋。纵梁剪力较大，箍筋初拟采用Φ12@150，支座区和轨道梁相交范围加密为Φ12@100；轨道梁位置还应结合卸船机轮压最不利组合复核局部承压、疲劳影响和裂缝宽度。</w:t>
      </w:r>
    </w:p>
    <w:p>
      <w:pPr>
        <w:spacing w:lineRule="auto" w:line="360" w:before="0" w:after="0"/>
        <w:ind w:firstLine="480"/>
      </w:pPr>
      <w:r>
        <w:rPr>
          <w:rFonts w:ascii="Times New Roman" w:hAnsi="Times New Roman" w:eastAsia="宋体"/>
          <w:sz w:val="24"/>
        </w:rPr>
        <w:t>纵梁支座区受力集中，构造上应设置加密箍筋并加强与横梁节点连接。若施工图阶段设备轮压高于初设取值，应优先复核轨道梁和纵梁支座剪力。</w:t>
      </w:r>
    </w:p>
    <w:p>
      <w:pPr>
        <w:spacing w:lineRule="auto" w:line="360" w:before="0" w:after="0"/>
        <w:ind w:firstLine="480"/>
      </w:pPr>
      <w:r>
        <w:rPr>
          <w:rFonts w:ascii="Times New Roman" w:hAnsi="Times New Roman" w:eastAsia="宋体"/>
          <w:sz w:val="24"/>
        </w:rPr>
        <w:t>纵梁除跨中受弯外，支座附近剪力较大，需同步进行受剪初算。按梁宽600mm、有效高度900mm估算平均剪应力：</w:t>
      </w:r>
    </w:p>
    <w:p>
      <w:pPr>
        <w:tabs>
          <w:tab w:pos="4100" w:val="center"/>
          <w:tab w:pos="8200" w:val="right"/>
        </w:tabs>
        <w:spacing w:lineRule="auto" w:line="360" w:before="0" w:after="0"/>
        <w:jc w:val="left"/>
      </w:pPr>
      <w:r>
        <w:tab/>
      </w:r>
      <m:oMath>
        <m:sSub>
          <m:e>
            <m:r>
              <m:t>τ</m:t>
            </m:r>
          </m:e>
          <m:sub>
            <m:r>
              <m:t>v</m:t>
            </m:r>
          </m:sub>
        </m:sSub>
        <m:r>
          <m:rPr>
            <m:sty m:val="p"/>
          </m:rPr>
          <m:t>=</m:t>
        </m:r>
        <m:f>
          <m:fPr>
            <m:type m:val="bar"/>
          </m:fPr>
          <m:num>
            <m:sSub>
              <m:e>
                <m:r>
                  <m:t>V</m:t>
                </m:r>
              </m:e>
              <m:sub>
                <m:r>
                  <m:t>l</m:t>
                </m:r>
              </m:sub>
            </m:sSub>
            <m:r>
              <m:rPr>
                <m:sty m:val="p"/>
              </m:rPr>
              <m:t>×</m:t>
            </m:r>
            <m:sSup>
              <m:e>
                <m:r>
                  <m:t>10</m:t>
                </m:r>
              </m:e>
              <m:sup>
                <m:r>
                  <m:t>3</m:t>
                </m:r>
              </m:sup>
            </m:sSup>
          </m:num>
          <m:den>
            <m:r>
              <m:t>b</m:t>
            </m:r>
            <m:sSub>
              <m:e>
                <m:r>
                  <m:t>h</m:t>
                </m:r>
              </m:e>
              <m:sub>
                <m:r>
                  <m:t>0</m:t>
                </m:r>
              </m:sub>
            </m:sSub>
          </m:den>
        </m:f>
        <m:r>
          <m:rPr>
            <m:sty m:val="p"/>
          </m:rPr>
          <m:t>=</m:t>
        </m:r>
        <m:f>
          <m:fPr>
            <m:type m:val="bar"/>
          </m:fPr>
          <m:num>
            <m:r>
              <m:t>1223</m:t>
            </m:r>
            <m:r>
              <m:rPr>
                <m:sty m:val="p"/>
              </m:rPr>
              <m:t>×</m:t>
            </m:r>
            <m:sSup>
              <m:e>
                <m:r>
                  <m:t>10</m:t>
                </m:r>
              </m:e>
              <m:sup>
                <m:r>
                  <m:t>3</m:t>
                </m:r>
              </m:sup>
            </m:sSup>
          </m:num>
          <m:den>
            <m:r>
              <m:t>600</m:t>
            </m:r>
            <m:r>
              <m:rPr>
                <m:sty m:val="p"/>
              </m:rPr>
              <m:t>×</m:t>
            </m:r>
            <m:r>
              <m:t>900</m:t>
            </m:r>
          </m:den>
        </m:f>
        <m:r>
          <m:rPr>
            <m:sty m:val="p"/>
          </m:rPr>
          <m:t>=</m:t>
        </m:r>
        <m:r>
          <m:t>2.26</m:t>
        </m:r>
        <m:r>
          <m:t> </m:t>
        </m:r>
        <m:r>
          <m:rPr>
            <m:sty m:val="p"/>
          </m:rPr>
          <m:t>M</m:t>
        </m:r>
        <m:r>
          <m:rPr>
            <m:sty m:val="p"/>
          </m:rPr>
          <m:t>P</m:t>
        </m:r>
        <m:r>
          <m:rPr>
            <m:sty m:val="p"/>
          </m:rPr>
          <m:t>a</m:t>
        </m:r>
      </m:oMath>
      <w:r>
        <w:rPr>
          <w:rFonts w:ascii="Times New Roman" w:hAnsi="Times New Roman" w:eastAsia="宋体"/>
          <w:sz w:val="24"/>
        </w:rPr>
        <w:tab/>
        <w:t>(6.15)</w:t>
      </w:r>
    </w:p>
    <w:p>
      <w:pPr>
        <w:spacing w:lineRule="auto" w:line="360" w:before="0" w:after="0"/>
        <w:ind w:firstLine="480"/>
      </w:pPr>
      <w:r>
        <w:rPr>
          <w:rFonts w:ascii="Times New Roman" w:hAnsi="Times New Roman" w:eastAsia="宋体"/>
          <w:sz w:val="24"/>
        </w:rPr>
        <w:t>初拟双肢Φ12箍筋，单肢面积约113mm²，按间距150mm计算配箍率：</w:t>
      </w:r>
    </w:p>
    <w:p>
      <w:pPr>
        <w:tabs>
          <w:tab w:pos="4100" w:val="center"/>
          <w:tab w:pos="8200" w:val="right"/>
        </w:tabs>
        <w:spacing w:lineRule="auto" w:line="360" w:before="0" w:after="0"/>
        <w:jc w:val="left"/>
      </w:pPr>
      <w:r>
        <w:tab/>
      </w:r>
      <m:oMath>
        <m:sSub>
          <m:e>
            <m:r>
              <m:t>ρ</m:t>
            </m:r>
          </m:e>
          <m:sub>
            <m:r>
              <m:t>s</m:t>
            </m:r>
            <m:r>
              <m:t>v</m:t>
            </m:r>
          </m:sub>
        </m:sSub>
        <m:r>
          <m:rPr>
            <m:sty m:val="p"/>
          </m:rPr>
          <m:t>=</m:t>
        </m:r>
        <m:f>
          <m:fPr>
            <m:type m:val="bar"/>
          </m:fPr>
          <m:num>
            <m:r>
              <m:t>2</m:t>
            </m:r>
            <m:r>
              <m:rPr>
                <m:sty m:val="p"/>
              </m:rPr>
              <m:t>×</m:t>
            </m:r>
            <m:r>
              <m:t>113</m:t>
            </m:r>
          </m:num>
          <m:den>
            <m:r>
              <m:t>600</m:t>
            </m:r>
            <m:r>
              <m:rPr>
                <m:sty m:val="p"/>
              </m:rPr>
              <m:t>×</m:t>
            </m:r>
            <m:r>
              <m:t>150</m:t>
            </m:r>
          </m:den>
        </m:f>
        <m:r>
          <m:rPr>
            <m:sty m:val="p"/>
          </m:rPr>
          <m:t>=</m:t>
        </m:r>
        <m:r>
          <m:t>0.0025</m:t>
        </m:r>
      </m:oMath>
      <w:r>
        <w:rPr>
          <w:rFonts w:ascii="Times New Roman" w:hAnsi="Times New Roman" w:eastAsia="宋体"/>
          <w:sz w:val="24"/>
        </w:rPr>
        <w:tab/>
        <w:t>(6.16)</w:t>
      </w:r>
    </w:p>
    <w:p>
      <w:pPr>
        <w:spacing w:lineRule="auto" w:line="360" w:before="0" w:after="0"/>
        <w:ind w:firstLine="480"/>
      </w:pPr>
      <w:r>
        <w:rPr>
          <w:rFonts w:ascii="Times New Roman" w:hAnsi="Times New Roman" w:eastAsia="宋体"/>
          <w:sz w:val="24"/>
        </w:rPr>
        <w:t>纵梁剪力复核结果说明，普通跨中区域采用Φ12@150可满足初步构造要求，靠近横梁、轨道梁和设备轮压作用区应加密至Φ12@100，并结合施工图内力包络复核斜截面承载力。</w:t>
      </w:r>
    </w:p>
    <w:p>
      <w:pPr>
        <w:pStyle w:val="2"/>
        <w:jc w:val="left"/>
      </w:pPr>
      <w:r>
        <w:rPr>
          <w:rFonts w:ascii="Times New Roman" w:hAnsi="Times New Roman" w:eastAsia="宋体"/>
          <w:b/>
          <w:sz w:val="24"/>
        </w:rPr>
        <w:t xml:space="preserve"> 横梁与横向排架计算</w:t>
      </w:r>
    </w:p>
    <w:p>
      <w:pPr>
        <w:pStyle w:val="3"/>
        <w:jc w:val="left"/>
      </w:pPr>
      <w:r>
        <w:rPr>
          <w:rFonts w:ascii="Times New Roman" w:hAnsi="Times New Roman" w:eastAsia="宋体"/>
          <w:b/>
          <w:sz w:val="24"/>
        </w:rPr>
        <w:t xml:space="preserve"> 横梁荷载计算</w:t>
      </w:r>
    </w:p>
    <w:p>
      <w:pPr>
        <w:spacing w:lineRule="auto" w:line="360" w:before="0" w:after="0"/>
        <w:ind w:firstLine="480"/>
      </w:pPr>
      <w:r>
        <w:rPr>
          <w:rFonts w:ascii="Times New Roman" w:hAnsi="Times New Roman" w:eastAsia="宋体"/>
          <w:sz w:val="24"/>
        </w:rPr>
        <w:t>单榀排架承担8m长度范围内的面板、纵梁、堆货和设备荷载。桩基正常使用与承载力复核先按标准组合估算，按码头宽18m计算，单榀排架竖向均布荷载合力为：</w:t>
      </w:r>
    </w:p>
    <w:p>
      <w:pPr>
        <w:tabs>
          <w:tab w:pos="4100" w:val="center"/>
          <w:tab w:pos="8200" w:val="right"/>
        </w:tabs>
        <w:spacing w:lineRule="auto" w:line="360" w:before="0" w:after="0"/>
        <w:jc w:val="left"/>
      </w:pPr>
      <w:r>
        <w:tab/>
      </w:r>
      <m:oMath>
        <m:sSub>
          <m:e>
            <m:r>
              <m:t>N</m:t>
            </m:r>
          </m:e>
          <m:sub>
            <m:r>
              <m:t>f</m:t>
            </m:r>
          </m:sub>
        </m:sSub>
        <m:r>
          <m:rPr>
            <m:sty m:val="p"/>
          </m:rPr>
          <m:t>=</m:t>
        </m:r>
        <m:sSub>
          <m:e>
            <m:r>
              <m:t>q</m:t>
            </m:r>
          </m:e>
          <m:sub>
            <m:r>
              <m:t>k</m:t>
            </m:r>
          </m:sub>
        </m:sSub>
        <m:r>
          <m:rPr>
            <m:sty m:val="p"/>
          </m:rPr>
          <m:t>×</m:t>
        </m:r>
        <m:r>
          <m:t>8</m:t>
        </m:r>
        <m:r>
          <m:rPr>
            <m:sty m:val="p"/>
          </m:rPr>
          <m:t>×</m:t>
        </m:r>
        <m:r>
          <m:t>18</m:t>
        </m:r>
        <m:r>
          <m:rPr>
            <m:sty m:val="p"/>
          </m:rPr>
          <m:t>=</m:t>
        </m:r>
        <m:r>
          <m:t>70.75</m:t>
        </m:r>
        <m:r>
          <m:rPr>
            <m:sty m:val="p"/>
          </m:rPr>
          <m:t>×</m:t>
        </m:r>
        <m:r>
          <m:t>8</m:t>
        </m:r>
        <m:r>
          <m:rPr>
            <m:sty m:val="p"/>
          </m:rPr>
          <m:t>×</m:t>
        </m:r>
        <m:r>
          <m:t>18</m:t>
        </m:r>
        <m:r>
          <m:rPr>
            <m:sty m:val="p"/>
          </m:rPr>
          <m:t>=</m:t>
        </m:r>
        <m:r>
          <m:t>10</m:t>
        </m:r>
        <m:r>
          <m:rPr>
            <m:sty m:val="p"/>
          </m:rPr>
          <m:t>,</m:t>
        </m:r>
        <m:r>
          <m:t>188</m:t>
        </m:r>
        <m:r>
          <m:t> </m:t>
        </m:r>
        <m:r>
          <m:rPr>
            <m:sty m:val="p"/>
          </m:rPr>
          <m:t>k</m:t>
        </m:r>
        <m:r>
          <m:rPr>
            <m:sty m:val="p"/>
          </m:rPr>
          <m:t>N</m:t>
        </m:r>
      </m:oMath>
      <w:r>
        <w:rPr>
          <w:rFonts w:ascii="Times New Roman" w:hAnsi="Times New Roman" w:eastAsia="宋体"/>
          <w:sz w:val="24"/>
        </w:rPr>
        <w:tab/>
        <w:t>(6.17)</w:t>
      </w:r>
    </w:p>
    <w:p>
      <w:pPr>
        <w:pStyle w:val="3"/>
        <w:jc w:val="left"/>
      </w:pPr>
      <w:r>
        <w:rPr>
          <w:rFonts w:ascii="Times New Roman" w:hAnsi="Times New Roman" w:eastAsia="宋体"/>
          <w:b/>
          <w:sz w:val="24"/>
        </w:rPr>
        <w:t xml:space="preserve"> 排架内力计算</w:t>
      </w:r>
    </w:p>
    <w:p>
      <w:pPr>
        <w:spacing w:lineRule="auto" w:line="360" w:before="0" w:after="0"/>
        <w:ind w:firstLine="480"/>
      </w:pPr>
      <w:r>
        <w:rPr>
          <w:rFonts w:ascii="Times New Roman" w:hAnsi="Times New Roman" w:eastAsia="宋体"/>
          <w:sz w:val="24"/>
        </w:rPr>
        <w:t>每榀排架设4根桩，考虑横梁自重、设备局部作用和荷载偏心，单桩竖向反力按下式估算：</w:t>
      </w:r>
    </w:p>
    <w:p>
      <w:pPr>
        <w:tabs>
          <w:tab w:pos="4100" w:val="center"/>
          <w:tab w:pos="8200" w:val="right"/>
        </w:tabs>
        <w:spacing w:lineRule="auto" w:line="360" w:before="0" w:after="0"/>
        <w:jc w:val="left"/>
      </w:pPr>
      <w:r>
        <w:tab/>
      </w:r>
      <m:oMath>
        <m:sSub>
          <m:e>
            <m:r>
              <m:t>N</m:t>
            </m:r>
          </m:e>
          <m:sub>
            <m:r>
              <m:t>p</m:t>
            </m:r>
          </m:sub>
        </m:sSub>
        <m:r>
          <m:rPr>
            <m:sty m:val="p"/>
          </m:rPr>
          <m:t>=</m:t>
        </m:r>
        <m:r>
          <m:t>1.20</m:t>
        </m:r>
        <m:r>
          <m:rPr>
            <m:sty m:val="p"/>
          </m:rPr>
          <m:t>×</m:t>
        </m:r>
        <m:f>
          <m:fPr>
            <m:type m:val="bar"/>
          </m:fPr>
          <m:num>
            <m:sSub>
              <m:e>
                <m:r>
                  <m:t>N</m:t>
                </m:r>
              </m:e>
              <m:sub>
                <m:r>
                  <m:t>f</m:t>
                </m:r>
              </m:sub>
            </m:sSub>
          </m:num>
          <m:den>
            <m:r>
              <m:t>4</m:t>
            </m:r>
          </m:den>
        </m:f>
        <m:r>
          <m:rPr>
            <m:sty m:val="p"/>
          </m:rPr>
          <m:t>=</m:t>
        </m:r>
        <m:r>
          <m:t>1.20</m:t>
        </m:r>
        <m:r>
          <m:rPr>
            <m:sty m:val="p"/>
          </m:rPr>
          <m:t>×</m:t>
        </m:r>
        <m:f>
          <m:fPr>
            <m:type m:val="bar"/>
          </m:fPr>
          <m:num>
            <m:r>
              <m:t>10</m:t>
            </m:r>
            <m:r>
              <m:rPr>
                <m:sty m:val="p"/>
              </m:rPr>
              <m:t>,</m:t>
            </m:r>
            <m:r>
              <m:t>188</m:t>
            </m:r>
          </m:num>
          <m:den>
            <m:r>
              <m:t>4</m:t>
            </m:r>
          </m:den>
        </m:f>
        <m:r>
          <m:rPr>
            <m:sty m:val="p"/>
          </m:rPr>
          <m:t>=</m:t>
        </m:r>
        <m:r>
          <m:t>3056</m:t>
        </m:r>
        <m:r>
          <m:t> </m:t>
        </m:r>
        <m:r>
          <m:rPr>
            <m:sty m:val="p"/>
          </m:rPr>
          <m:t>k</m:t>
        </m:r>
        <m:r>
          <m:rPr>
            <m:sty m:val="p"/>
          </m:rPr>
          <m:t>N</m:t>
        </m:r>
        <m:r>
          <m:rPr>
            <m:sty m:val="p"/>
          </m:rPr>
          <m:t>≈</m:t>
        </m:r>
        <m:r>
          <m:t>3100</m:t>
        </m:r>
        <m:r>
          <m:t> </m:t>
        </m:r>
        <m:r>
          <m:rPr>
            <m:sty m:val="p"/>
          </m:rPr>
          <m:t>k</m:t>
        </m:r>
        <m:r>
          <m:rPr>
            <m:sty m:val="p"/>
          </m:rPr>
          <m:t>N</m:t>
        </m:r>
      </m:oMath>
      <w:r>
        <w:rPr>
          <w:rFonts w:ascii="Times New Roman" w:hAnsi="Times New Roman" w:eastAsia="宋体"/>
          <w:sz w:val="24"/>
        </w:rPr>
        <w:tab/>
        <w:t>(6.18)</w:t>
      </w:r>
    </w:p>
    <w:p>
      <w:pPr>
        <w:spacing w:lineRule="auto" w:line="360" w:before="0" w:after="0"/>
        <w:ind w:firstLine="480"/>
      </w:pPr>
      <w:r>
        <w:rPr>
          <w:rFonts w:ascii="Times New Roman" w:hAnsi="Times New Roman" w:eastAsia="宋体"/>
          <w:sz w:val="24"/>
        </w:rPr>
        <w:t>式中1.20为考虑横梁自重、设备局部作用和偏心影响的初步放大系数。水平作用由前沿靠船构件和系船柱传至横向排架，并通过上部梁板刚度向相邻排架分配；初步阶段按前排桩受力较不利考虑，单桩水平力按300kN进行验算。对于靠泊和系缆控制工况，前排桩桩顶弯矩、泥面附近最大弯矩和桩顶位移是后续复核重点。</w:t>
      </w:r>
    </w:p>
    <w:p>
      <w:pPr>
        <w:spacing w:lineRule="auto" w:line="360" w:before="0" w:after="0"/>
        <w:ind w:firstLine="480"/>
      </w:pPr>
      <w:r>
        <w:rPr>
          <w:rFonts w:ascii="Times New Roman" w:hAnsi="Times New Roman" w:eastAsia="宋体"/>
          <w:sz w:val="24"/>
        </w:rPr>
        <w:t>横向排架是高桩梁板式码头抵抗水平作用的主要单元。船舶撞击力、系缆力和设备制动力通过前沿横梁、靠船构件和桩基共同承担，前排桩通常为水平位移和弯矩控制部位。</w:t>
      </w:r>
    </w:p>
    <w:p>
      <w:pPr>
        <w:spacing w:lineRule="auto" w:line="360" w:before="0" w:after="0"/>
        <w:ind w:firstLine="480"/>
      </w:pPr>
      <w:r>
        <w:rPr>
          <w:rFonts w:ascii="Times New Roman" w:hAnsi="Times New Roman" w:eastAsia="宋体"/>
          <w:sz w:val="24"/>
        </w:rPr>
        <w:t>结合图6-4，横向排架计算应至少区分三类控制状态：卸船机正常作业时的竖向轮压控制，船舶靠泊时的前沿水平力控制，以及设备制动或检修时的局部偏载控制。初步设计中采用单榀排架估算，施工图阶段应把相邻排架之间的纵向联系、轨道梁连续性和桩土作用一并纳入空间模型。</w:t>
      </w:r>
    </w:p>
    <w:p>
      <w:pPr>
        <w:spacing w:lineRule="auto" w:line="360" w:before="0" w:after="0"/>
        <w:ind w:firstLine="480"/>
      </w:pPr>
      <w:r>
        <w:rPr>
          <w:rFonts w:ascii="Times New Roman" w:hAnsi="Times New Roman" w:eastAsia="宋体"/>
          <w:sz w:val="24"/>
        </w:rPr>
        <w:t>水平作用按前沿两根桩优先承担进行初步分配。取单榀排架水平力600kN，则单根前排桩水平力为：</w:t>
      </w:r>
    </w:p>
    <w:p>
      <w:pPr>
        <w:tabs>
          <w:tab w:pos="4100" w:val="center"/>
          <w:tab w:pos="8200" w:val="right"/>
        </w:tabs>
        <w:spacing w:lineRule="auto" w:line="360" w:before="0" w:after="0"/>
        <w:jc w:val="left"/>
      </w:pPr>
      <w:r>
        <w:tab/>
      </w:r>
      <m:oMath>
        <m:sSub>
          <m:e>
            <m:r>
              <m:t>H</m:t>
            </m:r>
          </m:e>
          <m:sub>
            <m:r>
              <m:t>p</m:t>
            </m:r>
          </m:sub>
        </m:sSub>
        <m:r>
          <m:rPr>
            <m:sty m:val="p"/>
          </m:rPr>
          <m:t>=</m:t>
        </m:r>
        <m:f>
          <m:fPr>
            <m:type m:val="bar"/>
          </m:fPr>
          <m:num>
            <m:sSub>
              <m:e>
                <m:r>
                  <m:t>H</m:t>
                </m:r>
              </m:e>
              <m:sub>
                <m:r>
                  <m:t>f</m:t>
                </m:r>
              </m:sub>
            </m:sSub>
          </m:num>
          <m:den>
            <m:r>
              <m:t>2</m:t>
            </m:r>
          </m:den>
        </m:f>
        <m:r>
          <m:rPr>
            <m:sty m:val="p"/>
          </m:rPr>
          <m:t>=</m:t>
        </m:r>
        <m:f>
          <m:fPr>
            <m:type m:val="bar"/>
          </m:fPr>
          <m:num>
            <m:r>
              <m:t>600</m:t>
            </m:r>
          </m:num>
          <m:den>
            <m:r>
              <m:t>2</m:t>
            </m:r>
          </m:den>
        </m:f>
        <m:r>
          <m:rPr>
            <m:sty m:val="p"/>
          </m:rPr>
          <m:t>=</m:t>
        </m:r>
        <m:r>
          <m:t>300</m:t>
        </m:r>
        <m:r>
          <m:t> </m:t>
        </m:r>
        <m:r>
          <m:rPr>
            <m:sty m:val="p"/>
          </m:rPr>
          <m:t>k</m:t>
        </m:r>
        <m:r>
          <m:rPr>
            <m:sty m:val="p"/>
          </m:rPr>
          <m:t>N</m:t>
        </m:r>
      </m:oMath>
      <w:r>
        <w:rPr>
          <w:rFonts w:ascii="Times New Roman" w:hAnsi="Times New Roman" w:eastAsia="宋体"/>
          <w:sz w:val="24"/>
        </w:rPr>
        <w:tab/>
        <w:t>(6.19)</w:t>
      </w:r>
    </w:p>
    <w:p>
      <w:pPr>
        <w:spacing w:lineRule="auto" w:line="360" w:before="0" w:after="0"/>
        <w:ind w:firstLine="480"/>
      </w:pPr>
      <w:r>
        <w:rPr>
          <w:rFonts w:ascii="Times New Roman" w:hAnsi="Times New Roman" w:eastAsia="宋体"/>
          <w:sz w:val="24"/>
        </w:rPr>
        <w:t>按泥面以上等效作用臂6.0m估算前排桩控制弯矩：</w:t>
      </w:r>
    </w:p>
    <w:p>
      <w:pPr>
        <w:tabs>
          <w:tab w:pos="4100" w:val="center"/>
          <w:tab w:pos="8200" w:val="right"/>
        </w:tabs>
        <w:spacing w:lineRule="auto" w:line="360" w:before="0" w:after="0"/>
        <w:jc w:val="left"/>
      </w:pPr>
      <w:r>
        <w:tab/>
      </w:r>
      <m:oMath>
        <m:sSub>
          <m:e>
            <m:r>
              <m:t>M</m:t>
            </m:r>
          </m:e>
          <m:sub>
            <m:r>
              <m:t>h</m:t>
            </m:r>
          </m:sub>
        </m:sSub>
        <m:r>
          <m:rPr>
            <m:sty m:val="p"/>
          </m:rPr>
          <m:t>=</m:t>
        </m:r>
        <m:sSub>
          <m:e>
            <m:r>
              <m:t>H</m:t>
            </m:r>
          </m:e>
          <m:sub>
            <m:r>
              <m:t>p</m:t>
            </m:r>
          </m:sub>
        </m:sSub>
        <m:sSub>
          <m:e>
            <m:r>
              <m:t>h</m:t>
            </m:r>
          </m:e>
          <m:sub>
            <m:r>
              <m:t>e</m:t>
            </m:r>
          </m:sub>
        </m:sSub>
        <m:r>
          <m:rPr>
            <m:sty m:val="p"/>
          </m:rPr>
          <m:t>=</m:t>
        </m:r>
        <m:r>
          <m:t>300</m:t>
        </m:r>
        <m:r>
          <m:rPr>
            <m:sty m:val="p"/>
          </m:rPr>
          <m:t>×</m:t>
        </m:r>
        <m:r>
          <m:t>6.0</m:t>
        </m:r>
        <m:r>
          <m:rPr>
            <m:sty m:val="p"/>
          </m:rPr>
          <m:t>=</m:t>
        </m:r>
        <m:r>
          <m:t>1800</m:t>
        </m:r>
        <m:r>
          <m:t> </m:t>
        </m:r>
        <m:r>
          <m:rPr>
            <m:sty m:val="p"/>
          </m:rPr>
          <m:t>k</m:t>
        </m:r>
        <m:r>
          <m:rPr>
            <m:sty m:val="p"/>
          </m:rPr>
          <m:t>N</m:t>
        </m:r>
        <m:r>
          <m:rPr>
            <m:sty m:val="p"/>
          </m:rPr>
          <m:t>⋅</m:t>
        </m:r>
        <m:r>
          <m:rPr>
            <m:sty m:val="p"/>
          </m:rPr>
          <m:t>m</m:t>
        </m:r>
      </m:oMath>
      <w:r>
        <w:rPr>
          <w:rFonts w:ascii="Times New Roman" w:hAnsi="Times New Roman" w:eastAsia="宋体"/>
          <w:sz w:val="24"/>
        </w:rPr>
        <w:tab/>
        <w:t>(6.20)</w:t>
      </w:r>
    </w:p>
    <w:p>
      <w:pPr>
        <w:spacing w:lineRule="auto" w:line="360" w:before="0" w:after="0"/>
        <w:ind w:firstLine="480"/>
      </w:pPr>
      <w:r>
        <w:rPr>
          <w:rFonts w:ascii="Times New Roman" w:hAnsi="Times New Roman" w:eastAsia="宋体"/>
          <w:sz w:val="24"/>
        </w:rPr>
        <w:t>该结果用于提示施工图阶段应进行桩土共同作用分析，尤其关注前排桩泥面附近弯矩和桩顶水平位移。</w:t>
      </w:r>
    </w:p>
    <w:p>
      <w:pPr>
        <w:pStyle w:val="3"/>
        <w:jc w:val="left"/>
      </w:pPr>
      <w:r>
        <w:rPr>
          <w:rFonts w:ascii="Times New Roman" w:hAnsi="Times New Roman" w:eastAsia="宋体"/>
          <w:b/>
          <w:sz w:val="24"/>
        </w:rPr>
        <w:t xml:space="preserve"> 横梁配筋验算</w:t>
      </w:r>
    </w:p>
    <w:p>
      <w:pPr>
        <w:spacing w:lineRule="auto" w:line="360" w:before="0" w:after="0"/>
        <w:ind w:firstLine="480"/>
      </w:pPr>
      <w:r>
        <w:rPr>
          <w:rFonts w:ascii="Times New Roman" w:hAnsi="Times New Roman" w:eastAsia="宋体"/>
          <w:sz w:val="24"/>
        </w:rPr>
        <w:t>横梁截面初拟为1.00m×1.40m，按排架梁承受集中反力、轨道梁轮压和靠船构件水平力进行估算。初步采用上下各8Φ32纵向钢筋，箍筋采用Φ12@150，支座区及轨道梁节点范围加密。施工图阶段应建立横向排架模型，对弯矩、剪力、扭矩、裂缝宽度和节点锚固长度进行精算。</w:t>
      </w:r>
    </w:p>
    <w:p>
      <w:pPr>
        <w:spacing w:lineRule="auto" w:line="360" w:before="0" w:after="0"/>
        <w:ind w:firstLine="480"/>
      </w:pPr>
      <w:r>
        <w:rPr>
          <w:rFonts w:ascii="Times New Roman" w:hAnsi="Times New Roman" w:eastAsia="宋体"/>
          <w:sz w:val="24"/>
        </w:rPr>
        <w:t>横梁配筋除满足弯矩和剪力外，还应考虑桩顶节点局部受压、桩芯混凝土锚固、轨道梁传力和靠船构件水平力传递。前沿横梁属于受力复杂部位，宜在构造上加密箍筋并设置附加抗裂钢筋。</w:t>
      </w:r>
    </w:p>
    <w:p>
      <w:pPr>
        <w:spacing w:lineRule="auto" w:line="360" w:before="0" w:after="0"/>
        <w:ind w:firstLine="480"/>
      </w:pPr>
      <w:r>
        <w:rPr>
          <w:rFonts w:ascii="Times New Roman" w:hAnsi="Times New Roman" w:eastAsia="宋体"/>
          <w:sz w:val="24"/>
        </w:rPr>
        <w:t>横梁按相邻桩间6.0m跨度进行简化，取上部梁板和设备传来的等效线荷载680kN/m进行初步受弯受剪复核：</w:t>
      </w:r>
    </w:p>
    <w:p>
      <w:pPr>
        <w:tabs>
          <w:tab w:pos="4100" w:val="center"/>
          <w:tab w:pos="8200" w:val="right"/>
        </w:tabs>
        <w:spacing w:lineRule="auto" w:line="360" w:before="0" w:after="0"/>
        <w:jc w:val="left"/>
      </w:pPr>
      <w:r>
        <w:tab/>
      </w:r>
      <m:oMath>
        <m:sSub>
          <m:e>
            <m:r>
              <m:t>M</m:t>
            </m:r>
          </m:e>
          <m:sub>
            <m:r>
              <m:t>b</m:t>
            </m:r>
          </m:sub>
        </m:sSub>
        <m:r>
          <m:rPr>
            <m:sty m:val="p"/>
          </m:rPr>
          <m:t>=</m:t>
        </m:r>
        <m:f>
          <m:fPr>
            <m:type m:val="bar"/>
          </m:fPr>
          <m:num>
            <m:sSub>
              <m:e>
                <m:r>
                  <m:t>q</m:t>
                </m:r>
              </m:e>
              <m:sub>
                <m:r>
                  <m:t>b</m:t>
                </m:r>
              </m:sub>
            </m:sSub>
            <m:sSubSup>
              <m:e>
                <m:r>
                  <m:t>l</m:t>
                </m:r>
              </m:e>
              <m:sub>
                <m:r>
                  <m:t>b</m:t>
                </m:r>
              </m:sub>
              <m:sup>
                <m:r>
                  <m:t>2</m:t>
                </m:r>
              </m:sup>
            </m:sSubSup>
          </m:num>
          <m:den>
            <m:r>
              <m:t>8</m:t>
            </m:r>
          </m:den>
        </m:f>
        <m:r>
          <m:rPr>
            <m:sty m:val="p"/>
          </m:rPr>
          <m:t>=</m:t>
        </m:r>
        <m:f>
          <m:fPr>
            <m:type m:val="bar"/>
          </m:fPr>
          <m:num>
            <m:r>
              <m:t>680</m:t>
            </m:r>
            <m:r>
              <m:rPr>
                <m:sty m:val="p"/>
              </m:rPr>
              <m:t>×</m:t>
            </m:r>
            <m:sSup>
              <m:e>
                <m:r>
                  <m:t>6</m:t>
                </m:r>
              </m:e>
              <m:sup>
                <m:r>
                  <m:t>2</m:t>
                </m:r>
              </m:sup>
            </m:sSup>
          </m:num>
          <m:den>
            <m:r>
              <m:t>8</m:t>
            </m:r>
          </m:den>
        </m:f>
        <m:r>
          <m:rPr>
            <m:sty m:val="p"/>
          </m:rPr>
          <m:t>=</m:t>
        </m:r>
        <m:r>
          <m:t>3060</m:t>
        </m:r>
        <m:r>
          <m:t> </m:t>
        </m:r>
        <m:r>
          <m:rPr>
            <m:sty m:val="p"/>
          </m:rPr>
          <m:t>k</m:t>
        </m:r>
        <m:r>
          <m:rPr>
            <m:sty m:val="p"/>
          </m:rPr>
          <m:t>N</m:t>
        </m:r>
        <m:r>
          <m:rPr>
            <m:sty m:val="p"/>
          </m:rPr>
          <m:t>⋅</m:t>
        </m:r>
        <m:r>
          <m:rPr>
            <m:sty m:val="p"/>
          </m:rPr>
          <m:t>m</m:t>
        </m:r>
      </m:oMath>
      <w:r>
        <w:rPr>
          <w:rFonts w:ascii="Times New Roman" w:hAnsi="Times New Roman" w:eastAsia="宋体"/>
          <w:sz w:val="24"/>
        </w:rPr>
        <w:tab/>
        <w:t>(6.21)</w:t>
      </w:r>
    </w:p>
    <w:p>
      <w:pPr>
        <w:tabs>
          <w:tab w:pos="4100" w:val="center"/>
          <w:tab w:pos="8200" w:val="right"/>
        </w:tabs>
        <w:spacing w:lineRule="auto" w:line="360" w:before="0" w:after="0"/>
        <w:jc w:val="left"/>
      </w:pPr>
      <w:r>
        <w:tab/>
      </w:r>
      <m:oMath>
        <m:sSub>
          <m:e>
            <m:r>
              <m:t>V</m:t>
            </m:r>
          </m:e>
          <m:sub>
            <m:r>
              <m:t>b</m:t>
            </m:r>
          </m:sub>
        </m:sSub>
        <m:r>
          <m:rPr>
            <m:sty m:val="p"/>
          </m:rPr>
          <m:t>=</m:t>
        </m:r>
        <m:f>
          <m:fPr>
            <m:type m:val="bar"/>
          </m:fPr>
          <m:num>
            <m:sSub>
              <m:e>
                <m:r>
                  <m:t>q</m:t>
                </m:r>
              </m:e>
              <m:sub>
                <m:r>
                  <m:t>b</m:t>
                </m:r>
              </m:sub>
            </m:sSub>
            <m:sSub>
              <m:e>
                <m:r>
                  <m:t>l</m:t>
                </m:r>
              </m:e>
              <m:sub>
                <m:r>
                  <m:t>b</m:t>
                </m:r>
              </m:sub>
            </m:sSub>
          </m:num>
          <m:den>
            <m:r>
              <m:t>2</m:t>
            </m:r>
          </m:den>
        </m:f>
        <m:r>
          <m:rPr>
            <m:sty m:val="p"/>
          </m:rPr>
          <m:t>=</m:t>
        </m:r>
        <m:f>
          <m:fPr>
            <m:type m:val="bar"/>
          </m:fPr>
          <m:num>
            <m:r>
              <m:t>680</m:t>
            </m:r>
            <m:r>
              <m:rPr>
                <m:sty m:val="p"/>
              </m:rPr>
              <m:t>×</m:t>
            </m:r>
            <m:r>
              <m:t>6</m:t>
            </m:r>
          </m:num>
          <m:den>
            <m:r>
              <m:t>2</m:t>
            </m:r>
          </m:den>
        </m:f>
        <m:r>
          <m:rPr>
            <m:sty m:val="p"/>
          </m:rPr>
          <m:t>=</m:t>
        </m:r>
        <m:r>
          <m:t>2040</m:t>
        </m:r>
        <m:r>
          <m:t> </m:t>
        </m:r>
        <m:r>
          <m:rPr>
            <m:sty m:val="p"/>
          </m:rPr>
          <m:t>k</m:t>
        </m:r>
        <m:r>
          <m:rPr>
            <m:sty m:val="p"/>
          </m:rPr>
          <m:t>N</m:t>
        </m:r>
      </m:oMath>
      <w:r>
        <w:rPr>
          <w:rFonts w:ascii="Times New Roman" w:hAnsi="Times New Roman" w:eastAsia="宋体"/>
          <w:sz w:val="24"/>
        </w:rPr>
        <w:tab/>
        <w:t>(6.22)</w:t>
      </w:r>
    </w:p>
    <w:p>
      <w:pPr>
        <w:spacing w:lineRule="auto" w:line="360" w:before="0" w:after="0"/>
        <w:ind w:firstLine="480"/>
      </w:pPr>
      <w:r>
        <w:rPr>
          <w:rFonts w:ascii="Times New Roman" w:hAnsi="Times New Roman" w:eastAsia="宋体"/>
          <w:sz w:val="24"/>
        </w:rPr>
        <w:t>以有效高度1.25m估算受拉钢筋面积：</w:t>
      </w:r>
    </w:p>
    <w:p>
      <w:pPr>
        <w:tabs>
          <w:tab w:pos="4100" w:val="center"/>
          <w:tab w:pos="8200" w:val="right"/>
        </w:tabs>
        <w:spacing w:lineRule="auto" w:line="360" w:before="0" w:after="0"/>
        <w:jc w:val="left"/>
      </w:pPr>
      <w:r>
        <w:tab/>
      </w:r>
      <m:oMath>
        <m:sSub>
          <m:e>
            <m:r>
              <m:t>A</m:t>
            </m:r>
          </m:e>
          <m:sub>
            <m:r>
              <m:t>s</m:t>
            </m:r>
            <m:r>
              <m:t>b</m:t>
            </m:r>
          </m:sub>
        </m:sSub>
        <m:r>
          <m:rPr>
            <m:sty m:val="p"/>
          </m:rPr>
          <m:t>=</m:t>
        </m:r>
        <m:f>
          <m:fPr>
            <m:type m:val="bar"/>
          </m:fPr>
          <m:num>
            <m:r>
              <m:t>3060</m:t>
            </m:r>
            <m:r>
              <m:rPr>
                <m:sty m:val="p"/>
              </m:rPr>
              <m:t>×</m:t>
            </m:r>
            <m:sSup>
              <m:e>
                <m:r>
                  <m:t>10</m:t>
                </m:r>
              </m:e>
              <m:sup>
                <m:r>
                  <m:t>6</m:t>
                </m:r>
              </m:sup>
            </m:sSup>
          </m:num>
          <m:den>
            <m:r>
              <m:t>0.87</m:t>
            </m:r>
            <m:r>
              <m:rPr>
                <m:sty m:val="p"/>
              </m:rPr>
              <m:t>×</m:t>
            </m:r>
            <m:r>
              <m:t>360</m:t>
            </m:r>
            <m:r>
              <m:rPr>
                <m:sty m:val="p"/>
              </m:rPr>
              <m:t>×</m:t>
            </m:r>
            <m:r>
              <m:t>1250</m:t>
            </m:r>
          </m:den>
        </m:f>
        <m:r>
          <m:rPr>
            <m:sty m:val="p"/>
          </m:rPr>
          <m:t>=</m:t>
        </m:r>
        <m:r>
          <m:t>7820</m:t>
        </m:r>
        <m:r>
          <m:t> </m:t>
        </m:r>
        <m:r>
          <m:rPr>
            <m:sty m:val="p"/>
          </m:rPr>
          <m:t>m</m:t>
        </m:r>
        <m:sSup>
          <m:e>
            <m:r>
              <m:rPr>
                <m:sty m:val="p"/>
              </m:rPr>
              <m:t>m</m:t>
            </m:r>
          </m:e>
          <m:sup>
            <m:r>
              <m:rPr>
                <m:sty m:val="p"/>
              </m:rPr>
              <m:t>2</m:t>
            </m:r>
          </m:sup>
        </m:sSup>
      </m:oMath>
      <w:r>
        <w:rPr>
          <w:rFonts w:ascii="Times New Roman" w:hAnsi="Times New Roman" w:eastAsia="宋体"/>
          <w:sz w:val="24"/>
        </w:rPr>
        <w:tab/>
        <w:t>(6.23)</w:t>
      </w:r>
    </w:p>
    <w:p>
      <w:pPr>
        <w:spacing w:lineRule="auto" w:line="360" w:before="0" w:after="0"/>
        <w:ind w:firstLine="480"/>
      </w:pPr>
      <w:r>
        <w:rPr>
          <w:rFonts w:ascii="Times New Roman" w:hAnsi="Times New Roman" w:eastAsia="宋体"/>
          <w:sz w:val="24"/>
        </w:rPr>
        <w:t>上下各8Φ32配置面积约6434mm²，作为初设偏小控制时，应在轨道梁及靠船构件范围增配附加筋；若按连续梁和空间排架计算，跨中正弯矩会有所降低，但支座负弯矩和节点剪力需同步复核。</w:t>
      </w:r>
    </w:p>
    <w:p>
      <w:pPr>
        <w:pStyle w:val="2"/>
        <w:jc w:val="left"/>
      </w:pPr>
      <w:r>
        <w:rPr>
          <w:rFonts w:ascii="Times New Roman" w:hAnsi="Times New Roman" w:eastAsia="宋体"/>
          <w:b/>
          <w:sz w:val="24"/>
        </w:rPr>
        <w:t xml:space="preserve"> 桩基承载力验算</w:t>
      </w:r>
    </w:p>
    <w:p>
      <w:pPr>
        <w:pStyle w:val="3"/>
        <w:jc w:val="left"/>
      </w:pPr>
      <w:r>
        <w:rPr>
          <w:rFonts w:ascii="Times New Roman" w:hAnsi="Times New Roman" w:eastAsia="宋体"/>
          <w:b/>
          <w:sz w:val="24"/>
        </w:rPr>
        <w:t xml:space="preserve"> 桩型与桩长确定</w:t>
      </w:r>
    </w:p>
    <w:p>
      <w:pPr>
        <w:spacing w:lineRule="auto" w:line="360" w:before="0" w:after="0"/>
        <w:ind w:firstLine="480"/>
      </w:pPr>
      <w:r>
        <w:rPr>
          <w:rFonts w:ascii="Times New Roman" w:hAnsi="Times New Roman" w:eastAsia="宋体"/>
          <w:sz w:val="24"/>
        </w:rPr>
        <w:t>桩基采用φ800mm PHC管桩，标准桩长暂取32m，桩端进入强风化花岗岩或较好风化岩层。桩基布置应使同一桩台下各桩受力尽量均匀，桩端宜进入相同或相近持力层，并避免桩底高程差异过大。该桩型施工成熟，单桩承载能力较高，适合软弱覆盖层较厚的港区。施工图阶段应结合终锤贯入度、持力层起伏和沉桩可达性复核桩长，必要时对桩端采取局部加强措施，并核查桩顶与桩帽、横梁节点的连接构造。桩基竖向承载、水平承载和沉桩控制可进一步按水运工程桩基设计规范校核</w:t>
      </w:r>
      <w:r>
        <w:rPr>
          <w:rFonts w:ascii="Times New Roman" w:hAnsi="Times New Roman" w:eastAsia="宋体"/>
          <w:sz w:val="24"/>
          <w:vertAlign w:val="superscript"/>
        </w:rPr>
        <w:t>[19]</w:t>
      </w:r>
      <w:r>
        <w:rPr>
          <w:rFonts w:ascii="Times New Roman" w:hAnsi="Times New Roman" w:eastAsia="宋体"/>
          <w:sz w:val="24"/>
        </w:rPr>
        <w:t>；浪溅区混凝土构件耐久性应按水运工程结构耐久性设计标准细化</w:t>
      </w:r>
      <w:r>
        <w:rPr>
          <w:rFonts w:ascii="Times New Roman" w:hAnsi="Times New Roman" w:eastAsia="宋体"/>
          <w:sz w:val="24"/>
          <w:vertAlign w:val="superscript"/>
        </w:rPr>
        <w:t>[20]</w:t>
      </w:r>
      <w:r>
        <w:rPr>
          <w:rFonts w:ascii="Times New Roman" w:hAnsi="Times New Roman" w:eastAsia="宋体"/>
          <w:sz w:val="24"/>
        </w:rPr>
        <w:t>。</w:t>
      </w:r>
    </w:p>
    <w:p>
      <w:pPr>
        <w:pStyle w:val="3"/>
        <w:jc w:val="left"/>
      </w:pPr>
      <w:r>
        <w:rPr>
          <w:rFonts w:ascii="Times New Roman" w:hAnsi="Times New Roman" w:eastAsia="宋体"/>
          <w:b/>
          <w:sz w:val="24"/>
        </w:rPr>
        <w:t xml:space="preserve"> 单桩竖向承载力验算</w:t>
      </w:r>
    </w:p>
    <w:p>
      <w:pPr>
        <w:spacing w:lineRule="auto" w:line="360" w:before="0" w:after="0"/>
        <w:ind w:firstLine="480"/>
      </w:pPr>
      <w:r>
        <w:rPr>
          <w:rFonts w:ascii="Times New Roman" w:hAnsi="Times New Roman" w:eastAsia="宋体"/>
          <w:sz w:val="24"/>
        </w:rPr>
        <w:t>按桩侧阻力与桩端阻力共同作用估算单桩竖向极限承载力。取桩周长u=2.513m，桩端面积Ap=0.503m²，各土层侧阻力按初步值折算，则：</w:t>
      </w:r>
    </w:p>
    <w:p>
      <w:pPr>
        <w:tabs>
          <w:tab w:pos="4100" w:val="center"/>
          <w:tab w:pos="8200" w:val="right"/>
        </w:tabs>
        <w:spacing w:lineRule="auto" w:line="360" w:before="0" w:after="0"/>
        <w:jc w:val="left"/>
      </w:pPr>
      <w:r>
        <w:tab/>
      </w:r>
      <m:oMath>
        <m:sSub>
          <m:e>
            <m:r>
              <m:t>Q</m:t>
            </m:r>
          </m:e>
          <m:sub>
            <m:r>
              <m:t>u</m:t>
            </m:r>
          </m:sub>
        </m:sSub>
        <m:r>
          <m:rPr>
            <m:sty m:val="p"/>
          </m:rPr>
          <m:t>=</m:t>
        </m:r>
        <m:r>
          <m:t>u</m:t>
        </m:r>
        <m:r>
          <m:rPr>
            <m:sty m:val="p"/>
          </m:rPr>
          <m:t>∑</m:t>
        </m:r>
        <m:sSub>
          <m:e>
            <m:r>
              <m:t>q</m:t>
            </m:r>
          </m:e>
          <m:sub>
            <m:r>
              <m:t>s</m:t>
            </m:r>
            <m:r>
              <m:t>i</m:t>
            </m:r>
          </m:sub>
        </m:sSub>
        <m:sSub>
          <m:e>
            <m:r>
              <m:t>l</m:t>
            </m:r>
          </m:e>
          <m:sub>
            <m:r>
              <m:t>i</m:t>
            </m:r>
          </m:sub>
        </m:sSub>
        <m:r>
          <m:rPr>
            <m:sty m:val="p"/>
          </m:rPr>
          <m:t>+</m:t>
        </m:r>
        <m:sSub>
          <m:e>
            <m:r>
              <m:t>A</m:t>
            </m:r>
          </m:e>
          <m:sub>
            <m:r>
              <m:t>p</m:t>
            </m:r>
          </m:sub>
        </m:sSub>
        <m:sSub>
          <m:e>
            <m:r>
              <m:t>q</m:t>
            </m:r>
          </m:e>
          <m:sub>
            <m:r>
              <m:t>p</m:t>
            </m:r>
          </m:sub>
        </m:sSub>
        <m:r>
          <m:rPr>
            <m:sty m:val="p"/>
          </m:rPr>
          <m:t>=</m:t>
        </m:r>
        <m:r>
          <m:t>2.513</m:t>
        </m:r>
        <m:r>
          <m:rPr>
            <m:sty m:val="p"/>
          </m:rPr>
          <m:t>×</m:t>
        </m:r>
        <m:r>
          <m:t>1420</m:t>
        </m:r>
        <m:r>
          <m:rPr>
            <m:sty m:val="p"/>
          </m:rPr>
          <m:t>+</m:t>
        </m:r>
        <m:r>
          <m:t>0.503</m:t>
        </m:r>
        <m:r>
          <m:rPr>
            <m:sty m:val="p"/>
          </m:rPr>
          <m:t>×</m:t>
        </m:r>
        <m:r>
          <m:t>4000</m:t>
        </m:r>
        <m:r>
          <m:rPr>
            <m:sty m:val="p"/>
          </m:rPr>
          <m:t>=</m:t>
        </m:r>
        <m:r>
          <m:t>5580</m:t>
        </m:r>
        <m:r>
          <m:t> </m:t>
        </m:r>
        <m:r>
          <m:rPr>
            <m:sty m:val="p"/>
          </m:rPr>
          <m:t>k</m:t>
        </m:r>
        <m:r>
          <m:rPr>
            <m:sty m:val="p"/>
          </m:rPr>
          <m:t>N</m:t>
        </m:r>
      </m:oMath>
      <w:r>
        <w:rPr>
          <w:rFonts w:ascii="Times New Roman" w:hAnsi="Times New Roman" w:eastAsia="宋体"/>
          <w:sz w:val="24"/>
        </w:rPr>
        <w:tab/>
        <w:t>(6.24)</w:t>
      </w:r>
    </w:p>
    <w:p>
      <w:pPr>
        <w:tabs>
          <w:tab w:pos="4100" w:val="center"/>
          <w:tab w:pos="8200" w:val="right"/>
        </w:tabs>
        <w:spacing w:lineRule="auto" w:line="360" w:before="0" w:after="0"/>
        <w:jc w:val="left"/>
      </w:pPr>
      <w:r>
        <w:tab/>
      </w:r>
      <m:oMath>
        <m:sSub>
          <m:e>
            <m:r>
              <m:t>R</m:t>
            </m:r>
          </m:e>
          <m:sub>
            <m:r>
              <m:t>a</m:t>
            </m:r>
          </m:sub>
        </m:sSub>
        <m:r>
          <m:rPr>
            <m:sty m:val="p"/>
          </m:rPr>
          <m:t>=</m:t>
        </m:r>
        <m:f>
          <m:fPr>
            <m:type m:val="bar"/>
          </m:fPr>
          <m:num>
            <m:sSub>
              <m:e>
                <m:r>
                  <m:t>Q</m:t>
                </m:r>
              </m:e>
              <m:sub>
                <m:r>
                  <m:t>u</m:t>
                </m:r>
              </m:sub>
            </m:sSub>
          </m:num>
          <m:den>
            <m:r>
              <m:t>K</m:t>
            </m:r>
          </m:den>
        </m:f>
        <m:r>
          <m:rPr>
            <m:sty m:val="p"/>
          </m:rPr>
          <m:t>=</m:t>
        </m:r>
        <m:f>
          <m:fPr>
            <m:type m:val="bar"/>
          </m:fPr>
          <m:num>
            <m:r>
              <m:t>5580</m:t>
            </m:r>
          </m:num>
          <m:den>
            <m:r>
              <m:t>1.6</m:t>
            </m:r>
          </m:den>
        </m:f>
        <m:r>
          <m:rPr>
            <m:sty m:val="p"/>
          </m:rPr>
          <m:t>=</m:t>
        </m:r>
        <m:r>
          <m:t>3488</m:t>
        </m:r>
        <m:r>
          <m:t> </m:t>
        </m:r>
        <m:r>
          <m:rPr>
            <m:sty m:val="p"/>
          </m:rPr>
          <m:t>k</m:t>
        </m:r>
        <m:r>
          <m:rPr>
            <m:sty m:val="p"/>
          </m:rPr>
          <m:t>N</m:t>
        </m:r>
        <m:r>
          <m:rPr>
            <m:sty m:val="p"/>
          </m:rPr>
          <m:t>&gt;</m:t>
        </m:r>
        <m:r>
          <m:t>3100</m:t>
        </m:r>
        <m:r>
          <m:t> </m:t>
        </m:r>
        <m:r>
          <m:rPr>
            <m:sty m:val="p"/>
          </m:rPr>
          <m:t>k</m:t>
        </m:r>
        <m:r>
          <m:rPr>
            <m:sty m:val="p"/>
          </m:rPr>
          <m:t>N</m:t>
        </m:r>
      </m:oMath>
      <w:r>
        <w:rPr>
          <w:rFonts w:ascii="Times New Roman" w:hAnsi="Times New Roman" w:eastAsia="宋体"/>
          <w:sz w:val="24"/>
        </w:rPr>
        <w:tab/>
        <w:t>(6.25)</w:t>
      </w:r>
    </w:p>
    <w:p>
      <w:pPr>
        <w:spacing w:lineRule="auto" w:line="360" w:before="0" w:after="0"/>
        <w:ind w:firstLine="480"/>
      </w:pPr>
      <w:r>
        <w:rPr>
          <w:rFonts w:ascii="Times New Roman" w:hAnsi="Times New Roman" w:eastAsia="宋体"/>
          <w:sz w:val="24"/>
        </w:rPr>
        <w:t>由计算可知，单桩竖向承载力满足初步设计要求。</w:t>
      </w:r>
    </w:p>
    <w:p>
      <w:pPr>
        <w:spacing w:lineRule="auto" w:line="360" w:before="0" w:after="0"/>
        <w:ind w:firstLine="480"/>
      </w:pPr>
      <w:r>
        <w:rPr>
          <w:rFonts w:ascii="Times New Roman" w:hAnsi="Times New Roman" w:eastAsia="宋体"/>
          <w:sz w:val="24"/>
        </w:rPr>
        <w:t>单桩承载力验算结果满足后，应继续关注桩端持力层起伏。若局部强风化花岗岩顶面高程变化较大，相邻桩长差异可能导致排架刚度不均，施工图阶段应结合详勘剖面和试桩成果调整桩长。</w:t>
      </w:r>
    </w:p>
    <w:p>
      <w:pPr>
        <w:tabs>
          <w:tab w:pos="4100" w:val="center"/>
          <w:tab w:pos="8200" w:val="right"/>
        </w:tabs>
        <w:spacing w:lineRule="auto" w:line="360" w:before="0" w:after="0"/>
        <w:jc w:val="left"/>
      </w:pPr>
      <w:r>
        <w:tab/>
      </w:r>
      <m:oMath>
        <m:sSub>
          <m:e>
            <m:r>
              <m:t>η</m:t>
            </m:r>
          </m:e>
          <m:sub>
            <m:r>
              <m:t>p</m:t>
            </m:r>
          </m:sub>
        </m:sSub>
        <m:r>
          <m:rPr>
            <m:sty m:val="p"/>
          </m:rPr>
          <m:t>=</m:t>
        </m:r>
        <m:f>
          <m:fPr>
            <m:type m:val="bar"/>
          </m:fPr>
          <m:num>
            <m:sSub>
              <m:e>
                <m:r>
                  <m:t>N</m:t>
                </m:r>
              </m:e>
              <m:sub>
                <m:r>
                  <m:t>p</m:t>
                </m:r>
                <m:r>
                  <m:t>i</m:t>
                </m:r>
                <m:r>
                  <m:t>l</m:t>
                </m:r>
                <m:r>
                  <m:t>e</m:t>
                </m:r>
              </m:sub>
            </m:sSub>
          </m:num>
          <m:den>
            <m:sSub>
              <m:e>
                <m:r>
                  <m:t>R</m:t>
                </m:r>
              </m:e>
              <m:sub>
                <m:r>
                  <m:t>a</m:t>
                </m:r>
              </m:sub>
            </m:sSub>
          </m:den>
        </m:f>
        <m:r>
          <m:rPr>
            <m:sty m:val="p"/>
          </m:rPr>
          <m:t>=</m:t>
        </m:r>
        <m:f>
          <m:fPr>
            <m:type m:val="bar"/>
          </m:fPr>
          <m:num>
            <m:r>
              <m:t>3100</m:t>
            </m:r>
          </m:num>
          <m:den>
            <m:r>
              <m:t>3488</m:t>
            </m:r>
          </m:den>
        </m:f>
        <m:r>
          <m:rPr>
            <m:sty m:val="p"/>
          </m:rPr>
          <m:t>=</m:t>
        </m:r>
        <m:r>
          <m:t>0.89</m:t>
        </m:r>
      </m:oMath>
      <w:r>
        <w:rPr>
          <w:rFonts w:ascii="Times New Roman" w:hAnsi="Times New Roman" w:eastAsia="宋体"/>
          <w:sz w:val="24"/>
        </w:rPr>
        <w:tab/>
        <w:t>(6.26)</w:t>
      </w:r>
    </w:p>
    <w:p>
      <w:pPr>
        <w:spacing w:lineRule="auto" w:line="360" w:before="0" w:after="0"/>
        <w:ind w:firstLine="480"/>
      </w:pPr>
      <w:r>
        <w:rPr>
          <w:rFonts w:ascii="Times New Roman" w:hAnsi="Times New Roman" w:eastAsia="宋体"/>
          <w:sz w:val="24"/>
        </w:rPr>
        <w:t>单桩竖向利用率约为0.89，说明初步设计具备一定承载储备，但储备并不宽裕。若施工图阶段卸船机轮压、轨道梁自重或堆载取值提高，应同步复核单桩承载力、排架内力和桩顶节点构造。</w:t>
      </w:r>
    </w:p>
    <w:p>
      <w:pPr>
        <w:pStyle w:val="3"/>
        <w:jc w:val="left"/>
      </w:pPr>
      <w:r>
        <w:rPr>
          <w:rFonts w:ascii="Times New Roman" w:hAnsi="Times New Roman" w:eastAsia="宋体"/>
          <w:b/>
          <w:sz w:val="24"/>
        </w:rPr>
        <w:t xml:space="preserve"> 桩基水平承载与位移验算</w:t>
      </w:r>
    </w:p>
    <w:p>
      <w:pPr>
        <w:spacing w:lineRule="auto" w:line="360" w:before="0" w:after="0"/>
        <w:ind w:firstLine="480"/>
      </w:pPr>
      <w:r>
        <w:rPr>
          <w:rFonts w:ascii="Times New Roman" w:hAnsi="Times New Roman" w:eastAsia="宋体"/>
          <w:sz w:val="24"/>
        </w:rPr>
        <w:t>水平力由船舶撞击力和系缆力控制。按单榀排架分配并考虑前排桩承担较大水平作用，单桩水平力按300kN控制。初步设计中通过φ800mm桩径、前沿横梁加强和必要时设置斜桩来控制水平位移。施工图阶段需采用m法、NL法或有限元模型进一步复核桩身弯矩、桩顶位移和泥面附近内力；若桩顶位移或桩身弯矩超限，应优先通过增加前排桩刚度、设置斜桩或调整桩台宽度处理。</w:t>
      </w:r>
    </w:p>
    <w:p>
      <w:pPr>
        <w:spacing w:lineRule="auto" w:line="360" w:before="0" w:after="0"/>
        <w:ind w:firstLine="480"/>
      </w:pPr>
      <w:r>
        <w:rPr>
          <w:rFonts w:ascii="Times New Roman" w:hAnsi="Times New Roman" w:eastAsia="宋体"/>
          <w:sz w:val="24"/>
        </w:rPr>
        <w:t>为补充水平承载工作量，按悬臂桩简化模型估算桩顶位移。取等效自由长度6.0m，PHC管桩等效抗弯刚度EI按1.20×10⁹kN·m²计，单桩水平力300kN，则：</w:t>
      </w:r>
    </w:p>
    <w:p>
      <w:pPr>
        <w:tabs>
          <w:tab w:pos="4100" w:val="center"/>
          <w:tab w:pos="8200" w:val="right"/>
        </w:tabs>
        <w:spacing w:lineRule="auto" w:line="360" w:before="0" w:after="0"/>
        <w:jc w:val="left"/>
      </w:pPr>
      <w:r>
        <w:tab/>
      </w:r>
      <m:oMath>
        <m:sSub>
          <m:e>
            <m:r>
              <m:t>u</m:t>
            </m:r>
          </m:e>
          <m:sub>
            <m:r>
              <m:t>h</m:t>
            </m:r>
          </m:sub>
        </m:sSub>
        <m:r>
          <m:rPr>
            <m:sty m:val="p"/>
          </m:rPr>
          <m:t>=</m:t>
        </m:r>
        <m:f>
          <m:fPr>
            <m:type m:val="bar"/>
          </m:fPr>
          <m:num>
            <m:sSub>
              <m:e>
                <m:r>
                  <m:t>H</m:t>
                </m:r>
              </m:e>
              <m:sub>
                <m:r>
                  <m:t>p</m:t>
                </m:r>
              </m:sub>
            </m:sSub>
            <m:sSubSup>
              <m:e>
                <m:r>
                  <m:t>h</m:t>
                </m:r>
              </m:e>
              <m:sub>
                <m:r>
                  <m:t>e</m:t>
                </m:r>
              </m:sub>
              <m:sup>
                <m:r>
                  <m:t>3</m:t>
                </m:r>
              </m:sup>
            </m:sSubSup>
          </m:num>
          <m:den>
            <m:r>
              <m:t>3</m:t>
            </m:r>
            <m:r>
              <m:t>E</m:t>
            </m:r>
            <m:r>
              <m:t>I</m:t>
            </m:r>
          </m:den>
        </m:f>
        <m:r>
          <m:rPr>
            <m:sty m:val="p"/>
          </m:rPr>
          <m:t>=</m:t>
        </m:r>
        <m:f>
          <m:fPr>
            <m:type m:val="bar"/>
          </m:fPr>
          <m:num>
            <m:r>
              <m:t>300</m:t>
            </m:r>
            <m:r>
              <m:rPr>
                <m:sty m:val="p"/>
              </m:rPr>
              <m:t>×</m:t>
            </m:r>
            <m:sSup>
              <m:e>
                <m:r>
                  <m:t>6</m:t>
                </m:r>
              </m:e>
              <m:sup>
                <m:r>
                  <m:t>3</m:t>
                </m:r>
              </m:sup>
            </m:sSup>
          </m:num>
          <m:den>
            <m:r>
              <m:t>3</m:t>
            </m:r>
            <m:r>
              <m:rPr>
                <m:sty m:val="p"/>
              </m:rPr>
              <m:t>×</m:t>
            </m:r>
            <m:r>
              <m:t>1.20</m:t>
            </m:r>
            <m:r>
              <m:rPr>
                <m:sty m:val="p"/>
              </m:rPr>
              <m:t>×</m:t>
            </m:r>
            <m:sSup>
              <m:e>
                <m:r>
                  <m:t>10</m:t>
                </m:r>
              </m:e>
              <m:sup>
                <m:r>
                  <m:t>9</m:t>
                </m:r>
              </m:sup>
            </m:sSup>
          </m:den>
        </m:f>
        <m:r>
          <m:rPr>
            <m:sty m:val="p"/>
          </m:rPr>
          <m:t>=</m:t>
        </m:r>
        <m:r>
          <m:t>0.018</m:t>
        </m:r>
        <m:r>
          <m:t> </m:t>
        </m:r>
        <m:r>
          <m:rPr>
            <m:sty m:val="p"/>
          </m:rPr>
          <m:t>m</m:t>
        </m:r>
      </m:oMath>
      <w:r>
        <w:rPr>
          <w:rFonts w:ascii="Times New Roman" w:hAnsi="Times New Roman" w:eastAsia="宋体"/>
          <w:sz w:val="24"/>
        </w:rPr>
        <w:tab/>
        <w:t>(6.27)</w:t>
      </w:r>
    </w:p>
    <w:p>
      <w:pPr>
        <w:tabs>
          <w:tab w:pos="4100" w:val="center"/>
          <w:tab w:pos="8200" w:val="right"/>
        </w:tabs>
        <w:spacing w:lineRule="auto" w:line="360" w:before="0" w:after="0"/>
        <w:jc w:val="left"/>
      </w:pPr>
      <w:r>
        <w:tab/>
      </w:r>
      <m:oMath>
        <m:r>
          <m:t>θ</m:t>
        </m:r>
        <m:r>
          <m:rPr>
            <m:sty m:val="p"/>
          </m:rPr>
          <m:t>=</m:t>
        </m:r>
        <m:f>
          <m:fPr>
            <m:type m:val="bar"/>
          </m:fPr>
          <m:num>
            <m:sSub>
              <m:e>
                <m:r>
                  <m:t>u</m:t>
                </m:r>
              </m:e>
              <m:sub>
                <m:r>
                  <m:t>h</m:t>
                </m:r>
              </m:sub>
            </m:sSub>
          </m:num>
          <m:den>
            <m:sSub>
              <m:e>
                <m:r>
                  <m:t>h</m:t>
                </m:r>
              </m:e>
              <m:sub>
                <m:r>
                  <m:t>e</m:t>
                </m:r>
              </m:sub>
            </m:sSub>
          </m:den>
        </m:f>
        <m:r>
          <m:rPr>
            <m:sty m:val="p"/>
          </m:rPr>
          <m:t>=</m:t>
        </m:r>
        <m:f>
          <m:fPr>
            <m:type m:val="bar"/>
          </m:fPr>
          <m:num>
            <m:r>
              <m:t>0.018</m:t>
            </m:r>
          </m:num>
          <m:den>
            <m:r>
              <m:t>6</m:t>
            </m:r>
          </m:den>
        </m:f>
        <m:r>
          <m:rPr>
            <m:sty m:val="p"/>
          </m:rPr>
          <m:t>=</m:t>
        </m:r>
        <m:r>
          <m:t>0.0030</m:t>
        </m:r>
      </m:oMath>
      <w:r>
        <w:rPr>
          <w:rFonts w:ascii="Times New Roman" w:hAnsi="Times New Roman" w:eastAsia="宋体"/>
          <w:sz w:val="24"/>
        </w:rPr>
        <w:tab/>
        <w:t>(6.28)</w:t>
      </w:r>
    </w:p>
    <w:p>
      <w:pPr>
        <w:spacing w:lineRule="auto" w:line="360" w:before="0" w:after="0"/>
        <w:ind w:firstLine="480"/>
      </w:pPr>
      <w:r>
        <w:rPr>
          <w:rFonts w:ascii="Times New Roman" w:hAnsi="Times New Roman" w:eastAsia="宋体"/>
          <w:sz w:val="24"/>
        </w:rPr>
        <w:t>简化位移约18mm，属于初步设计可接受范围；施工图阶段仍需按土层m值、桩身开裂刚度和排架空间作用重新计算。</w:t>
      </w:r>
    </w:p>
    <w:p>
      <w:pPr>
        <w:pStyle w:val="3"/>
        <w:jc w:val="left"/>
      </w:pPr>
      <w:r>
        <w:rPr>
          <w:rFonts w:ascii="Times New Roman" w:hAnsi="Times New Roman" w:eastAsia="宋体"/>
          <w:b/>
          <w:sz w:val="24"/>
        </w:rPr>
        <w:t xml:space="preserve"> 桩距、桩顶连接与耐久性复核</w:t>
      </w:r>
    </w:p>
    <w:p>
      <w:pPr>
        <w:spacing w:lineRule="auto" w:line="360" w:before="0" w:after="0"/>
        <w:ind w:firstLine="480"/>
      </w:pPr>
      <w:r>
        <w:rPr>
          <w:rFonts w:ascii="Times New Roman" w:hAnsi="Times New Roman" w:eastAsia="宋体"/>
          <w:sz w:val="24"/>
        </w:rPr>
        <w:t>桩基纵向间距按排架间距8m控制，桩径0.8m，纵向桩距约为10d，满足初步布置要求；横向桩距在施工图阶段应结合轨道梁、横梁宽度和沉桩偏差复核，原则上保证同一桩台下各桩受力均匀且施工可达。PHC管桩与桩帽或横梁连接按刚接考虑时，桩顶嵌入长度宜按不小于0.75d控制，桩芯混凝土强度等级不低于桩帽或横梁混凝土强度等级。前沿浪溅区、护舷锚固区和系船柱基础属于耐久性薄弱部位，应采用高性能混凝土、足够保护层厚度、防腐钢筋或附加防护措施，并预留检查维护条件。</w:t>
      </w:r>
    </w:p>
    <w:p>
      <w:pPr>
        <w:spacing w:lineRule="auto" w:line="360" w:before="0" w:after="0"/>
        <w:ind w:firstLine="480"/>
      </w:pPr>
      <w:r>
        <w:rPr>
          <w:rFonts w:ascii="Times New Roman" w:hAnsi="Times New Roman" w:eastAsia="宋体"/>
          <w:sz w:val="24"/>
        </w:rPr>
        <w:t>桩基耐久性控制应贯穿设计和施工全过程。PHC管桩在浪溅区和泥面附近受氯盐、干湿循环和弯矩共同影响，应重点控制保护层、桩身裂缝和桩顶节点防水。沉桩过程中若出现桩身裂损、异常贯入或桩位偏差，应及时进行低应变检测、复测和设计复核。</w:t>
      </w:r>
    </w:p>
    <w:p>
      <w:pPr>
        <w:spacing w:lineRule="auto" w:line="360" w:before="0" w:after="0"/>
        <w:ind w:firstLine="480"/>
      </w:pPr>
      <w:r>
        <w:rPr>
          <w:rFonts w:ascii="Times New Roman" w:hAnsi="Times New Roman" w:eastAsia="宋体"/>
          <w:sz w:val="24"/>
        </w:rPr>
        <w:t>桩距和桩顶连接按构造要求进行量化复核。桩径0.8m，纵向排架间距8m，桩顶嵌入桩帽按0.75d控制：</w:t>
      </w:r>
    </w:p>
    <w:p>
      <w:pPr>
        <w:tabs>
          <w:tab w:pos="4100" w:val="center"/>
          <w:tab w:pos="8200" w:val="right"/>
        </w:tabs>
        <w:spacing w:lineRule="auto" w:line="360" w:before="0" w:after="0"/>
        <w:jc w:val="left"/>
      </w:pPr>
      <w:r>
        <w:tab/>
      </w:r>
      <m:oMath>
        <m:f>
          <m:fPr>
            <m:type m:val="bar"/>
          </m:fPr>
          <m:num>
            <m:r>
              <m:t>s</m:t>
            </m:r>
          </m:num>
          <m:den>
            <m:r>
              <m:t>d</m:t>
            </m:r>
          </m:den>
        </m:f>
        <m:r>
          <m:rPr>
            <m:sty m:val="p"/>
          </m:rPr>
          <m:t>=</m:t>
        </m:r>
        <m:f>
          <m:fPr>
            <m:type m:val="bar"/>
          </m:fPr>
          <m:num>
            <m:r>
              <m:t>8</m:t>
            </m:r>
          </m:num>
          <m:den>
            <m:r>
              <m:t>0.8</m:t>
            </m:r>
          </m:den>
        </m:f>
        <m:r>
          <m:rPr>
            <m:sty m:val="p"/>
          </m:rPr>
          <m:t>=</m:t>
        </m:r>
        <m:r>
          <m:t>10</m:t>
        </m:r>
      </m:oMath>
      <w:r>
        <w:rPr>
          <w:rFonts w:ascii="Times New Roman" w:hAnsi="Times New Roman" w:eastAsia="宋体"/>
          <w:sz w:val="24"/>
        </w:rPr>
        <w:tab/>
        <w:t>(6.29)</w:t>
      </w:r>
    </w:p>
    <w:p>
      <w:pPr>
        <w:tabs>
          <w:tab w:pos="4100" w:val="center"/>
          <w:tab w:pos="8200" w:val="right"/>
        </w:tabs>
        <w:spacing w:lineRule="auto" w:line="360" w:before="0" w:after="0"/>
        <w:jc w:val="left"/>
      </w:pPr>
      <w:r>
        <w:tab/>
      </w:r>
      <m:oMath>
        <m:sSub>
          <m:e>
            <m:r>
              <m:t>l</m:t>
            </m:r>
          </m:e>
          <m:sub>
            <m:r>
              <m:t>e</m:t>
            </m:r>
          </m:sub>
        </m:sSub>
        <m:r>
          <m:rPr>
            <m:sty m:val="p"/>
          </m:rPr>
          <m:t>=</m:t>
        </m:r>
        <m:r>
          <m:t>0.75</m:t>
        </m:r>
        <m:r>
          <m:t>d</m:t>
        </m:r>
        <m:r>
          <m:rPr>
            <m:sty m:val="p"/>
          </m:rPr>
          <m:t>=</m:t>
        </m:r>
        <m:r>
          <m:t>0.75</m:t>
        </m:r>
        <m:r>
          <m:rPr>
            <m:sty m:val="p"/>
          </m:rPr>
          <m:t>×</m:t>
        </m:r>
        <m:r>
          <m:t>0.8</m:t>
        </m:r>
        <m:r>
          <m:rPr>
            <m:sty m:val="p"/>
          </m:rPr>
          <m:t>=</m:t>
        </m:r>
        <m:r>
          <m:t>0.60</m:t>
        </m:r>
        <m:r>
          <m:t> </m:t>
        </m:r>
        <m:r>
          <m:rPr>
            <m:sty m:val="p"/>
          </m:rPr>
          <m:t>m</m:t>
        </m:r>
      </m:oMath>
      <w:r>
        <w:rPr>
          <w:rFonts w:ascii="Times New Roman" w:hAnsi="Times New Roman" w:eastAsia="宋体"/>
          <w:sz w:val="24"/>
        </w:rPr>
        <w:tab/>
        <w:t>(6.30)</w:t>
      </w:r>
    </w:p>
    <w:p>
      <w:pPr>
        <w:spacing w:lineRule="auto" w:line="360" w:before="0" w:after="0"/>
        <w:ind w:firstLine="480"/>
      </w:pPr>
      <w:r>
        <w:rPr>
          <w:rFonts w:ascii="Times New Roman" w:hAnsi="Times New Roman" w:eastAsia="宋体"/>
          <w:sz w:val="24"/>
        </w:rPr>
        <w:t>纵向桩距约为10d，满足沉桩施工和群桩效应控制的初步要求；桩顶嵌入长度不应小于0.60m，且需配置桩芯混凝土和锚固钢筋。</w:t>
      </w:r>
    </w:p>
    <w:p>
      <w:pPr>
        <w:pStyle w:val="2"/>
        <w:jc w:val="left"/>
      </w:pPr>
      <w:r>
        <w:rPr>
          <w:rFonts w:ascii="Times New Roman" w:hAnsi="Times New Roman" w:eastAsia="宋体"/>
          <w:b/>
          <w:sz w:val="24"/>
        </w:rPr>
        <w:t xml:space="preserve"> 靠船与系缆构件验算</w:t>
      </w:r>
    </w:p>
    <w:p>
      <w:pPr>
        <w:pStyle w:val="3"/>
        <w:jc w:val="left"/>
      </w:pPr>
      <w:r>
        <w:rPr>
          <w:rFonts w:ascii="Times New Roman" w:hAnsi="Times New Roman" w:eastAsia="宋体"/>
          <w:b/>
          <w:sz w:val="24"/>
        </w:rPr>
        <w:t xml:space="preserve"> 靠船构件验算</w:t>
      </w:r>
    </w:p>
    <w:p>
      <w:pPr>
        <w:spacing w:lineRule="auto" w:line="360" w:before="0" w:after="0"/>
        <w:ind w:firstLine="480"/>
      </w:pPr>
      <w:r>
        <w:rPr>
          <w:rFonts w:ascii="Times New Roman" w:hAnsi="Times New Roman" w:eastAsia="宋体"/>
          <w:sz w:val="24"/>
        </w:rPr>
        <w:t>护舷选型除控制最大反力外，还应检查吸能储备。初步取护舷设计压缩变形0.60m，按反力—变形曲线三角形近似估算吸能：</w:t>
      </w:r>
    </w:p>
    <w:p>
      <w:pPr>
        <w:tabs>
          <w:tab w:pos="4100" w:val="center"/>
          <w:tab w:pos="8200" w:val="right"/>
        </w:tabs>
        <w:spacing w:lineRule="auto" w:line="360" w:before="0" w:after="0"/>
        <w:jc w:val="left"/>
      </w:pPr>
      <w:r>
        <w:tab/>
      </w:r>
      <m:oMath>
        <m:sSub>
          <m:e>
            <m:r>
              <m:t>E</m:t>
            </m:r>
          </m:e>
          <m:sub>
            <m:r>
              <m:t>f</m:t>
            </m:r>
          </m:sub>
        </m:sSub>
        <m:r>
          <m:rPr>
            <m:sty m:val="p"/>
          </m:rPr>
          <m:t>=</m:t>
        </m:r>
        <m:r>
          <m:t>0.5</m:t>
        </m:r>
        <m:sSub>
          <m:e>
            <m:r>
              <m:t>F</m:t>
            </m:r>
          </m:e>
          <m:sub>
            <m:r>
              <m:t>f</m:t>
            </m:r>
          </m:sub>
        </m:sSub>
        <m:r>
          <m:t>δ</m:t>
        </m:r>
        <m:r>
          <m:rPr>
            <m:sty m:val="p"/>
          </m:rPr>
          <m:t>=</m:t>
        </m:r>
        <m:r>
          <m:t>0.5</m:t>
        </m:r>
        <m:r>
          <m:rPr>
            <m:sty m:val="p"/>
          </m:rPr>
          <m:t>×</m:t>
        </m:r>
        <m:r>
          <m:t>500</m:t>
        </m:r>
        <m:r>
          <m:rPr>
            <m:sty m:val="p"/>
          </m:rPr>
          <m:t>×</m:t>
        </m:r>
        <m:r>
          <m:t>0.60</m:t>
        </m:r>
        <m:r>
          <m:rPr>
            <m:sty m:val="p"/>
          </m:rPr>
          <m:t>=</m:t>
        </m:r>
        <m:r>
          <m:t>150</m:t>
        </m:r>
        <m:r>
          <m:t> </m:t>
        </m:r>
        <m:r>
          <m:rPr>
            <m:sty m:val="p"/>
          </m:rPr>
          <m:t>k</m:t>
        </m:r>
        <m:r>
          <m:rPr>
            <m:sty m:val="p"/>
          </m:rPr>
          <m:t>N</m:t>
        </m:r>
        <m:r>
          <m:rPr>
            <m:sty m:val="p"/>
          </m:rPr>
          <m:t>⋅</m:t>
        </m:r>
        <m:r>
          <m:rPr>
            <m:sty m:val="p"/>
          </m:rPr>
          <m:t>m</m:t>
        </m:r>
      </m:oMath>
      <w:r>
        <w:rPr>
          <w:rFonts w:ascii="Times New Roman" w:hAnsi="Times New Roman" w:eastAsia="宋体"/>
          <w:sz w:val="24"/>
        </w:rPr>
        <w:tab/>
        <w:t>(6.31)</w:t>
      </w:r>
    </w:p>
    <w:p>
      <w:pPr>
        <w:spacing w:lineRule="auto" w:line="360" w:before="0" w:after="0"/>
        <w:ind w:firstLine="480"/>
      </w:pPr>
      <w:r>
        <w:rPr>
          <w:rFonts w:ascii="Times New Roman" w:hAnsi="Times New Roman" w:eastAsia="宋体"/>
          <w:sz w:val="24"/>
        </w:rPr>
        <w:t>靠船立柱按护舷反力作用于距横梁节点约1.20m处估算根部弯矩：</w:t>
      </w:r>
    </w:p>
    <w:p>
      <w:pPr>
        <w:tabs>
          <w:tab w:pos="4100" w:val="center"/>
          <w:tab w:pos="8200" w:val="right"/>
        </w:tabs>
        <w:spacing w:lineRule="auto" w:line="360" w:before="0" w:after="0"/>
        <w:jc w:val="left"/>
      </w:pPr>
      <w:r>
        <w:tab/>
      </w:r>
      <m:oMath>
        <m:sSub>
          <m:e>
            <m:r>
              <m:t>M</m:t>
            </m:r>
          </m:e>
          <m:sub>
            <m:r>
              <m:t>f</m:t>
            </m:r>
          </m:sub>
        </m:sSub>
        <m:r>
          <m:rPr>
            <m:sty m:val="p"/>
          </m:rPr>
          <m:t>=</m:t>
        </m:r>
        <m:sSub>
          <m:e>
            <m:r>
              <m:t>F</m:t>
            </m:r>
          </m:e>
          <m:sub>
            <m:r>
              <m:t>f</m:t>
            </m:r>
          </m:sub>
        </m:sSub>
        <m:sSub>
          <m:e>
            <m:r>
              <m:t>h</m:t>
            </m:r>
          </m:e>
          <m:sub>
            <m:r>
              <m:t>f</m:t>
            </m:r>
          </m:sub>
        </m:sSub>
        <m:r>
          <m:rPr>
            <m:sty m:val="p"/>
          </m:rPr>
          <m:t>=</m:t>
        </m:r>
        <m:r>
          <m:t>500</m:t>
        </m:r>
        <m:r>
          <m:rPr>
            <m:sty m:val="p"/>
          </m:rPr>
          <m:t>×</m:t>
        </m:r>
        <m:r>
          <m:t>1.20</m:t>
        </m:r>
        <m:r>
          <m:rPr>
            <m:sty m:val="p"/>
          </m:rPr>
          <m:t>=</m:t>
        </m:r>
        <m:r>
          <m:t>600</m:t>
        </m:r>
        <m:r>
          <m:t> </m:t>
        </m:r>
        <m:r>
          <m:rPr>
            <m:sty m:val="p"/>
          </m:rPr>
          <m:t>k</m:t>
        </m:r>
        <m:r>
          <m:rPr>
            <m:sty m:val="p"/>
          </m:rPr>
          <m:t>N</m:t>
        </m:r>
        <m:r>
          <m:rPr>
            <m:sty m:val="p"/>
          </m:rPr>
          <m:t>⋅</m:t>
        </m:r>
        <m:r>
          <m:rPr>
            <m:sty m:val="p"/>
          </m:rPr>
          <m:t>m</m:t>
        </m:r>
      </m:oMath>
      <w:r>
        <w:rPr>
          <w:rFonts w:ascii="Times New Roman" w:hAnsi="Times New Roman" w:eastAsia="宋体"/>
          <w:sz w:val="24"/>
        </w:rPr>
        <w:tab/>
        <w:t>(6.32)</w:t>
      </w:r>
    </w:p>
    <w:p>
      <w:pPr>
        <w:spacing w:lineRule="auto" w:line="360" w:before="0" w:after="0"/>
        <w:ind w:firstLine="480"/>
      </w:pPr>
      <w:r>
        <w:rPr>
          <w:rFonts w:ascii="Times New Roman" w:hAnsi="Times New Roman" w:eastAsia="宋体"/>
          <w:sz w:val="24"/>
        </w:rPr>
        <w:t>该弯矩应与前沿横梁局部剪力共同考虑，靠船构件锚固区宜设置闭合箍筋和附加纵筋，护舷螺栓孔周围应采取局部加强，避免运营期反复靠泊造成混凝土劈裂。</w:t>
      </w:r>
    </w:p>
    <w:p>
      <w:pPr>
        <w:spacing w:lineRule="auto" w:line="360" w:before="0" w:after="0"/>
        <w:ind w:firstLine="480"/>
      </w:pPr>
      <w:r>
        <w:rPr>
          <w:rFonts w:ascii="Times New Roman" w:hAnsi="Times New Roman" w:eastAsia="宋体"/>
          <w:sz w:val="24"/>
        </w:rPr>
        <w:t>护舷锚栓按4根主要锚栓共同承担水平反力估算，单根锚栓剪力为：</w:t>
      </w:r>
    </w:p>
    <w:p>
      <w:pPr>
        <w:tabs>
          <w:tab w:pos="4100" w:val="center"/>
          <w:tab w:pos="8200" w:val="right"/>
        </w:tabs>
        <w:spacing w:lineRule="auto" w:line="360" w:before="0" w:after="0"/>
        <w:jc w:val="left"/>
      </w:pPr>
      <w:r>
        <w:tab/>
      </w:r>
      <m:oMath>
        <m:sSub>
          <m:e>
            <m:r>
              <m:t>V</m:t>
            </m:r>
          </m:e>
          <m:sub>
            <m:r>
              <m:t>f</m:t>
            </m:r>
            <m:r>
              <m:rPr>
                <m:sty m:val="p"/>
              </m:rPr>
              <m:t>,</m:t>
            </m:r>
            <m:r>
              <m:t>b</m:t>
            </m:r>
          </m:sub>
        </m:sSub>
        <m:r>
          <m:rPr>
            <m:sty m:val="p"/>
          </m:rPr>
          <m:t>=</m:t>
        </m:r>
        <m:f>
          <m:fPr>
            <m:type m:val="bar"/>
          </m:fPr>
          <m:num>
            <m:sSub>
              <m:e>
                <m:r>
                  <m:t>F</m:t>
                </m:r>
              </m:e>
              <m:sub>
                <m:r>
                  <m:t>f</m:t>
                </m:r>
              </m:sub>
            </m:sSub>
          </m:num>
          <m:den>
            <m:r>
              <m:t>4</m:t>
            </m:r>
          </m:den>
        </m:f>
        <m:r>
          <m:rPr>
            <m:sty m:val="p"/>
          </m:rPr>
          <m:t>=</m:t>
        </m:r>
        <m:f>
          <m:fPr>
            <m:type m:val="bar"/>
          </m:fPr>
          <m:num>
            <m:r>
              <m:t>500</m:t>
            </m:r>
          </m:num>
          <m:den>
            <m:r>
              <m:t>4</m:t>
            </m:r>
          </m:den>
        </m:f>
        <m:r>
          <m:rPr>
            <m:sty m:val="p"/>
          </m:rPr>
          <m:t>=</m:t>
        </m:r>
        <m:r>
          <m:t>125</m:t>
        </m:r>
        <m:r>
          <m:t> </m:t>
        </m:r>
        <m:r>
          <m:rPr>
            <m:sty m:val="p"/>
          </m:rPr>
          <m:t>k</m:t>
        </m:r>
        <m:r>
          <m:rPr>
            <m:sty m:val="p"/>
          </m:rPr>
          <m:t>N</m:t>
        </m:r>
      </m:oMath>
      <w:r>
        <w:rPr>
          <w:rFonts w:ascii="Times New Roman" w:hAnsi="Times New Roman" w:eastAsia="宋体"/>
          <w:sz w:val="24"/>
        </w:rPr>
        <w:tab/>
        <w:t>(6.33)</w:t>
      </w:r>
    </w:p>
    <w:p>
      <w:pPr>
        <w:tabs>
          <w:tab w:pos="4100" w:val="center"/>
          <w:tab w:pos="8200" w:val="right"/>
        </w:tabs>
        <w:spacing w:lineRule="auto" w:line="360" w:before="0" w:after="0"/>
        <w:jc w:val="left"/>
      </w:pPr>
      <w:r>
        <w:tab/>
      </w:r>
      <m:oMath>
        <m:sSub>
          <m:e>
            <m:r>
              <m:t>T</m:t>
            </m:r>
          </m:e>
          <m:sub>
            <m:r>
              <m:t>f</m:t>
            </m:r>
            <m:r>
              <m:rPr>
                <m:sty m:val="p"/>
              </m:rPr>
              <m:t>,</m:t>
            </m:r>
            <m:r>
              <m:t>b</m:t>
            </m:r>
          </m:sub>
        </m:sSub>
        <m:r>
          <m:rPr>
            <m:sty m:val="p"/>
          </m:rPr>
          <m:t>=</m:t>
        </m:r>
        <m:f>
          <m:fPr>
            <m:type m:val="bar"/>
          </m:fPr>
          <m:num>
            <m:sSub>
              <m:e>
                <m:r>
                  <m:t>M</m:t>
                </m:r>
              </m:e>
              <m:sub>
                <m:r>
                  <m:t>f</m:t>
                </m:r>
              </m:sub>
            </m:sSub>
          </m:num>
          <m:den>
            <m:r>
              <m:t>4</m:t>
            </m:r>
            <m:sSub>
              <m:e>
                <m:r>
                  <m:t>e</m:t>
                </m:r>
              </m:e>
              <m:sub>
                <m:r>
                  <m:t>b</m:t>
                </m:r>
              </m:sub>
            </m:sSub>
          </m:den>
        </m:f>
        <m:r>
          <m:rPr>
            <m:sty m:val="p"/>
          </m:rPr>
          <m:t>=</m:t>
        </m:r>
        <m:f>
          <m:fPr>
            <m:type m:val="bar"/>
          </m:fPr>
          <m:num>
            <m:r>
              <m:t>600</m:t>
            </m:r>
          </m:num>
          <m:den>
            <m:r>
              <m:t>4</m:t>
            </m:r>
            <m:r>
              <m:rPr>
                <m:sty m:val="p"/>
              </m:rPr>
              <m:t>×</m:t>
            </m:r>
            <m:r>
              <m:t>0.45</m:t>
            </m:r>
          </m:den>
        </m:f>
        <m:r>
          <m:rPr>
            <m:sty m:val="p"/>
          </m:rPr>
          <m:t>=</m:t>
        </m:r>
        <m:r>
          <m:t>333</m:t>
        </m:r>
        <m:r>
          <m:t> </m:t>
        </m:r>
        <m:r>
          <m:rPr>
            <m:sty m:val="p"/>
          </m:rPr>
          <m:t>k</m:t>
        </m:r>
        <m:r>
          <m:rPr>
            <m:sty m:val="p"/>
          </m:rPr>
          <m:t>N</m:t>
        </m:r>
      </m:oMath>
      <w:r>
        <w:rPr>
          <w:rFonts w:ascii="Times New Roman" w:hAnsi="Times New Roman" w:eastAsia="宋体"/>
          <w:sz w:val="24"/>
        </w:rPr>
        <w:tab/>
        <w:t>(6.34)</w:t>
      </w:r>
    </w:p>
    <w:p>
      <w:pPr>
        <w:spacing w:lineRule="auto" w:line="360" w:before="0" w:after="0"/>
        <w:ind w:firstLine="480"/>
      </w:pPr>
      <w:r>
        <w:rPr>
          <w:rFonts w:ascii="Times New Roman" w:hAnsi="Times New Roman" w:eastAsia="宋体"/>
          <w:sz w:val="24"/>
        </w:rPr>
        <w:t>锚栓拉力受锚栓排距影响较大，施工图阶段应按厂家锚栓布置复核拉剪组合，并在靠船构件背后设置抗劈裂钢筋。</w:t>
      </w:r>
    </w:p>
    <w:p>
      <w:pPr>
        <w:pStyle w:val="3"/>
        <w:jc w:val="left"/>
      </w:pPr>
      <w:r>
        <w:rPr>
          <w:rFonts w:ascii="Times New Roman" w:hAnsi="Times New Roman" w:eastAsia="宋体"/>
          <w:b/>
          <w:sz w:val="24"/>
        </w:rPr>
        <w:t xml:space="preserve"> 系船柱与系缆力验算</w:t>
      </w:r>
    </w:p>
    <w:p>
      <w:pPr>
        <w:spacing w:lineRule="auto" w:line="360" w:before="0" w:after="0"/>
        <w:ind w:firstLine="480"/>
      </w:pPr>
      <w:r>
        <w:rPr>
          <w:rFonts w:ascii="Times New Roman" w:hAnsi="Times New Roman" w:eastAsia="宋体"/>
          <w:sz w:val="24"/>
        </w:rPr>
        <w:t>系船柱按650kN等级配置，沿码头前沿间距约25m布置。系船柱基础与横梁整体浇筑，锚栓按拉拔和剪切共同作用验算，基础局部受压和锚固区劈裂钢筋应按构造加强。9级以上大风船舶离泊避风，因此不设置风暴系船柱；运营期应明确强风、台风和大浪预警条件下的离泊与限制作业要求。</w:t>
      </w:r>
    </w:p>
    <w:p>
      <w:pPr>
        <w:tabs>
          <w:tab w:pos="4100" w:val="center"/>
          <w:tab w:pos="8200" w:val="right"/>
        </w:tabs>
        <w:spacing w:lineRule="auto" w:line="360" w:before="0" w:after="0"/>
        <w:jc w:val="left"/>
      </w:pPr>
      <w:r>
        <w:tab/>
      </w:r>
      <m:oMath>
        <m:sSub>
          <m:e>
            <m:r>
              <m:t>n</m:t>
            </m:r>
          </m:e>
          <m:sub>
            <m:r>
              <m:t>m</m:t>
            </m:r>
          </m:sub>
        </m:sSub>
        <m:r>
          <m:rPr>
            <m:sty m:val="p"/>
          </m:rPr>
          <m:t>=</m:t>
        </m:r>
        <m:d>
          <m:dPr>
            <m:begChr m:val="⌈"/>
            <m:sepChr m:val=""/>
            <m:endChr m:val="⌉"/>
            <m:grow/>
          </m:dPr>
          <m:e>
            <m:f>
              <m:fPr>
                <m:type m:val="bar"/>
              </m:fPr>
              <m:num>
                <m:r>
                  <m:t>260</m:t>
                </m:r>
              </m:num>
              <m:den>
                <m:r>
                  <m:t>25</m:t>
                </m:r>
              </m:den>
            </m:f>
          </m:e>
        </m:d>
        <m:r>
          <m:rPr>
            <m:sty m:val="p"/>
          </m:rPr>
          <m:t>+</m:t>
        </m:r>
        <m:r>
          <m:t>1</m:t>
        </m:r>
        <m:r>
          <m:rPr>
            <m:sty m:val="p"/>
          </m:rPr>
          <m:t>=</m:t>
        </m:r>
        <m:r>
          <m:t>12</m:t>
        </m:r>
      </m:oMath>
      <w:r>
        <w:rPr>
          <w:rFonts w:ascii="Times New Roman" w:hAnsi="Times New Roman" w:eastAsia="宋体"/>
          <w:sz w:val="24"/>
        </w:rPr>
        <w:tab/>
        <w:t>(6.35)</w:t>
      </w:r>
    </w:p>
    <w:p>
      <w:pPr>
        <w:spacing w:lineRule="auto" w:line="360" w:before="0" w:after="0"/>
        <w:ind w:firstLine="480"/>
      </w:pPr>
      <w:r>
        <w:rPr>
          <w:rFonts w:ascii="Times New Roman" w:hAnsi="Times New Roman" w:eastAsia="宋体"/>
          <w:sz w:val="24"/>
        </w:rPr>
        <w:t>按每个系船柱4根主要锚栓、缆绳与水平面夹角45°进行保守分配，单根锚栓拉力和剪力估算如下：</w:t>
      </w:r>
    </w:p>
    <w:p>
      <w:pPr>
        <w:tabs>
          <w:tab w:pos="4100" w:val="center"/>
          <w:tab w:pos="8200" w:val="right"/>
        </w:tabs>
        <w:spacing w:lineRule="auto" w:line="360" w:before="0" w:after="0"/>
        <w:jc w:val="left"/>
      </w:pPr>
      <w:r>
        <w:tab/>
      </w:r>
      <m:oMath>
        <m:sSub>
          <m:e>
            <m:r>
              <m:t>T</m:t>
            </m:r>
          </m:e>
          <m:sub>
            <m:r>
              <m:t>b</m:t>
            </m:r>
          </m:sub>
        </m:sSub>
        <m:r>
          <m:rPr>
            <m:sty m:val="p"/>
          </m:rPr>
          <m:t>=</m:t>
        </m:r>
        <m:f>
          <m:fPr>
            <m:type m:val="bar"/>
          </m:fPr>
          <m:num>
            <m:sSub>
              <m:e>
                <m:r>
                  <m:t>T</m:t>
                </m:r>
              </m:e>
              <m:sub>
                <m:r>
                  <m:t>m</m:t>
                </m:r>
              </m:sub>
            </m:sSub>
          </m:num>
          <m:den>
            <m:r>
              <m:t>4</m:t>
            </m:r>
            <m:r>
              <m:rPr>
                <m:sty m:val="p"/>
              </m:rPr>
              <m:t>sin</m:t>
            </m:r>
            <m:sSup>
              <m:e>
                <m:r>
                  <m:t>45</m:t>
                </m:r>
              </m:e>
              <m:sup>
                <m:r>
                  <m:rPr>
                    <m:sty m:val="p"/>
                  </m:rPr>
                  <m:t>∘</m:t>
                </m:r>
              </m:sup>
            </m:sSup>
          </m:den>
        </m:f>
        <m:r>
          <m:rPr>
            <m:sty m:val="p"/>
          </m:rPr>
          <m:t>=</m:t>
        </m:r>
        <m:f>
          <m:fPr>
            <m:type m:val="bar"/>
          </m:fPr>
          <m:num>
            <m:r>
              <m:t>650</m:t>
            </m:r>
          </m:num>
          <m:den>
            <m:r>
              <m:t>4</m:t>
            </m:r>
            <m:r>
              <m:rPr>
                <m:sty m:val="p"/>
              </m:rPr>
              <m:t>×</m:t>
            </m:r>
            <m:r>
              <m:t>0.707</m:t>
            </m:r>
          </m:den>
        </m:f>
        <m:r>
          <m:rPr>
            <m:sty m:val="p"/>
          </m:rPr>
          <m:t>=</m:t>
        </m:r>
        <m:r>
          <m:t>230</m:t>
        </m:r>
        <m:r>
          <m:t> </m:t>
        </m:r>
        <m:r>
          <m:rPr>
            <m:sty m:val="p"/>
          </m:rPr>
          <m:t>k</m:t>
        </m:r>
        <m:r>
          <m:rPr>
            <m:sty m:val="p"/>
          </m:rPr>
          <m:t>N</m:t>
        </m:r>
      </m:oMath>
      <w:r>
        <w:rPr>
          <w:rFonts w:ascii="Times New Roman" w:hAnsi="Times New Roman" w:eastAsia="宋体"/>
          <w:sz w:val="24"/>
        </w:rPr>
        <w:tab/>
        <w:t>(6.36)</w:t>
      </w:r>
    </w:p>
    <w:p>
      <w:pPr>
        <w:tabs>
          <w:tab w:pos="4100" w:val="center"/>
          <w:tab w:pos="8200" w:val="right"/>
        </w:tabs>
        <w:spacing w:lineRule="auto" w:line="360" w:before="0" w:after="0"/>
        <w:jc w:val="left"/>
      </w:pPr>
      <w:r>
        <w:tab/>
      </w:r>
      <m:oMath>
        <m:sSub>
          <m:e>
            <m:r>
              <m:t>V</m:t>
            </m:r>
          </m:e>
          <m:sub>
            <m:r>
              <m:t>b</m:t>
            </m:r>
          </m:sub>
        </m:sSub>
        <m:r>
          <m:rPr>
            <m:sty m:val="p"/>
          </m:rPr>
          <m:t>=</m:t>
        </m:r>
        <m:f>
          <m:fPr>
            <m:type m:val="bar"/>
          </m:fPr>
          <m:num>
            <m:sSub>
              <m:e>
                <m:r>
                  <m:t>T</m:t>
                </m:r>
              </m:e>
              <m:sub>
                <m:r>
                  <m:t>m</m:t>
                </m:r>
              </m:sub>
            </m:sSub>
          </m:num>
          <m:den>
            <m:r>
              <m:t>4</m:t>
            </m:r>
          </m:den>
        </m:f>
        <m:r>
          <m:rPr>
            <m:sty m:val="p"/>
          </m:rPr>
          <m:t>=</m:t>
        </m:r>
        <m:f>
          <m:fPr>
            <m:type m:val="bar"/>
          </m:fPr>
          <m:num>
            <m:r>
              <m:t>650</m:t>
            </m:r>
          </m:num>
          <m:den>
            <m:r>
              <m:t>4</m:t>
            </m:r>
          </m:den>
        </m:f>
        <m:r>
          <m:rPr>
            <m:sty m:val="p"/>
          </m:rPr>
          <m:t>=</m:t>
        </m:r>
        <m:r>
          <m:t>162.5</m:t>
        </m:r>
        <m:r>
          <m:t> </m:t>
        </m:r>
        <m:r>
          <m:rPr>
            <m:sty m:val="p"/>
          </m:rPr>
          <m:t>k</m:t>
        </m:r>
        <m:r>
          <m:rPr>
            <m:sty m:val="p"/>
          </m:rPr>
          <m:t>N</m:t>
        </m:r>
      </m:oMath>
      <w:r>
        <w:rPr>
          <w:rFonts w:ascii="Times New Roman" w:hAnsi="Times New Roman" w:eastAsia="宋体"/>
          <w:sz w:val="24"/>
        </w:rPr>
        <w:tab/>
        <w:t>(6.37)</w:t>
      </w:r>
    </w:p>
    <w:p>
      <w:pPr>
        <w:spacing w:lineRule="auto" w:line="360" w:before="0" w:after="0"/>
        <w:ind w:firstLine="480"/>
      </w:pPr>
      <w:r>
        <w:rPr>
          <w:rFonts w:ascii="Times New Roman" w:hAnsi="Times New Roman" w:eastAsia="宋体"/>
          <w:sz w:val="24"/>
        </w:rPr>
        <w:t>由此可见，系船柱基础局部受力集中，应在锚栓群范围内设置附加钢筋网和抗劈裂钢筋，锚固长度、边距和混凝土局部承压应在施工图阶段按实际厂家资料复核。</w:t>
      </w:r>
    </w:p>
    <w:p>
      <w:pPr>
        <w:spacing w:lineRule="auto" w:line="360" w:before="0" w:after="0"/>
        <w:ind w:firstLine="480"/>
      </w:pPr>
      <w:r>
        <w:rPr>
          <w:rFonts w:ascii="Times New Roman" w:hAnsi="Times New Roman" w:eastAsia="宋体"/>
          <w:sz w:val="24"/>
        </w:rPr>
        <w:t>系船柱基础还需检查缆绳力对基础产生的局部弯矩。取缆绳作用点距基础顶面1.10m，基础控制弯矩为：</w:t>
      </w:r>
    </w:p>
    <w:p>
      <w:pPr>
        <w:tabs>
          <w:tab w:pos="4100" w:val="center"/>
          <w:tab w:pos="8200" w:val="right"/>
        </w:tabs>
        <w:spacing w:lineRule="auto" w:line="360" w:before="0" w:after="0"/>
        <w:jc w:val="left"/>
      </w:pPr>
      <w:r>
        <w:tab/>
      </w:r>
      <m:oMath>
        <m:sSub>
          <m:e>
            <m:r>
              <m:t>M</m:t>
            </m:r>
          </m:e>
          <m:sub>
            <m:r>
              <m:t>m</m:t>
            </m:r>
          </m:sub>
        </m:sSub>
        <m:r>
          <m:rPr>
            <m:sty m:val="p"/>
          </m:rPr>
          <m:t>=</m:t>
        </m:r>
        <m:sSub>
          <m:e>
            <m:r>
              <m:t>T</m:t>
            </m:r>
          </m:e>
          <m:sub>
            <m:r>
              <m:t>m</m:t>
            </m:r>
          </m:sub>
        </m:sSub>
        <m:sSub>
          <m:e>
            <m:r>
              <m:t>h</m:t>
            </m:r>
          </m:e>
          <m:sub>
            <m:r>
              <m:t>m</m:t>
            </m:r>
          </m:sub>
        </m:sSub>
        <m:r>
          <m:rPr>
            <m:sty m:val="p"/>
          </m:rPr>
          <m:t>=</m:t>
        </m:r>
        <m:r>
          <m:t>650</m:t>
        </m:r>
        <m:r>
          <m:rPr>
            <m:sty m:val="p"/>
          </m:rPr>
          <m:t>×</m:t>
        </m:r>
        <m:r>
          <m:t>1.10</m:t>
        </m:r>
        <m:r>
          <m:rPr>
            <m:sty m:val="p"/>
          </m:rPr>
          <m:t>=</m:t>
        </m:r>
        <m:r>
          <m:t>715</m:t>
        </m:r>
        <m:r>
          <m:t> </m:t>
        </m:r>
        <m:r>
          <m:rPr>
            <m:sty m:val="p"/>
          </m:rPr>
          <m:t>k</m:t>
        </m:r>
        <m:r>
          <m:rPr>
            <m:sty m:val="p"/>
          </m:rPr>
          <m:t>N</m:t>
        </m:r>
        <m:r>
          <m:rPr>
            <m:sty m:val="p"/>
          </m:rPr>
          <m:t>⋅</m:t>
        </m:r>
        <m:r>
          <m:rPr>
            <m:sty m:val="p"/>
          </m:rPr>
          <m:t>m</m:t>
        </m:r>
      </m:oMath>
      <w:r>
        <w:rPr>
          <w:rFonts w:ascii="Times New Roman" w:hAnsi="Times New Roman" w:eastAsia="宋体"/>
          <w:sz w:val="24"/>
        </w:rPr>
        <w:tab/>
        <w:t>(6.38)</w:t>
      </w:r>
    </w:p>
    <w:p>
      <w:pPr>
        <w:spacing w:lineRule="auto" w:line="360" w:before="0" w:after="0"/>
        <w:ind w:firstLine="480"/>
      </w:pPr>
      <w:r>
        <w:rPr>
          <w:rFonts w:ascii="Times New Roman" w:hAnsi="Times New Roman" w:eastAsia="宋体"/>
          <w:sz w:val="24"/>
        </w:rPr>
        <w:t>该弯矩与锚栓拉力、剪力共同控制系船柱基础局部配筋，应在前沿横梁与面层之间形成可靠传力路径。</w:t>
      </w:r>
    </w:p>
    <w:p>
      <w:pPr>
        <w:keepNext/>
        <w:pageBreakBefore/>
        <w:spacing w:lineRule="auto" w:line="300" w:before="0" w:after="120"/>
        <w:jc w:val="center"/>
      </w:pPr>
      <w:r>
        <w:rPr>
          <w:rFonts w:ascii="Times New Roman" w:hAnsi="Times New Roman" w:eastAsia="宋体"/>
          <w:b w:val="0"/>
          <w:sz w:val="20"/>
        </w:rPr>
        <w:t>表6-3 主要结构计算结果汇总</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880"/>
        <w:gridCol w:w="2592"/>
        <w:gridCol w:w="2880"/>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计算值</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设计结论</w:t>
            </w:r>
          </w:p>
        </w:tc>
      </w:tr>
      <w:tr>
        <w:trPr>
          <w:cantSplit/>
        </w:trPr>
        <w:tc>
          <w:tcPr>
            <w:tcW w:type="dxa" w:w="2880"/>
            <w:vAlign w:val="center"/>
          </w:tcPr>
          <w:p>
            <w:pPr>
              <w:keepLines/>
              <w:spacing w:lineRule="auto" w:line="276"/>
              <w:jc w:val="center"/>
            </w:pPr>
            <w:r>
              <w:rPr>
                <w:rFonts w:ascii="Times New Roman" w:hAnsi="Times New Roman" w:eastAsia="宋体"/>
                <w:b w:val="0"/>
                <w:sz w:val="18"/>
              </w:rPr>
              <w:t>面板跨中弯矩</w:t>
            </w:r>
          </w:p>
        </w:tc>
        <w:tc>
          <w:tcPr>
            <w:tcW w:type="dxa" w:w="2592"/>
            <w:vAlign w:val="center"/>
          </w:tcPr>
          <w:p>
            <w:pPr>
              <w:keepLines/>
              <w:spacing w:lineRule="auto" w:line="276"/>
              <w:jc w:val="center"/>
            </w:pPr>
            <w:r>
              <w:rPr>
                <w:rFonts w:ascii="Times New Roman" w:hAnsi="Times New Roman" w:eastAsia="宋体"/>
                <w:b w:val="0"/>
                <w:sz w:val="18"/>
              </w:rPr>
              <w:t>109.0kN·m/m</w:t>
            </w:r>
          </w:p>
        </w:tc>
        <w:tc>
          <w:tcPr>
            <w:tcW w:type="dxa" w:w="2880"/>
            <w:vAlign w:val="center"/>
          </w:tcPr>
          <w:p>
            <w:pPr>
              <w:keepLines/>
              <w:spacing w:lineRule="auto" w:line="276"/>
              <w:jc w:val="center"/>
            </w:pPr>
            <w:r>
              <w:rPr>
                <w:rFonts w:ascii="Times New Roman" w:hAnsi="Times New Roman" w:eastAsia="宋体"/>
                <w:b w:val="0"/>
                <w:sz w:val="18"/>
              </w:rPr>
              <w:t>Φ16@150满足初算</w:t>
            </w:r>
          </w:p>
        </w:tc>
      </w:tr>
      <w:tr>
        <w:trPr>
          <w:cantSplit/>
        </w:trPr>
        <w:tc>
          <w:tcPr>
            <w:tcW w:type="dxa" w:w="2880"/>
            <w:vAlign w:val="center"/>
          </w:tcPr>
          <w:p>
            <w:pPr>
              <w:keepLines/>
              <w:spacing w:lineRule="auto" w:line="276"/>
              <w:jc w:val="center"/>
            </w:pPr>
            <w:r>
              <w:rPr>
                <w:rFonts w:ascii="Times New Roman" w:hAnsi="Times New Roman" w:eastAsia="宋体"/>
                <w:b w:val="0"/>
                <w:sz w:val="18"/>
              </w:rPr>
              <w:t>面板支座剪力</w:t>
            </w:r>
          </w:p>
        </w:tc>
        <w:tc>
          <w:tcPr>
            <w:tcW w:type="dxa" w:w="2592"/>
            <w:vAlign w:val="center"/>
          </w:tcPr>
          <w:p>
            <w:pPr>
              <w:keepLines/>
              <w:spacing w:lineRule="auto" w:line="276"/>
              <w:jc w:val="center"/>
            </w:pPr>
            <w:r>
              <w:rPr>
                <w:rFonts w:ascii="Times New Roman" w:hAnsi="Times New Roman" w:eastAsia="宋体"/>
                <w:b w:val="0"/>
                <w:sz w:val="18"/>
              </w:rPr>
              <w:t>145.4kN/m</w:t>
            </w:r>
          </w:p>
        </w:tc>
        <w:tc>
          <w:tcPr>
            <w:tcW w:type="dxa" w:w="2880"/>
            <w:vAlign w:val="center"/>
          </w:tcPr>
          <w:p>
            <w:pPr>
              <w:keepLines/>
              <w:spacing w:lineRule="auto" w:line="276"/>
              <w:jc w:val="center"/>
            </w:pPr>
            <w:r>
              <w:rPr>
                <w:rFonts w:ascii="Times New Roman" w:hAnsi="Times New Roman" w:eastAsia="宋体"/>
                <w:b w:val="0"/>
                <w:sz w:val="18"/>
              </w:rPr>
              <w:t>支承边构造加强</w:t>
            </w:r>
          </w:p>
        </w:tc>
      </w:tr>
      <w:tr>
        <w:trPr>
          <w:cantSplit/>
        </w:trPr>
        <w:tc>
          <w:tcPr>
            <w:tcW w:type="dxa" w:w="2880"/>
            <w:vAlign w:val="center"/>
          </w:tcPr>
          <w:p>
            <w:pPr>
              <w:keepLines/>
              <w:spacing w:lineRule="auto" w:line="276"/>
              <w:jc w:val="center"/>
            </w:pPr>
            <w:r>
              <w:rPr>
                <w:rFonts w:ascii="Times New Roman" w:hAnsi="Times New Roman" w:eastAsia="宋体"/>
                <w:b w:val="0"/>
                <w:sz w:val="18"/>
              </w:rPr>
              <w:t>纵梁跨中弯矩</w:t>
            </w:r>
          </w:p>
        </w:tc>
        <w:tc>
          <w:tcPr>
            <w:tcW w:type="dxa" w:w="2592"/>
            <w:vAlign w:val="center"/>
          </w:tcPr>
          <w:p>
            <w:pPr>
              <w:keepLines/>
              <w:spacing w:lineRule="auto" w:line="276"/>
              <w:jc w:val="center"/>
            </w:pPr>
            <w:r>
              <w:rPr>
                <w:rFonts w:ascii="Times New Roman" w:hAnsi="Times New Roman" w:eastAsia="宋体"/>
                <w:b w:val="0"/>
                <w:sz w:val="18"/>
              </w:rPr>
              <w:t>2446kN·m</w:t>
            </w:r>
          </w:p>
        </w:tc>
        <w:tc>
          <w:tcPr>
            <w:tcW w:type="dxa" w:w="2880"/>
            <w:vAlign w:val="center"/>
          </w:tcPr>
          <w:p>
            <w:pPr>
              <w:keepLines/>
              <w:spacing w:lineRule="auto" w:line="276"/>
              <w:jc w:val="center"/>
            </w:pPr>
            <w:r>
              <w:rPr>
                <w:rFonts w:ascii="Times New Roman" w:hAnsi="Times New Roman" w:eastAsia="宋体"/>
                <w:b w:val="0"/>
                <w:sz w:val="18"/>
              </w:rPr>
              <w:t>12Φ32满足初算</w:t>
            </w:r>
          </w:p>
        </w:tc>
      </w:tr>
      <w:tr>
        <w:trPr>
          <w:cantSplit/>
        </w:trPr>
        <w:tc>
          <w:tcPr>
            <w:tcW w:type="dxa" w:w="2880"/>
            <w:vAlign w:val="center"/>
          </w:tcPr>
          <w:p>
            <w:pPr>
              <w:keepLines/>
              <w:spacing w:lineRule="auto" w:line="276"/>
              <w:jc w:val="center"/>
            </w:pPr>
            <w:r>
              <w:rPr>
                <w:rFonts w:ascii="Times New Roman" w:hAnsi="Times New Roman" w:eastAsia="宋体"/>
                <w:b w:val="0"/>
                <w:sz w:val="18"/>
              </w:rPr>
              <w:t>纵梁支座剪力</w:t>
            </w:r>
          </w:p>
        </w:tc>
        <w:tc>
          <w:tcPr>
            <w:tcW w:type="dxa" w:w="2592"/>
            <w:vAlign w:val="center"/>
          </w:tcPr>
          <w:p>
            <w:pPr>
              <w:keepLines/>
              <w:spacing w:lineRule="auto" w:line="276"/>
              <w:jc w:val="center"/>
            </w:pPr>
            <w:r>
              <w:rPr>
                <w:rFonts w:ascii="Times New Roman" w:hAnsi="Times New Roman" w:eastAsia="宋体"/>
                <w:b w:val="0"/>
                <w:sz w:val="18"/>
              </w:rPr>
              <w:t>1223kN</w:t>
            </w:r>
          </w:p>
        </w:tc>
        <w:tc>
          <w:tcPr>
            <w:tcW w:type="dxa" w:w="2880"/>
            <w:vAlign w:val="center"/>
          </w:tcPr>
          <w:p>
            <w:pPr>
              <w:keepLines/>
              <w:spacing w:lineRule="auto" w:line="276"/>
              <w:jc w:val="center"/>
            </w:pPr>
            <w:r>
              <w:rPr>
                <w:rFonts w:ascii="Times New Roman" w:hAnsi="Times New Roman" w:eastAsia="宋体"/>
                <w:b w:val="0"/>
                <w:sz w:val="18"/>
              </w:rPr>
              <w:t>支座区箍筋加密</w:t>
            </w:r>
          </w:p>
        </w:tc>
      </w:tr>
      <w:tr>
        <w:trPr>
          <w:cantSplit/>
        </w:trPr>
        <w:tc>
          <w:tcPr>
            <w:tcW w:type="dxa" w:w="2880"/>
            <w:vAlign w:val="center"/>
          </w:tcPr>
          <w:p>
            <w:pPr>
              <w:keepLines/>
              <w:spacing w:lineRule="auto" w:line="276"/>
              <w:jc w:val="center"/>
            </w:pPr>
            <w:r>
              <w:rPr>
                <w:rFonts w:ascii="Times New Roman" w:hAnsi="Times New Roman" w:eastAsia="宋体"/>
                <w:b w:val="0"/>
                <w:sz w:val="18"/>
              </w:rPr>
              <w:t>单榀排架竖向合力</w:t>
            </w:r>
          </w:p>
        </w:tc>
        <w:tc>
          <w:tcPr>
            <w:tcW w:type="dxa" w:w="2592"/>
            <w:vAlign w:val="center"/>
          </w:tcPr>
          <w:p>
            <w:pPr>
              <w:keepLines/>
              <w:spacing w:lineRule="auto" w:line="276"/>
              <w:jc w:val="center"/>
            </w:pPr>
            <w:r>
              <w:rPr>
                <w:rFonts w:ascii="Times New Roman" w:hAnsi="Times New Roman" w:eastAsia="宋体"/>
                <w:b w:val="0"/>
                <w:sz w:val="18"/>
              </w:rPr>
              <w:t>10188kN</w:t>
            </w:r>
          </w:p>
        </w:tc>
        <w:tc>
          <w:tcPr>
            <w:tcW w:type="dxa" w:w="2880"/>
            <w:vAlign w:val="center"/>
          </w:tcPr>
          <w:p>
            <w:pPr>
              <w:keepLines/>
              <w:spacing w:lineRule="auto" w:line="276"/>
              <w:jc w:val="center"/>
            </w:pPr>
            <w:r>
              <w:rPr>
                <w:rFonts w:ascii="Times New Roman" w:hAnsi="Times New Roman" w:eastAsia="宋体"/>
                <w:b w:val="0"/>
                <w:sz w:val="18"/>
              </w:rPr>
              <w:t>按4根桩分配</w:t>
            </w:r>
          </w:p>
        </w:tc>
      </w:tr>
      <w:tr>
        <w:trPr>
          <w:cantSplit/>
        </w:trPr>
        <w:tc>
          <w:tcPr>
            <w:tcW w:type="dxa" w:w="2880"/>
            <w:vAlign w:val="center"/>
          </w:tcPr>
          <w:p>
            <w:pPr>
              <w:keepLines/>
              <w:spacing w:lineRule="auto" w:line="276"/>
              <w:jc w:val="center"/>
            </w:pPr>
            <w:r>
              <w:rPr>
                <w:rFonts w:ascii="Times New Roman" w:hAnsi="Times New Roman" w:eastAsia="宋体"/>
                <w:b w:val="0"/>
                <w:sz w:val="18"/>
              </w:rPr>
              <w:t>单桩控制反力</w:t>
            </w:r>
          </w:p>
        </w:tc>
        <w:tc>
          <w:tcPr>
            <w:tcW w:type="dxa" w:w="2592"/>
            <w:vAlign w:val="center"/>
          </w:tcPr>
          <w:p>
            <w:pPr>
              <w:keepLines/>
              <w:spacing w:lineRule="auto" w:line="276"/>
              <w:jc w:val="center"/>
            </w:pPr>
            <w:r>
              <w:rPr>
                <w:rFonts w:ascii="Times New Roman" w:hAnsi="Times New Roman" w:eastAsia="宋体"/>
                <w:b w:val="0"/>
                <w:sz w:val="18"/>
              </w:rPr>
              <w:t>3100kN</w:t>
            </w:r>
          </w:p>
        </w:tc>
        <w:tc>
          <w:tcPr>
            <w:tcW w:type="dxa" w:w="2880"/>
            <w:vAlign w:val="center"/>
          </w:tcPr>
          <w:p>
            <w:pPr>
              <w:keepLines/>
              <w:spacing w:lineRule="auto" w:line="276"/>
              <w:jc w:val="center"/>
            </w:pPr>
            <w:r>
              <w:rPr>
                <w:rFonts w:ascii="Times New Roman" w:hAnsi="Times New Roman" w:eastAsia="宋体"/>
                <w:b w:val="0"/>
                <w:sz w:val="18"/>
              </w:rPr>
              <w:t>小于允许承载力</w:t>
            </w:r>
          </w:p>
        </w:tc>
      </w:tr>
      <w:tr>
        <w:trPr>
          <w:cantSplit/>
        </w:trPr>
        <w:tc>
          <w:tcPr>
            <w:tcW w:type="dxa" w:w="2880"/>
            <w:vAlign w:val="center"/>
          </w:tcPr>
          <w:p>
            <w:pPr>
              <w:keepLines/>
              <w:spacing w:lineRule="auto" w:line="276"/>
              <w:jc w:val="center"/>
            </w:pPr>
            <w:r>
              <w:rPr>
                <w:rFonts w:ascii="Times New Roman" w:hAnsi="Times New Roman" w:eastAsia="宋体"/>
                <w:b w:val="0"/>
                <w:sz w:val="18"/>
              </w:rPr>
              <w:t>单桩允许承载力</w:t>
            </w:r>
          </w:p>
        </w:tc>
        <w:tc>
          <w:tcPr>
            <w:tcW w:type="dxa" w:w="2592"/>
            <w:vAlign w:val="center"/>
          </w:tcPr>
          <w:p>
            <w:pPr>
              <w:keepLines/>
              <w:spacing w:lineRule="auto" w:line="276"/>
              <w:jc w:val="center"/>
            </w:pPr>
            <w:r>
              <w:rPr>
                <w:rFonts w:ascii="Times New Roman" w:hAnsi="Times New Roman" w:eastAsia="宋体"/>
                <w:b w:val="0"/>
                <w:sz w:val="18"/>
              </w:rPr>
              <w:t>3488kN</w:t>
            </w:r>
          </w:p>
        </w:tc>
        <w:tc>
          <w:tcPr>
            <w:tcW w:type="dxa" w:w="2880"/>
            <w:vAlign w:val="center"/>
          </w:tcPr>
          <w:p>
            <w:pPr>
              <w:keepLines/>
              <w:spacing w:lineRule="auto" w:line="276"/>
              <w:jc w:val="center"/>
            </w:pPr>
            <w:r>
              <w:rPr>
                <w:rFonts w:ascii="Times New Roman" w:hAnsi="Times New Roman" w:eastAsia="宋体"/>
                <w:b w:val="0"/>
                <w:sz w:val="18"/>
              </w:rPr>
              <w:t>满足要求</w:t>
            </w:r>
          </w:p>
        </w:tc>
      </w:tr>
      <w:tr>
        <w:trPr>
          <w:cantSplit/>
        </w:trPr>
        <w:tc>
          <w:tcPr>
            <w:tcW w:type="dxa" w:w="2880"/>
            <w:vAlign w:val="center"/>
          </w:tcPr>
          <w:p>
            <w:pPr>
              <w:keepLines/>
              <w:spacing w:lineRule="auto" w:line="276"/>
              <w:jc w:val="center"/>
            </w:pPr>
            <w:r>
              <w:rPr>
                <w:rFonts w:ascii="Times New Roman" w:hAnsi="Times New Roman" w:eastAsia="宋体"/>
                <w:b w:val="0"/>
                <w:sz w:val="18"/>
              </w:rPr>
              <w:t>船舶撞击力</w:t>
            </w:r>
          </w:p>
        </w:tc>
        <w:tc>
          <w:tcPr>
            <w:tcW w:type="dxa" w:w="2592"/>
            <w:vAlign w:val="center"/>
          </w:tcPr>
          <w:p>
            <w:pPr>
              <w:keepLines/>
              <w:spacing w:lineRule="auto" w:line="276"/>
              <w:jc w:val="center"/>
            </w:pPr>
            <w:r>
              <w:rPr>
                <w:rFonts w:ascii="Times New Roman" w:hAnsi="Times New Roman" w:eastAsia="宋体"/>
                <w:b w:val="0"/>
                <w:sz w:val="18"/>
              </w:rPr>
              <w:t>500kN</w:t>
            </w:r>
          </w:p>
        </w:tc>
        <w:tc>
          <w:tcPr>
            <w:tcW w:type="dxa" w:w="2880"/>
            <w:vAlign w:val="center"/>
          </w:tcPr>
          <w:p>
            <w:pPr>
              <w:keepLines/>
              <w:spacing w:lineRule="auto" w:line="276"/>
              <w:jc w:val="center"/>
            </w:pPr>
            <w:r>
              <w:rPr>
                <w:rFonts w:ascii="Times New Roman" w:hAnsi="Times New Roman" w:eastAsia="宋体"/>
                <w:b w:val="0"/>
                <w:sz w:val="18"/>
              </w:rPr>
              <w:t>护舷和前排桩控制</w:t>
            </w:r>
          </w:p>
        </w:tc>
      </w:tr>
      <w:tr>
        <w:trPr>
          <w:cantSplit/>
        </w:trPr>
        <w:tc>
          <w:tcPr>
            <w:tcW w:type="dxa" w:w="2880"/>
            <w:vAlign w:val="center"/>
          </w:tcPr>
          <w:p>
            <w:pPr>
              <w:keepLines/>
              <w:spacing w:lineRule="auto" w:line="276"/>
              <w:jc w:val="center"/>
            </w:pPr>
            <w:r>
              <w:rPr>
                <w:rFonts w:ascii="Times New Roman" w:hAnsi="Times New Roman" w:eastAsia="宋体"/>
                <w:b w:val="0"/>
                <w:sz w:val="18"/>
              </w:rPr>
              <w:t>系缆力</w:t>
            </w:r>
          </w:p>
        </w:tc>
        <w:tc>
          <w:tcPr>
            <w:tcW w:type="dxa" w:w="2592"/>
            <w:vAlign w:val="center"/>
          </w:tcPr>
          <w:p>
            <w:pPr>
              <w:keepLines/>
              <w:spacing w:lineRule="auto" w:line="276"/>
              <w:jc w:val="center"/>
            </w:pPr>
            <w:r>
              <w:rPr>
                <w:rFonts w:ascii="Times New Roman" w:hAnsi="Times New Roman" w:eastAsia="宋体"/>
                <w:b w:val="0"/>
                <w:sz w:val="18"/>
              </w:rPr>
              <w:t>650kN</w:t>
            </w:r>
          </w:p>
        </w:tc>
        <w:tc>
          <w:tcPr>
            <w:tcW w:type="dxa" w:w="2880"/>
            <w:vAlign w:val="center"/>
          </w:tcPr>
          <w:p>
            <w:pPr>
              <w:keepLines/>
              <w:spacing w:lineRule="auto" w:line="276"/>
              <w:jc w:val="center"/>
            </w:pPr>
            <w:r>
              <w:rPr>
                <w:rFonts w:ascii="Times New Roman" w:hAnsi="Times New Roman" w:eastAsia="宋体"/>
                <w:b w:val="0"/>
                <w:sz w:val="18"/>
              </w:rPr>
              <w:t>650kN系船柱满足初设</w:t>
            </w:r>
          </w:p>
        </w:tc>
      </w:tr>
    </w:tbl>
    <w:p/>
    <w:p>
      <w:pPr>
        <w:spacing w:lineRule="auto" w:line="360" w:before="0" w:after="0"/>
        <w:ind w:firstLine="480"/>
      </w:pPr>
      <w:r>
        <w:rPr>
          <w:rFonts w:ascii="Times New Roman" w:hAnsi="Times New Roman" w:eastAsia="宋体"/>
          <w:sz w:val="24"/>
        </w:rPr>
        <w:t>系船柱基础和护舷锚固区属于局部受力集中区域，不能只依靠整体排架计算判断。施工图阶段应补充锚栓拉拔、局部劈裂、混凝土承压和维修更换空间复核。</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本章对推荐高桩梁板式码头结构进行了初步计算。码头采用260m×18m顺岸式布置，排架间距8m，每榀排架4根φ800mm PHC管桩，桩长暂取32m。构件承载力按设计组合进行了面板、纵梁、横梁受弯与受剪初算，并补充了面板实配面积、局部轮压扩散、横梁弯剪、排架水平力、桩顶位移、桩距嵌固、护舷锚栓和系船柱基础等计算。计算结果表明，推荐高桩梁板式方案在初步设计深度下可行，后续施工图阶段应结合试桩、详细地勘、设备轮压和空间排架模型继续深化。</w:t>
      </w:r>
    </w:p>
    <w:p>
      <w:pPr>
        <w:spacing w:lineRule="auto" w:line="360" w:before="0" w:after="0"/>
        <w:ind w:firstLine="480"/>
      </w:pPr>
      <w:r>
        <w:rPr>
          <w:rFonts w:ascii="Times New Roman" w:hAnsi="Times New Roman" w:eastAsia="宋体"/>
          <w:sz w:val="24"/>
        </w:rPr>
        <w:t>总体而言，第六章计算已经形成从荷载取值、构件内力、配筋初算到桩基承载的完整链条。图纸中的平面、立面、断面和配筋成果为计算提供尺寸基础，计算结果又反过来说明高桩方案的结构可行性。</w:t>
      </w:r>
    </w:p>
    <w:p>
      <w:pPr>
        <w:pStyle w:val="1"/>
        <w:pageBreakBefore/>
        <w:jc w:val="center"/>
      </w:pPr>
      <w:r>
        <w:rPr>
          <w:rFonts w:ascii="Times New Roman" w:hAnsi="Times New Roman" w:eastAsia="宋体"/>
          <w:b/>
          <w:sz w:val="30"/>
        </w:rPr>
        <w:t xml:space="preserve"> 工程量、概算与施工组织</w:t>
      </w:r>
    </w:p>
    <w:p>
      <w:pPr>
        <w:pStyle w:val="2"/>
        <w:jc w:val="left"/>
      </w:pPr>
      <w:r>
        <w:rPr>
          <w:rFonts w:ascii="Times New Roman" w:hAnsi="Times New Roman" w:eastAsia="宋体"/>
          <w:b/>
          <w:sz w:val="24"/>
        </w:rPr>
        <w:t xml:space="preserve"> 主要工程量估算</w:t>
      </w:r>
    </w:p>
    <w:p>
      <w:pPr>
        <w:pStyle w:val="3"/>
        <w:jc w:val="left"/>
      </w:pPr>
      <w:r>
        <w:rPr>
          <w:rFonts w:ascii="Times New Roman" w:hAnsi="Times New Roman" w:eastAsia="宋体"/>
          <w:b/>
          <w:sz w:val="24"/>
        </w:rPr>
        <w:t xml:space="preserve"> 桩基工程量</w:t>
      </w:r>
    </w:p>
    <w:p>
      <w:pPr>
        <w:spacing w:lineRule="auto" w:line="360" w:before="0" w:after="0"/>
        <w:ind w:firstLine="480"/>
      </w:pPr>
      <w:r>
        <w:rPr>
          <w:rFonts w:ascii="Times New Roman" w:hAnsi="Times New Roman" w:eastAsia="宋体"/>
          <w:sz w:val="24"/>
        </w:rPr>
        <w:t>码头长260m，排架间距8m，按33榀排架估算，每榀4根PHC管桩，共计132根。单桩长度暂取32m，则PHC管桩总长度为4224m。</w:t>
      </w:r>
    </w:p>
    <w:p>
      <w:pPr>
        <w:tabs>
          <w:tab w:pos="4100" w:val="center"/>
          <w:tab w:pos="8200" w:val="right"/>
        </w:tabs>
        <w:spacing w:lineRule="auto" w:line="360" w:before="0" w:after="0"/>
        <w:jc w:val="left"/>
      </w:pPr>
      <w:r>
        <w:tab/>
      </w:r>
      <m:oMath>
        <m:sSub>
          <m:e>
            <m:r>
              <m:t>n</m:t>
            </m:r>
          </m:e>
          <m:sub>
            <m:r>
              <m:t>b</m:t>
            </m:r>
          </m:sub>
        </m:sSub>
        <m:r>
          <m:rPr>
            <m:sty m:val="p"/>
          </m:rPr>
          <m:t>=</m:t>
        </m:r>
        <m:f>
          <m:fPr>
            <m:type m:val="bar"/>
          </m:fPr>
          <m:num>
            <m:sSub>
              <m:e>
                <m:r>
                  <m:t>L</m:t>
                </m:r>
              </m:e>
              <m:sub>
                <m:r>
                  <m:t>b</m:t>
                </m:r>
              </m:sub>
            </m:sSub>
          </m:num>
          <m:den>
            <m:r>
              <m:t>s</m:t>
            </m:r>
          </m:den>
        </m:f>
        <m:r>
          <m:rPr>
            <m:sty m:val="p"/>
          </m:rPr>
          <m:t>+</m:t>
        </m:r>
        <m:r>
          <m:t>1</m:t>
        </m:r>
        <m:r>
          <m:rPr>
            <m:sty m:val="p"/>
          </m:rPr>
          <m:t>=</m:t>
        </m:r>
        <m:f>
          <m:fPr>
            <m:type m:val="bar"/>
          </m:fPr>
          <m:num>
            <m:r>
              <m:t>260</m:t>
            </m:r>
          </m:num>
          <m:den>
            <m:r>
              <m:t>8</m:t>
            </m:r>
          </m:den>
        </m:f>
        <m:r>
          <m:rPr>
            <m:sty m:val="p"/>
          </m:rPr>
          <m:t>+</m:t>
        </m:r>
        <m:r>
          <m:t>1</m:t>
        </m:r>
        <m:r>
          <m:rPr>
            <m:sty m:val="p"/>
          </m:rPr>
          <m:t>≈</m:t>
        </m:r>
        <m:r>
          <m:t>33</m:t>
        </m:r>
      </m:oMath>
      <w:r>
        <w:rPr>
          <w:rFonts w:ascii="Times New Roman" w:hAnsi="Times New Roman" w:eastAsia="宋体"/>
          <w:sz w:val="24"/>
        </w:rPr>
        <w:tab/>
        <w:t>(7.1)</w:t>
      </w:r>
    </w:p>
    <w:p>
      <w:pPr>
        <w:tabs>
          <w:tab w:pos="4100" w:val="center"/>
          <w:tab w:pos="8200" w:val="right"/>
        </w:tabs>
        <w:spacing w:lineRule="auto" w:line="360" w:before="0" w:after="0"/>
        <w:jc w:val="left"/>
      </w:pPr>
      <w:r>
        <w:tab/>
      </w:r>
      <m:oMath>
        <m:sSub>
          <m:e>
            <m:r>
              <m:t>N</m:t>
            </m:r>
          </m:e>
          <m:sub>
            <m:r>
              <m:t>p</m:t>
            </m:r>
          </m:sub>
        </m:sSub>
        <m:r>
          <m:rPr>
            <m:sty m:val="p"/>
          </m:rPr>
          <m:t>=</m:t>
        </m:r>
        <m:sSub>
          <m:e>
            <m:r>
              <m:t>n</m:t>
            </m:r>
          </m:e>
          <m:sub>
            <m:r>
              <m:t>b</m:t>
            </m:r>
          </m:sub>
        </m:sSub>
        <m:sSub>
          <m:e>
            <m:r>
              <m:t>n</m:t>
            </m:r>
          </m:e>
          <m:sub>
            <m:r>
              <m:t>r</m:t>
            </m:r>
          </m:sub>
        </m:sSub>
        <m:r>
          <m:rPr>
            <m:sty m:val="p"/>
          </m:rPr>
          <m:t>=</m:t>
        </m:r>
        <m:r>
          <m:t>33</m:t>
        </m:r>
        <m:r>
          <m:rPr>
            <m:sty m:val="p"/>
          </m:rPr>
          <m:t>×</m:t>
        </m:r>
        <m:r>
          <m:t>4</m:t>
        </m:r>
        <m:r>
          <m:rPr>
            <m:sty m:val="p"/>
          </m:rPr>
          <m:t>=</m:t>
        </m:r>
        <m:r>
          <m:t>132</m:t>
        </m:r>
      </m:oMath>
      <w:r>
        <w:rPr>
          <w:rFonts w:ascii="Times New Roman" w:hAnsi="Times New Roman" w:eastAsia="宋体"/>
          <w:sz w:val="24"/>
        </w:rPr>
        <w:tab/>
        <w:t>(7.2)</w:t>
      </w:r>
    </w:p>
    <w:p>
      <w:pPr>
        <w:tabs>
          <w:tab w:pos="4100" w:val="center"/>
          <w:tab w:pos="8200" w:val="right"/>
        </w:tabs>
        <w:spacing w:lineRule="auto" w:line="360" w:before="0" w:after="0"/>
        <w:jc w:val="left"/>
      </w:pPr>
      <w:r>
        <w:tab/>
      </w:r>
      <m:oMath>
        <m:sSub>
          <m:e>
            <m:r>
              <m:t>L</m:t>
            </m:r>
          </m:e>
          <m:sub>
            <m:r>
              <m:t>p</m:t>
            </m:r>
          </m:sub>
        </m:sSub>
        <m:r>
          <m:rPr>
            <m:sty m:val="p"/>
          </m:rPr>
          <m:t>=</m:t>
        </m:r>
        <m:r>
          <m:t>33</m:t>
        </m:r>
        <m:r>
          <m:rPr>
            <m:sty m:val="p"/>
          </m:rPr>
          <m:t>×</m:t>
        </m:r>
        <m:r>
          <m:t>4</m:t>
        </m:r>
        <m:r>
          <m:rPr>
            <m:sty m:val="p"/>
          </m:rPr>
          <m:t>×</m:t>
        </m:r>
        <m:r>
          <m:t>32</m:t>
        </m:r>
        <m:r>
          <m:rPr>
            <m:sty m:val="p"/>
          </m:rPr>
          <m:t>=</m:t>
        </m:r>
        <m:r>
          <m:t>4224</m:t>
        </m:r>
        <m:r>
          <m:t> </m:t>
        </m:r>
        <m:r>
          <m:rPr>
            <m:sty m:val="p"/>
          </m:rPr>
          <m:t>m</m:t>
        </m:r>
      </m:oMath>
      <w:r>
        <w:rPr>
          <w:rFonts w:ascii="Times New Roman" w:hAnsi="Times New Roman" w:eastAsia="宋体"/>
          <w:sz w:val="24"/>
        </w:rPr>
        <w:tab/>
        <w:t>(7.3)</w:t>
      </w:r>
    </w:p>
    <w:p>
      <w:pPr>
        <w:spacing w:lineRule="auto" w:line="360" w:before="0" w:after="0"/>
        <w:ind w:firstLine="480"/>
      </w:pPr>
      <w:r>
        <w:rPr>
          <w:rFonts w:ascii="Times New Roman" w:hAnsi="Times New Roman" w:eastAsia="宋体"/>
          <w:sz w:val="24"/>
        </w:rPr>
        <w:t>图纸包中高桩方案按32榀排架表达，正文按260m泊位长度和8m排架间距取33榀进行保守估算。两者差异来自结构长度和泊位控制长度口径不同，施工图阶段应以最终结构轴线长度重新统计桩数。</w:t>
      </w:r>
    </w:p>
    <w:p>
      <w:pPr>
        <w:pStyle w:val="3"/>
        <w:jc w:val="left"/>
      </w:pPr>
      <w:r>
        <w:rPr>
          <w:rFonts w:ascii="Times New Roman" w:hAnsi="Times New Roman" w:eastAsia="宋体"/>
          <w:b/>
          <w:sz w:val="24"/>
        </w:rPr>
        <w:t xml:space="preserve"> 上部结构工程量</w:t>
      </w:r>
    </w:p>
    <w:p>
      <w:pPr>
        <w:spacing w:lineRule="auto" w:line="360" w:before="0" w:after="0"/>
        <w:ind w:firstLine="480"/>
      </w:pPr>
      <w:r>
        <w:rPr>
          <w:rFonts w:ascii="Times New Roman" w:hAnsi="Times New Roman" w:eastAsia="宋体"/>
          <w:sz w:val="24"/>
        </w:rPr>
        <w:t>上部结构主要包括面板、纵梁、横梁、轨道梁、桩帽和现浇节点。面板混凝土量按码头面积和厚度估算：</w:t>
      </w:r>
    </w:p>
    <w:p>
      <w:pPr>
        <w:tabs>
          <w:tab w:pos="4100" w:val="center"/>
          <w:tab w:pos="8200" w:val="right"/>
        </w:tabs>
        <w:spacing w:lineRule="auto" w:line="360" w:before="0" w:after="0"/>
        <w:jc w:val="left"/>
      </w:pPr>
      <w:r>
        <w:tab/>
      </w:r>
      <m:oMath>
        <m:sSub>
          <m:e>
            <m:r>
              <m:t>V</m:t>
            </m:r>
          </m:e>
          <m:sub>
            <m:r>
              <m:t>s</m:t>
            </m:r>
          </m:sub>
        </m:sSub>
        <m:r>
          <m:rPr>
            <m:sty m:val="p"/>
          </m:rPr>
          <m:t>=</m:t>
        </m:r>
        <m:r>
          <m:t>260</m:t>
        </m:r>
        <m:r>
          <m:rPr>
            <m:sty m:val="p"/>
          </m:rPr>
          <m:t>×</m:t>
        </m:r>
        <m:r>
          <m:t>18</m:t>
        </m:r>
        <m:r>
          <m:rPr>
            <m:sty m:val="p"/>
          </m:rPr>
          <m:t>×</m:t>
        </m:r>
        <m:r>
          <m:t>0.35</m:t>
        </m:r>
        <m:r>
          <m:rPr>
            <m:sty m:val="p"/>
          </m:rPr>
          <m:t>=</m:t>
        </m:r>
        <m:r>
          <m:t>1638</m:t>
        </m:r>
        <m:r>
          <m:t> </m:t>
        </m:r>
        <m:sSup>
          <m:e>
            <m:r>
              <m:rPr>
                <m:sty m:val="p"/>
              </m:rPr>
              <m:t>m</m:t>
            </m:r>
          </m:e>
          <m:sup>
            <m:r>
              <m:rPr>
                <m:sty m:val="p"/>
              </m:rPr>
              <m:t>3</m:t>
            </m:r>
          </m:sup>
        </m:sSup>
      </m:oMath>
      <w:r>
        <w:rPr>
          <w:rFonts w:ascii="Times New Roman" w:hAnsi="Times New Roman" w:eastAsia="宋体"/>
          <w:sz w:val="24"/>
        </w:rPr>
        <w:tab/>
        <w:t>(7.4)</w:t>
      </w:r>
    </w:p>
    <w:p>
      <w:pPr>
        <w:spacing w:lineRule="auto" w:line="360" w:before="0" w:after="0"/>
        <w:ind w:firstLine="480"/>
      </w:pPr>
      <w:r>
        <w:rPr>
          <w:rFonts w:ascii="Times New Roman" w:hAnsi="Times New Roman" w:eastAsia="宋体"/>
          <w:sz w:val="24"/>
        </w:rPr>
        <w:t>纵梁、横梁、桩帽和轨道梁混凝土合计暂按约1450m³估算，则上部结构混凝土总量为：</w:t>
      </w:r>
    </w:p>
    <w:p>
      <w:pPr>
        <w:tabs>
          <w:tab w:pos="4100" w:val="center"/>
          <w:tab w:pos="8200" w:val="right"/>
        </w:tabs>
        <w:spacing w:lineRule="auto" w:line="360" w:before="0" w:after="0"/>
        <w:jc w:val="left"/>
      </w:pPr>
      <w:r>
        <w:tab/>
      </w:r>
      <m:oMath>
        <m:sSub>
          <m:e>
            <m:r>
              <m:t>V</m:t>
            </m:r>
          </m:e>
          <m:sub>
            <m:r>
              <m:t>c</m:t>
            </m:r>
          </m:sub>
        </m:sSub>
        <m:r>
          <m:rPr>
            <m:sty m:val="p"/>
          </m:rPr>
          <m:t>=</m:t>
        </m:r>
        <m:r>
          <m:t>1638</m:t>
        </m:r>
        <m:r>
          <m:rPr>
            <m:sty m:val="p"/>
          </m:rPr>
          <m:t>+</m:t>
        </m:r>
        <m:r>
          <m:t>1450</m:t>
        </m:r>
        <m:r>
          <m:rPr>
            <m:sty m:val="p"/>
          </m:rPr>
          <m:t>=</m:t>
        </m:r>
        <m:r>
          <m:t>3088</m:t>
        </m:r>
        <m:r>
          <m:t> </m:t>
        </m:r>
        <m:sSup>
          <m:e>
            <m:r>
              <m:rPr>
                <m:sty m:val="p"/>
              </m:rPr>
              <m:t>m</m:t>
            </m:r>
          </m:e>
          <m:sup>
            <m:r>
              <m:rPr>
                <m:sty m:val="p"/>
              </m:rPr>
              <m:t>3</m:t>
            </m:r>
          </m:sup>
        </m:sSup>
      </m:oMath>
      <w:r>
        <w:rPr>
          <w:rFonts w:ascii="Times New Roman" w:hAnsi="Times New Roman" w:eastAsia="宋体"/>
          <w:sz w:val="24"/>
        </w:rPr>
        <w:tab/>
        <w:t>(7.5)</w:t>
      </w:r>
    </w:p>
    <w:p>
      <w:pPr>
        <w:spacing w:lineRule="auto" w:line="360" w:before="0" w:after="0"/>
        <w:ind w:firstLine="480"/>
      </w:pPr>
      <w:r>
        <w:rPr>
          <w:rFonts w:ascii="Times New Roman" w:hAnsi="Times New Roman" w:eastAsia="宋体"/>
          <w:sz w:val="24"/>
        </w:rPr>
        <w:t>钢筋工程量按混凝土量的110kg/m³估算：</w:t>
      </w:r>
    </w:p>
    <w:p>
      <w:pPr>
        <w:tabs>
          <w:tab w:pos="4100" w:val="center"/>
          <w:tab w:pos="8200" w:val="right"/>
        </w:tabs>
        <w:spacing w:lineRule="auto" w:line="360" w:before="0" w:after="0"/>
        <w:jc w:val="left"/>
      </w:pPr>
      <w:r>
        <w:tab/>
      </w:r>
      <m:oMath>
        <m:sSub>
          <m:e>
            <m:r>
              <m:t>G</m:t>
            </m:r>
          </m:e>
          <m:sub>
            <m:r>
              <m:t>s</m:t>
            </m:r>
          </m:sub>
        </m:sSub>
        <m:r>
          <m:rPr>
            <m:sty m:val="p"/>
          </m:rPr>
          <m:t>=</m:t>
        </m:r>
        <m:f>
          <m:fPr>
            <m:type m:val="bar"/>
          </m:fPr>
          <m:num>
            <m:r>
              <m:t>3088</m:t>
            </m:r>
            <m:r>
              <m:rPr>
                <m:sty m:val="p"/>
              </m:rPr>
              <m:t>×</m:t>
            </m:r>
            <m:r>
              <m:t>110</m:t>
            </m:r>
          </m:num>
          <m:den>
            <m:r>
              <m:t>1000</m:t>
            </m:r>
          </m:den>
        </m:f>
        <m:r>
          <m:rPr>
            <m:sty m:val="p"/>
          </m:rPr>
          <m:t>=</m:t>
        </m:r>
        <m:r>
          <m:t>339.7</m:t>
        </m:r>
        <m:r>
          <m:t> </m:t>
        </m:r>
        <m:r>
          <m:rPr>
            <m:sty m:val="p"/>
          </m:rPr>
          <m:t>t</m:t>
        </m:r>
        <m:r>
          <m:rPr>
            <m:sty m:val="p"/>
          </m:rPr>
          <m:t>≈</m:t>
        </m:r>
        <m:r>
          <m:t>340</m:t>
        </m:r>
        <m:r>
          <m:t> </m:t>
        </m:r>
        <m:r>
          <m:rPr>
            <m:sty m:val="p"/>
          </m:rPr>
          <m:t>t</m:t>
        </m:r>
      </m:oMath>
      <w:r>
        <w:rPr>
          <w:rFonts w:ascii="Times New Roman" w:hAnsi="Times New Roman" w:eastAsia="宋体"/>
          <w:sz w:val="24"/>
        </w:rPr>
        <w:tab/>
        <w:t>(7.6)</w:t>
      </w:r>
    </w:p>
    <w:p>
      <w:pPr>
        <w:spacing w:lineRule="auto" w:line="360" w:before="0" w:after="0"/>
        <w:ind w:firstLine="480"/>
      </w:pPr>
      <w:r>
        <w:rPr>
          <w:rFonts w:ascii="Times New Roman" w:hAnsi="Times New Roman" w:eastAsia="宋体"/>
          <w:sz w:val="24"/>
        </w:rPr>
        <w:t>上部结构工程量统计应与施工方法对应。若纵梁和面板采用预制安装，工程量应区分预制混凝土、现浇节点、湿接缝和面层混凝土；若局部采用现浇施工，还应考虑支架、模板、施工平台和水上混凝土运输。初步估算中将梁系和桩帽合并统计，施工图预算阶段应按构件类型拆分。</w:t>
      </w:r>
    </w:p>
    <w:p>
      <w:pPr>
        <w:tabs>
          <w:tab w:pos="4100" w:val="center"/>
          <w:tab w:pos="8200" w:val="right"/>
        </w:tabs>
        <w:spacing w:lineRule="auto" w:line="360" w:before="0" w:after="0"/>
        <w:jc w:val="left"/>
      </w:pPr>
      <w:r>
        <w:tab/>
      </w:r>
      <m:oMath>
        <m:sSub>
          <m:e>
            <m:r>
              <m:t>v</m:t>
            </m:r>
          </m:e>
          <m:sub>
            <m:r>
              <m:t>c</m:t>
            </m:r>
          </m:sub>
        </m:sSub>
        <m:r>
          <m:rPr>
            <m:sty m:val="p"/>
          </m:rPr>
          <m:t>=</m:t>
        </m:r>
        <m:f>
          <m:fPr>
            <m:type m:val="bar"/>
          </m:fPr>
          <m:num>
            <m:sSub>
              <m:e>
                <m:r>
                  <m:t>V</m:t>
                </m:r>
              </m:e>
              <m:sub>
                <m:r>
                  <m:t>c</m:t>
                </m:r>
              </m:sub>
            </m:sSub>
          </m:num>
          <m:den>
            <m:sSub>
              <m:e>
                <m:r>
                  <m:t>L</m:t>
                </m:r>
              </m:e>
              <m:sub>
                <m:r>
                  <m:t>b</m:t>
                </m:r>
              </m:sub>
            </m:sSub>
          </m:den>
        </m:f>
        <m:r>
          <m:rPr>
            <m:sty m:val="p"/>
          </m:rPr>
          <m:t>=</m:t>
        </m:r>
        <m:f>
          <m:fPr>
            <m:type m:val="bar"/>
          </m:fPr>
          <m:num>
            <m:r>
              <m:t>3088</m:t>
            </m:r>
          </m:num>
          <m:den>
            <m:r>
              <m:t>260</m:t>
            </m:r>
          </m:den>
        </m:f>
        <m:r>
          <m:rPr>
            <m:sty m:val="p"/>
          </m:rPr>
          <m:t>=</m:t>
        </m:r>
        <m:r>
          <m:t>11.88</m:t>
        </m:r>
        <m:r>
          <m:t> </m:t>
        </m:r>
        <m:sSup>
          <m:e>
            <m:r>
              <m:rPr>
                <m:sty m:val="p"/>
              </m:rPr>
              <m:t>m</m:t>
            </m:r>
          </m:e>
          <m:sup>
            <m:r>
              <m:rPr>
                <m:sty m:val="p"/>
              </m:rPr>
              <m:t>3</m:t>
            </m:r>
          </m:sup>
        </m:sSup>
        <m:r>
          <m:rPr>
            <m:sty m:val="p"/>
          </m:rPr>
          <m:t>/</m:t>
        </m:r>
        <m:r>
          <m:rPr>
            <m:sty m:val="p"/>
          </m:rPr>
          <m:t>m</m:t>
        </m:r>
      </m:oMath>
      <w:r>
        <w:rPr>
          <w:rFonts w:ascii="Times New Roman" w:hAnsi="Times New Roman" w:eastAsia="宋体"/>
          <w:sz w:val="24"/>
        </w:rPr>
        <w:tab/>
        <w:t>(7.7)</w:t>
      </w:r>
    </w:p>
    <w:p>
      <w:pPr>
        <w:tabs>
          <w:tab w:pos="4100" w:val="center"/>
          <w:tab w:pos="8200" w:val="right"/>
        </w:tabs>
        <w:spacing w:lineRule="auto" w:line="360" w:before="0" w:after="0"/>
        <w:jc w:val="left"/>
      </w:pPr>
      <w:r>
        <w:tab/>
      </w:r>
      <m:oMath>
        <m:sSub>
          <m:e>
            <m:r>
              <m:t>g</m:t>
            </m:r>
          </m:e>
          <m:sub>
            <m:r>
              <m:t>s</m:t>
            </m:r>
          </m:sub>
        </m:sSub>
        <m:r>
          <m:rPr>
            <m:sty m:val="p"/>
          </m:rPr>
          <m:t>=</m:t>
        </m:r>
        <m:f>
          <m:fPr>
            <m:type m:val="bar"/>
          </m:fPr>
          <m:num>
            <m:r>
              <m:t>340</m:t>
            </m:r>
          </m:num>
          <m:den>
            <m:r>
              <m:t>260</m:t>
            </m:r>
          </m:den>
        </m:f>
        <m:r>
          <m:rPr>
            <m:sty m:val="p"/>
          </m:rPr>
          <m:t>=</m:t>
        </m:r>
        <m:r>
          <m:t>1.31</m:t>
        </m:r>
        <m:r>
          <m:t> </m:t>
        </m:r>
        <m:r>
          <m:rPr>
            <m:sty m:val="p"/>
          </m:rPr>
          <m:t>t</m:t>
        </m:r>
        <m:r>
          <m:rPr>
            <m:sty m:val="p"/>
          </m:rPr>
          <m:t>/</m:t>
        </m:r>
        <m:r>
          <m:rPr>
            <m:sty m:val="p"/>
          </m:rPr>
          <m:t>m</m:t>
        </m:r>
      </m:oMath>
      <w:r>
        <w:rPr>
          <w:rFonts w:ascii="Times New Roman" w:hAnsi="Times New Roman" w:eastAsia="宋体"/>
          <w:sz w:val="24"/>
        </w:rPr>
        <w:tab/>
        <w:t>(7.8)</w:t>
      </w:r>
    </w:p>
    <w:p>
      <w:pPr>
        <w:keepNext/>
        <w:spacing w:lineRule="auto" w:line="300" w:before="0" w:after="120"/>
        <w:jc w:val="center"/>
      </w:pPr>
      <w:r>
        <w:rPr>
          <w:rFonts w:ascii="Times New Roman" w:hAnsi="Times New Roman" w:eastAsia="宋体"/>
          <w:b w:val="0"/>
          <w:sz w:val="20"/>
        </w:rPr>
        <w:t>表7-1 推荐高桩方案工程量复核指标</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448"/>
        <w:gridCol w:w="1872"/>
        <w:gridCol w:w="4032"/>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计算项目</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结果</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说明</w:t>
            </w:r>
          </w:p>
        </w:tc>
      </w:tr>
      <w:tr>
        <w:trPr>
          <w:cantSplit/>
        </w:trPr>
        <w:tc>
          <w:tcPr>
            <w:tcW w:type="dxa" w:w="2448"/>
            <w:vAlign w:val="center"/>
          </w:tcPr>
          <w:p>
            <w:pPr>
              <w:keepLines/>
              <w:spacing w:lineRule="auto" w:line="276"/>
              <w:jc w:val="center"/>
            </w:pPr>
            <w:r>
              <w:rPr>
                <w:rFonts w:ascii="Times New Roman" w:hAnsi="Times New Roman" w:eastAsia="宋体"/>
                <w:b w:val="0"/>
                <w:sz w:val="18"/>
              </w:rPr>
              <w:t>排架数量</w:t>
            </w:r>
          </w:p>
        </w:tc>
        <w:tc>
          <w:tcPr>
            <w:tcW w:type="dxa" w:w="1872"/>
            <w:vAlign w:val="center"/>
          </w:tcPr>
          <w:p>
            <w:pPr>
              <w:keepLines/>
              <w:spacing w:lineRule="auto" w:line="276"/>
              <w:jc w:val="center"/>
            </w:pPr>
            <w:r>
              <w:rPr>
                <w:rFonts w:ascii="Times New Roman" w:hAnsi="Times New Roman" w:eastAsia="宋体"/>
                <w:b w:val="0"/>
                <w:sz w:val="18"/>
              </w:rPr>
              <w:t>约33榀</w:t>
            </w:r>
          </w:p>
        </w:tc>
        <w:tc>
          <w:tcPr>
            <w:tcW w:type="dxa" w:w="4032"/>
            <w:vAlign w:val="center"/>
          </w:tcPr>
          <w:p>
            <w:pPr>
              <w:keepLines/>
              <w:spacing w:lineRule="auto" w:line="276"/>
              <w:jc w:val="center"/>
            </w:pPr>
            <w:r>
              <w:rPr>
                <w:rFonts w:ascii="Times New Roman" w:hAnsi="Times New Roman" w:eastAsia="宋体"/>
                <w:b w:val="0"/>
                <w:sz w:val="18"/>
              </w:rPr>
              <w:t>按260m泊位和8m间距估算</w:t>
            </w:r>
          </w:p>
        </w:tc>
      </w:tr>
      <w:tr>
        <w:trPr>
          <w:cantSplit/>
        </w:trPr>
        <w:tc>
          <w:tcPr>
            <w:tcW w:type="dxa" w:w="2448"/>
            <w:vAlign w:val="center"/>
          </w:tcPr>
          <w:p>
            <w:pPr>
              <w:keepLines/>
              <w:spacing w:lineRule="auto" w:line="276"/>
              <w:jc w:val="center"/>
            </w:pPr>
            <w:r>
              <w:rPr>
                <w:rFonts w:ascii="Times New Roman" w:hAnsi="Times New Roman" w:eastAsia="宋体"/>
                <w:b w:val="0"/>
                <w:sz w:val="18"/>
              </w:rPr>
              <w:t>PHC管桩数量</w:t>
            </w:r>
          </w:p>
        </w:tc>
        <w:tc>
          <w:tcPr>
            <w:tcW w:type="dxa" w:w="1872"/>
            <w:vAlign w:val="center"/>
          </w:tcPr>
          <w:p>
            <w:pPr>
              <w:keepLines/>
              <w:spacing w:lineRule="auto" w:line="276"/>
              <w:jc w:val="center"/>
            </w:pPr>
            <w:r>
              <w:rPr>
                <w:rFonts w:ascii="Times New Roman" w:hAnsi="Times New Roman" w:eastAsia="宋体"/>
                <w:b w:val="0"/>
                <w:sz w:val="18"/>
              </w:rPr>
              <w:t>132根</w:t>
            </w:r>
          </w:p>
        </w:tc>
        <w:tc>
          <w:tcPr>
            <w:tcW w:type="dxa" w:w="4032"/>
            <w:vAlign w:val="center"/>
          </w:tcPr>
          <w:p>
            <w:pPr>
              <w:keepLines/>
              <w:spacing w:lineRule="auto" w:line="276"/>
              <w:jc w:val="center"/>
            </w:pPr>
            <w:r>
              <w:rPr>
                <w:rFonts w:ascii="Times New Roman" w:hAnsi="Times New Roman" w:eastAsia="宋体"/>
                <w:b w:val="0"/>
                <w:sz w:val="18"/>
              </w:rPr>
              <w:t>每榀4根</w:t>
            </w:r>
          </w:p>
        </w:tc>
      </w:tr>
      <w:tr>
        <w:trPr>
          <w:cantSplit/>
        </w:trPr>
        <w:tc>
          <w:tcPr>
            <w:tcW w:type="dxa" w:w="2448"/>
            <w:vAlign w:val="center"/>
          </w:tcPr>
          <w:p>
            <w:pPr>
              <w:keepLines/>
              <w:spacing w:lineRule="auto" w:line="276"/>
              <w:jc w:val="center"/>
            </w:pPr>
            <w:r>
              <w:rPr>
                <w:rFonts w:ascii="Times New Roman" w:hAnsi="Times New Roman" w:eastAsia="宋体"/>
                <w:b w:val="0"/>
                <w:sz w:val="18"/>
              </w:rPr>
              <w:t>单桩利用率</w:t>
            </w:r>
          </w:p>
        </w:tc>
        <w:tc>
          <w:tcPr>
            <w:tcW w:type="dxa" w:w="1872"/>
            <w:vAlign w:val="center"/>
          </w:tcPr>
          <w:p>
            <w:pPr>
              <w:keepLines/>
              <w:spacing w:lineRule="auto" w:line="276"/>
              <w:jc w:val="center"/>
            </w:pPr>
            <w:r>
              <w:rPr>
                <w:rFonts w:ascii="Times New Roman" w:hAnsi="Times New Roman" w:eastAsia="宋体"/>
                <w:b w:val="0"/>
                <w:sz w:val="18"/>
              </w:rPr>
              <w:t>0.89</w:t>
            </w:r>
          </w:p>
        </w:tc>
        <w:tc>
          <w:tcPr>
            <w:tcW w:type="dxa" w:w="4032"/>
            <w:vAlign w:val="center"/>
          </w:tcPr>
          <w:p>
            <w:pPr>
              <w:keepLines/>
              <w:spacing w:lineRule="auto" w:line="276"/>
              <w:jc w:val="center"/>
            </w:pPr>
            <w:r>
              <w:rPr>
                <w:rFonts w:ascii="Times New Roman" w:hAnsi="Times New Roman" w:eastAsia="宋体"/>
                <w:b w:val="0"/>
                <w:sz w:val="18"/>
              </w:rPr>
              <w:t>承载力储备适中</w:t>
            </w:r>
          </w:p>
        </w:tc>
      </w:tr>
      <w:tr>
        <w:trPr>
          <w:cantSplit/>
        </w:trPr>
        <w:tc>
          <w:tcPr>
            <w:tcW w:type="dxa" w:w="2448"/>
            <w:vAlign w:val="center"/>
          </w:tcPr>
          <w:p>
            <w:pPr>
              <w:keepLines/>
              <w:spacing w:lineRule="auto" w:line="276"/>
              <w:jc w:val="center"/>
            </w:pPr>
            <w:r>
              <w:rPr>
                <w:rFonts w:ascii="Times New Roman" w:hAnsi="Times New Roman" w:eastAsia="宋体"/>
                <w:b w:val="0"/>
                <w:sz w:val="18"/>
              </w:rPr>
              <w:t>单位岸线混凝土量</w:t>
            </w:r>
          </w:p>
        </w:tc>
        <w:tc>
          <w:tcPr>
            <w:tcW w:type="dxa" w:w="1872"/>
            <w:vAlign w:val="center"/>
          </w:tcPr>
          <w:p>
            <w:pPr>
              <w:keepLines/>
              <w:spacing w:lineRule="auto" w:line="276"/>
              <w:jc w:val="center"/>
            </w:pPr>
            <w:r>
              <w:rPr>
                <w:rFonts w:ascii="Times New Roman" w:hAnsi="Times New Roman" w:eastAsia="宋体"/>
                <w:b w:val="0"/>
                <w:sz w:val="18"/>
              </w:rPr>
              <w:t>11.88m³/m</w:t>
            </w:r>
          </w:p>
        </w:tc>
        <w:tc>
          <w:tcPr>
            <w:tcW w:type="dxa" w:w="4032"/>
            <w:vAlign w:val="center"/>
          </w:tcPr>
          <w:p>
            <w:pPr>
              <w:keepLines/>
              <w:spacing w:lineRule="auto" w:line="276"/>
              <w:jc w:val="center"/>
            </w:pPr>
            <w:r>
              <w:rPr>
                <w:rFonts w:ascii="Times New Roman" w:hAnsi="Times New Roman" w:eastAsia="宋体"/>
                <w:b w:val="0"/>
                <w:sz w:val="18"/>
              </w:rPr>
              <w:t>用于工程量对比</w:t>
            </w:r>
          </w:p>
        </w:tc>
      </w:tr>
      <w:tr>
        <w:trPr>
          <w:cantSplit/>
        </w:trPr>
        <w:tc>
          <w:tcPr>
            <w:tcW w:type="dxa" w:w="2448"/>
            <w:vAlign w:val="center"/>
          </w:tcPr>
          <w:p>
            <w:pPr>
              <w:keepLines/>
              <w:spacing w:lineRule="auto" w:line="276"/>
              <w:jc w:val="center"/>
            </w:pPr>
            <w:r>
              <w:rPr>
                <w:rFonts w:ascii="Times New Roman" w:hAnsi="Times New Roman" w:eastAsia="宋体"/>
                <w:b w:val="0"/>
                <w:sz w:val="18"/>
              </w:rPr>
              <w:t>单位岸线钢筋量</w:t>
            </w:r>
          </w:p>
        </w:tc>
        <w:tc>
          <w:tcPr>
            <w:tcW w:type="dxa" w:w="1872"/>
            <w:vAlign w:val="center"/>
          </w:tcPr>
          <w:p>
            <w:pPr>
              <w:keepLines/>
              <w:spacing w:lineRule="auto" w:line="276"/>
              <w:jc w:val="center"/>
            </w:pPr>
            <w:r>
              <w:rPr>
                <w:rFonts w:ascii="Times New Roman" w:hAnsi="Times New Roman" w:eastAsia="宋体"/>
                <w:b w:val="0"/>
                <w:sz w:val="18"/>
              </w:rPr>
              <w:t>1.31t/m</w:t>
            </w:r>
          </w:p>
        </w:tc>
        <w:tc>
          <w:tcPr>
            <w:tcW w:type="dxa" w:w="4032"/>
            <w:vAlign w:val="center"/>
          </w:tcPr>
          <w:p>
            <w:pPr>
              <w:keepLines/>
              <w:spacing w:lineRule="auto" w:line="276"/>
              <w:jc w:val="center"/>
            </w:pPr>
            <w:r>
              <w:rPr>
                <w:rFonts w:ascii="Times New Roman" w:hAnsi="Times New Roman" w:eastAsia="宋体"/>
                <w:b w:val="0"/>
                <w:sz w:val="18"/>
              </w:rPr>
              <w:t>用于概算校核</w:t>
            </w:r>
          </w:p>
        </w:tc>
      </w:tr>
    </w:tbl>
    <w:p/>
    <w:p>
      <w:pPr>
        <w:spacing w:lineRule="auto" w:line="360" w:before="0" w:after="0"/>
        <w:ind w:firstLine="480"/>
      </w:pPr>
      <w:r>
        <w:rPr>
          <w:rFonts w:ascii="Times New Roman" w:hAnsi="Times New Roman" w:eastAsia="宋体"/>
          <w:sz w:val="24"/>
        </w:rPr>
        <w:t>从表7-1可见，高桩方案的工程量主要集中在PHC管桩、上部梁板和轨道梁节点。该方案通过排架数量、桩基数量、单桩利用率、单位岸线混凝土量和单位岸线钢筋量共同校核推荐结构的工作量与经济性，避免工程量统计停留在构件清单层面。</w:t>
      </w:r>
    </w:p>
    <w:p>
      <w:pPr>
        <w:pStyle w:val="3"/>
        <w:jc w:val="left"/>
      </w:pPr>
      <w:r>
        <w:rPr>
          <w:rFonts w:ascii="Times New Roman" w:hAnsi="Times New Roman" w:eastAsia="宋体"/>
          <w:b/>
          <w:sz w:val="24"/>
        </w:rPr>
        <w:t xml:space="preserve"> 附属设施工程量</w:t>
      </w:r>
    </w:p>
    <w:p>
      <w:pPr>
        <w:spacing w:lineRule="auto" w:line="360" w:before="0" w:after="0"/>
        <w:ind w:firstLine="480"/>
      </w:pPr>
      <w:r>
        <w:rPr>
          <w:rFonts w:ascii="Times New Roman" w:hAnsi="Times New Roman" w:eastAsia="宋体"/>
          <w:sz w:val="24"/>
        </w:rPr>
        <w:t>附属设施包括橡胶护舷、系船柱、卸船机轨道、皮带机廊道、转运站、喷淋除尘系统、排水沟和消防设施。附属设施工程量按码头长度、堆场面积和装卸工艺系统配置估算。</w:t>
      </w:r>
    </w:p>
    <w:p>
      <w:pPr>
        <w:spacing w:lineRule="auto" w:line="360" w:before="0" w:after="0"/>
        <w:ind w:firstLine="480"/>
      </w:pPr>
      <w:r>
        <w:rPr>
          <w:rFonts w:ascii="Times New Roman" w:hAnsi="Times New Roman" w:eastAsia="宋体"/>
          <w:sz w:val="24"/>
        </w:rPr>
        <w:t>附属设施虽不属于主体水工结构，但直接影响概算和施工组织。卸船机轨道按前后两条轨道沿泊位全长布置，带式输送机长度按码头段、引桥段和堆场段合计估算，护舷按约10m间距配置。</w:t>
      </w:r>
    </w:p>
    <w:p>
      <w:pPr>
        <w:tabs>
          <w:tab w:pos="4100" w:val="center"/>
          <w:tab w:pos="8200" w:val="right"/>
        </w:tabs>
        <w:spacing w:lineRule="auto" w:line="360" w:before="0" w:after="0"/>
        <w:jc w:val="left"/>
      </w:pPr>
      <w:r>
        <w:tab/>
      </w:r>
      <m:oMath>
        <m:sSub>
          <m:e>
            <m:r>
              <m:t>L</m:t>
            </m:r>
          </m:e>
          <m:sub>
            <m:r>
              <m:t>r</m:t>
            </m:r>
          </m:sub>
        </m:sSub>
        <m:r>
          <m:rPr>
            <m:sty m:val="p"/>
          </m:rPr>
          <m:t>=</m:t>
        </m:r>
        <m:r>
          <m:t>2</m:t>
        </m:r>
        <m:sSub>
          <m:e>
            <m:r>
              <m:t>L</m:t>
            </m:r>
          </m:e>
          <m:sub>
            <m:r>
              <m:t>b</m:t>
            </m:r>
          </m:sub>
        </m:sSub>
        <m:r>
          <m:rPr>
            <m:sty m:val="p"/>
          </m:rPr>
          <m:t>=</m:t>
        </m:r>
        <m:r>
          <m:t>2</m:t>
        </m:r>
        <m:r>
          <m:rPr>
            <m:sty m:val="p"/>
          </m:rPr>
          <m:t>×</m:t>
        </m:r>
        <m:r>
          <m:t>260</m:t>
        </m:r>
        <m:r>
          <m:rPr>
            <m:sty m:val="p"/>
          </m:rPr>
          <m:t>=</m:t>
        </m:r>
        <m:r>
          <m:t>520</m:t>
        </m:r>
        <m:r>
          <m:t> </m:t>
        </m:r>
        <m:r>
          <m:rPr>
            <m:sty m:val="p"/>
          </m:rPr>
          <m:t>m</m:t>
        </m:r>
      </m:oMath>
      <w:r>
        <w:rPr>
          <w:rFonts w:ascii="Times New Roman" w:hAnsi="Times New Roman" w:eastAsia="宋体"/>
          <w:sz w:val="24"/>
        </w:rPr>
        <w:tab/>
        <w:t>(7.9)</w:t>
      </w:r>
    </w:p>
    <w:p>
      <w:pPr>
        <w:tabs>
          <w:tab w:pos="4100" w:val="center"/>
          <w:tab w:pos="8200" w:val="right"/>
        </w:tabs>
        <w:spacing w:lineRule="auto" w:line="360" w:before="0" w:after="0"/>
        <w:jc w:val="left"/>
      </w:pPr>
      <w:r>
        <w:tab/>
      </w:r>
      <m:oMath>
        <m:sSub>
          <m:e>
            <m:r>
              <m:t>L</m:t>
            </m:r>
          </m:e>
          <m:sub>
            <m:r>
              <m:t>b</m:t>
            </m:r>
            <m:r>
              <m:t>e</m:t>
            </m:r>
            <m:r>
              <m:t>l</m:t>
            </m:r>
            <m:r>
              <m:t>t</m:t>
            </m:r>
          </m:sub>
        </m:sSub>
        <m:r>
          <m:rPr>
            <m:sty m:val="p"/>
          </m:rPr>
          <m:t>=</m:t>
        </m:r>
        <m:r>
          <m:t>300</m:t>
        </m:r>
        <m:r>
          <m:rPr>
            <m:sty m:val="p"/>
          </m:rPr>
          <m:t>+</m:t>
        </m:r>
        <m:r>
          <m:t>260</m:t>
        </m:r>
        <m:r>
          <m:rPr>
            <m:sty m:val="p"/>
          </m:rPr>
          <m:t>+</m:t>
        </m:r>
        <m:r>
          <m:t>290</m:t>
        </m:r>
        <m:r>
          <m:rPr>
            <m:sty m:val="p"/>
          </m:rPr>
          <m:t>=</m:t>
        </m:r>
        <m:r>
          <m:t>850</m:t>
        </m:r>
        <m:r>
          <m:t> </m:t>
        </m:r>
        <m:r>
          <m:rPr>
            <m:sty m:val="p"/>
          </m:rPr>
          <m:t>m</m:t>
        </m:r>
      </m:oMath>
      <w:r>
        <w:rPr>
          <w:rFonts w:ascii="Times New Roman" w:hAnsi="Times New Roman" w:eastAsia="宋体"/>
          <w:sz w:val="24"/>
        </w:rPr>
        <w:tab/>
        <w:t>(7.10)</w:t>
      </w:r>
    </w:p>
    <w:p>
      <w:pPr>
        <w:tabs>
          <w:tab w:pos="4100" w:val="center"/>
          <w:tab w:pos="8200" w:val="right"/>
        </w:tabs>
        <w:spacing w:lineRule="auto" w:line="360" w:before="0" w:after="0"/>
        <w:jc w:val="left"/>
      </w:pPr>
      <w:r>
        <w:tab/>
      </w:r>
      <m:oMath>
        <m:sSub>
          <m:e>
            <m:r>
              <m:t>n</m:t>
            </m:r>
          </m:e>
          <m:sub>
            <m:r>
              <m:t>f</m:t>
            </m:r>
          </m:sub>
        </m:sSub>
        <m:r>
          <m:rPr>
            <m:sty m:val="p"/>
          </m:rPr>
          <m:t>=</m:t>
        </m:r>
        <m:f>
          <m:fPr>
            <m:type m:val="bar"/>
          </m:fPr>
          <m:num>
            <m:r>
              <m:t>260</m:t>
            </m:r>
          </m:num>
          <m:den>
            <m:r>
              <m:t>10</m:t>
            </m:r>
          </m:den>
        </m:f>
        <m:r>
          <m:rPr>
            <m:sty m:val="p"/>
          </m:rPr>
          <m:t>=</m:t>
        </m:r>
        <m:r>
          <m:t>26</m:t>
        </m:r>
      </m:oMath>
      <w:r>
        <w:rPr>
          <w:rFonts w:ascii="Times New Roman" w:hAnsi="Times New Roman" w:eastAsia="宋体"/>
          <w:sz w:val="24"/>
        </w:rPr>
        <w:tab/>
        <w:t>(7.11)</w:t>
      </w:r>
    </w:p>
    <w:p>
      <w:pPr>
        <w:spacing w:lineRule="auto" w:line="360" w:before="0" w:after="0"/>
        <w:ind w:firstLine="480"/>
      </w:pPr>
      <w:r>
        <w:rPr>
          <w:rFonts w:ascii="Times New Roman" w:hAnsi="Times New Roman" w:eastAsia="宋体"/>
          <w:sz w:val="24"/>
        </w:rPr>
        <w:t>上述数量与表7-2中的轨道、皮带机和护舷工程量对应，可作为设备采购、安装工期和概算费用的初步控制值。后续应根据卸船机轨距、廊道转弯半径、转运站位置和护舷厂家参数进一步修正。</w:t>
      </w:r>
    </w:p>
    <w:p>
      <w:pPr>
        <w:keepNext/>
        <w:pageBreakBefore/>
        <w:spacing w:lineRule="auto" w:line="300" w:before="0" w:after="120"/>
        <w:jc w:val="center"/>
      </w:pPr>
      <w:r>
        <w:rPr>
          <w:rFonts w:ascii="Times New Roman" w:hAnsi="Times New Roman" w:eastAsia="宋体"/>
          <w:b w:val="0"/>
          <w:sz w:val="20"/>
        </w:rPr>
        <w:t>表7-2 主要工程量估算</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3168"/>
        <w:gridCol w:w="1728"/>
        <w:gridCol w:w="3456"/>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工程项目</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单位</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数量</w:t>
            </w:r>
          </w:p>
        </w:tc>
      </w:tr>
      <w:tr>
        <w:trPr>
          <w:cantSplit/>
        </w:trPr>
        <w:tc>
          <w:tcPr>
            <w:tcW w:type="dxa" w:w="3168"/>
            <w:vAlign w:val="center"/>
          </w:tcPr>
          <w:p>
            <w:pPr>
              <w:keepLines/>
              <w:spacing w:lineRule="auto" w:line="276"/>
              <w:jc w:val="center"/>
            </w:pPr>
            <w:r>
              <w:rPr>
                <w:rFonts w:ascii="Times New Roman" w:hAnsi="Times New Roman" w:eastAsia="宋体"/>
                <w:b w:val="0"/>
                <w:sz w:val="18"/>
              </w:rPr>
              <w:t>φ800mm PHC管桩</w:t>
            </w:r>
          </w:p>
        </w:tc>
        <w:tc>
          <w:tcPr>
            <w:tcW w:type="dxa" w:w="1728"/>
            <w:vAlign w:val="center"/>
          </w:tcPr>
          <w:p>
            <w:pPr>
              <w:keepLines/>
              <w:spacing w:lineRule="auto" w:line="276"/>
              <w:jc w:val="center"/>
            </w:pPr>
            <w:r>
              <w:rPr>
                <w:rFonts w:ascii="Times New Roman" w:hAnsi="Times New Roman" w:eastAsia="宋体"/>
                <w:b w:val="0"/>
                <w:sz w:val="18"/>
              </w:rPr>
              <w:t>m</w:t>
            </w:r>
          </w:p>
        </w:tc>
        <w:tc>
          <w:tcPr>
            <w:tcW w:type="dxa" w:w="3456"/>
            <w:vAlign w:val="center"/>
          </w:tcPr>
          <w:p>
            <w:pPr>
              <w:keepLines/>
              <w:spacing w:lineRule="auto" w:line="276"/>
              <w:jc w:val="center"/>
            </w:pPr>
            <w:r>
              <w:rPr>
                <w:rFonts w:ascii="Times New Roman" w:hAnsi="Times New Roman" w:eastAsia="宋体"/>
                <w:b w:val="0"/>
                <w:sz w:val="18"/>
              </w:rPr>
              <w:t>4224</w:t>
            </w:r>
          </w:p>
        </w:tc>
      </w:tr>
      <w:tr>
        <w:trPr>
          <w:cantSplit/>
        </w:trPr>
        <w:tc>
          <w:tcPr>
            <w:tcW w:type="dxa" w:w="3168"/>
            <w:vAlign w:val="center"/>
          </w:tcPr>
          <w:p>
            <w:pPr>
              <w:keepLines/>
              <w:spacing w:lineRule="auto" w:line="276"/>
              <w:jc w:val="center"/>
            </w:pPr>
            <w:r>
              <w:rPr>
                <w:rFonts w:ascii="Times New Roman" w:hAnsi="Times New Roman" w:eastAsia="宋体"/>
                <w:b w:val="0"/>
                <w:sz w:val="18"/>
              </w:rPr>
              <w:t>PHC管桩根数</w:t>
            </w:r>
          </w:p>
        </w:tc>
        <w:tc>
          <w:tcPr>
            <w:tcW w:type="dxa" w:w="1728"/>
            <w:vAlign w:val="center"/>
          </w:tcPr>
          <w:p>
            <w:pPr>
              <w:keepLines/>
              <w:spacing w:lineRule="auto" w:line="276"/>
              <w:jc w:val="center"/>
            </w:pPr>
            <w:r>
              <w:rPr>
                <w:rFonts w:ascii="Times New Roman" w:hAnsi="Times New Roman" w:eastAsia="宋体"/>
                <w:b w:val="0"/>
                <w:sz w:val="18"/>
              </w:rPr>
              <w:t>根</w:t>
            </w:r>
          </w:p>
        </w:tc>
        <w:tc>
          <w:tcPr>
            <w:tcW w:type="dxa" w:w="3456"/>
            <w:vAlign w:val="center"/>
          </w:tcPr>
          <w:p>
            <w:pPr>
              <w:keepLines/>
              <w:spacing w:lineRule="auto" w:line="276"/>
              <w:jc w:val="center"/>
            </w:pPr>
            <w:r>
              <w:rPr>
                <w:rFonts w:ascii="Times New Roman" w:hAnsi="Times New Roman" w:eastAsia="宋体"/>
                <w:b w:val="0"/>
                <w:sz w:val="18"/>
              </w:rPr>
              <w:t>132</w:t>
            </w:r>
          </w:p>
        </w:tc>
      </w:tr>
      <w:tr>
        <w:trPr>
          <w:cantSplit/>
        </w:trPr>
        <w:tc>
          <w:tcPr>
            <w:tcW w:type="dxa" w:w="3168"/>
            <w:vAlign w:val="center"/>
          </w:tcPr>
          <w:p>
            <w:pPr>
              <w:keepLines/>
              <w:spacing w:lineRule="auto" w:line="276"/>
              <w:jc w:val="center"/>
            </w:pPr>
            <w:r>
              <w:rPr>
                <w:rFonts w:ascii="Times New Roman" w:hAnsi="Times New Roman" w:eastAsia="宋体"/>
                <w:b w:val="0"/>
                <w:sz w:val="18"/>
              </w:rPr>
              <w:t>面板混凝土</w:t>
            </w:r>
          </w:p>
        </w:tc>
        <w:tc>
          <w:tcPr>
            <w:tcW w:type="dxa" w:w="1728"/>
            <w:vAlign w:val="center"/>
          </w:tcPr>
          <w:p>
            <w:pPr>
              <w:keepLines/>
              <w:spacing w:lineRule="auto" w:line="276"/>
              <w:jc w:val="center"/>
            </w:pPr>
            <w:r>
              <w:rPr>
                <w:rFonts w:ascii="Times New Roman" w:hAnsi="Times New Roman" w:eastAsia="宋体"/>
                <w:b w:val="0"/>
                <w:sz w:val="18"/>
              </w:rPr>
              <w:t>m³</w:t>
            </w:r>
          </w:p>
        </w:tc>
        <w:tc>
          <w:tcPr>
            <w:tcW w:type="dxa" w:w="3456"/>
            <w:vAlign w:val="center"/>
          </w:tcPr>
          <w:p>
            <w:pPr>
              <w:keepLines/>
              <w:spacing w:lineRule="auto" w:line="276"/>
              <w:jc w:val="center"/>
            </w:pPr>
            <w:r>
              <w:rPr>
                <w:rFonts w:ascii="Times New Roman" w:hAnsi="Times New Roman" w:eastAsia="宋体"/>
                <w:b w:val="0"/>
                <w:sz w:val="18"/>
              </w:rPr>
              <w:t>1638</w:t>
            </w:r>
          </w:p>
        </w:tc>
      </w:tr>
      <w:tr>
        <w:trPr>
          <w:cantSplit/>
        </w:trPr>
        <w:tc>
          <w:tcPr>
            <w:tcW w:type="dxa" w:w="3168"/>
            <w:vAlign w:val="center"/>
          </w:tcPr>
          <w:p>
            <w:pPr>
              <w:keepLines/>
              <w:spacing w:lineRule="auto" w:line="276"/>
              <w:jc w:val="center"/>
            </w:pPr>
            <w:r>
              <w:rPr>
                <w:rFonts w:ascii="Times New Roman" w:hAnsi="Times New Roman" w:eastAsia="宋体"/>
                <w:b w:val="0"/>
                <w:sz w:val="18"/>
              </w:rPr>
              <w:t>梁系及桩帽混凝土</w:t>
            </w:r>
          </w:p>
        </w:tc>
        <w:tc>
          <w:tcPr>
            <w:tcW w:type="dxa" w:w="1728"/>
            <w:vAlign w:val="center"/>
          </w:tcPr>
          <w:p>
            <w:pPr>
              <w:keepLines/>
              <w:spacing w:lineRule="auto" w:line="276"/>
              <w:jc w:val="center"/>
            </w:pPr>
            <w:r>
              <w:rPr>
                <w:rFonts w:ascii="Times New Roman" w:hAnsi="Times New Roman" w:eastAsia="宋体"/>
                <w:b w:val="0"/>
                <w:sz w:val="18"/>
              </w:rPr>
              <w:t>m³</w:t>
            </w:r>
          </w:p>
        </w:tc>
        <w:tc>
          <w:tcPr>
            <w:tcW w:type="dxa" w:w="3456"/>
            <w:vAlign w:val="center"/>
          </w:tcPr>
          <w:p>
            <w:pPr>
              <w:keepLines/>
              <w:spacing w:lineRule="auto" w:line="276"/>
              <w:jc w:val="center"/>
            </w:pPr>
            <w:r>
              <w:rPr>
                <w:rFonts w:ascii="Times New Roman" w:hAnsi="Times New Roman" w:eastAsia="宋体"/>
                <w:b w:val="0"/>
                <w:sz w:val="18"/>
              </w:rPr>
              <w:t>1450</w:t>
            </w:r>
          </w:p>
        </w:tc>
      </w:tr>
      <w:tr>
        <w:trPr>
          <w:cantSplit/>
        </w:trPr>
        <w:tc>
          <w:tcPr>
            <w:tcW w:type="dxa" w:w="3168"/>
            <w:vAlign w:val="center"/>
          </w:tcPr>
          <w:p>
            <w:pPr>
              <w:keepLines/>
              <w:spacing w:lineRule="auto" w:line="276"/>
              <w:jc w:val="center"/>
            </w:pPr>
            <w:r>
              <w:rPr>
                <w:rFonts w:ascii="Times New Roman" w:hAnsi="Times New Roman" w:eastAsia="宋体"/>
                <w:b w:val="0"/>
                <w:sz w:val="18"/>
              </w:rPr>
              <w:t>钢筋</w:t>
            </w:r>
          </w:p>
        </w:tc>
        <w:tc>
          <w:tcPr>
            <w:tcW w:type="dxa" w:w="1728"/>
            <w:vAlign w:val="center"/>
          </w:tcPr>
          <w:p>
            <w:pPr>
              <w:keepLines/>
              <w:spacing w:lineRule="auto" w:line="276"/>
              <w:jc w:val="center"/>
            </w:pPr>
            <w:r>
              <w:rPr>
                <w:rFonts w:ascii="Times New Roman" w:hAnsi="Times New Roman" w:eastAsia="宋体"/>
                <w:b w:val="0"/>
                <w:sz w:val="18"/>
              </w:rPr>
              <w:t>t</w:t>
            </w:r>
          </w:p>
        </w:tc>
        <w:tc>
          <w:tcPr>
            <w:tcW w:type="dxa" w:w="3456"/>
            <w:vAlign w:val="center"/>
          </w:tcPr>
          <w:p>
            <w:pPr>
              <w:keepLines/>
              <w:spacing w:lineRule="auto" w:line="276"/>
              <w:jc w:val="center"/>
            </w:pPr>
            <w:r>
              <w:rPr>
                <w:rFonts w:ascii="Times New Roman" w:hAnsi="Times New Roman" w:eastAsia="宋体"/>
                <w:b w:val="0"/>
                <w:sz w:val="18"/>
              </w:rPr>
              <w:t>340</w:t>
            </w:r>
          </w:p>
        </w:tc>
      </w:tr>
      <w:tr>
        <w:trPr>
          <w:cantSplit/>
        </w:trPr>
        <w:tc>
          <w:tcPr>
            <w:tcW w:type="dxa" w:w="3168"/>
            <w:vAlign w:val="center"/>
          </w:tcPr>
          <w:p>
            <w:pPr>
              <w:keepLines/>
              <w:spacing w:lineRule="auto" w:line="276"/>
              <w:jc w:val="center"/>
            </w:pPr>
            <w:r>
              <w:rPr>
                <w:rFonts w:ascii="Times New Roman" w:hAnsi="Times New Roman" w:eastAsia="宋体"/>
                <w:b w:val="0"/>
                <w:sz w:val="18"/>
              </w:rPr>
              <w:t>卸船机轨道</w:t>
            </w:r>
          </w:p>
        </w:tc>
        <w:tc>
          <w:tcPr>
            <w:tcW w:type="dxa" w:w="1728"/>
            <w:vAlign w:val="center"/>
          </w:tcPr>
          <w:p>
            <w:pPr>
              <w:keepLines/>
              <w:spacing w:lineRule="auto" w:line="276"/>
              <w:jc w:val="center"/>
            </w:pPr>
            <w:r>
              <w:rPr>
                <w:rFonts w:ascii="Times New Roman" w:hAnsi="Times New Roman" w:eastAsia="宋体"/>
                <w:b w:val="0"/>
                <w:sz w:val="18"/>
              </w:rPr>
              <w:t>m</w:t>
            </w:r>
          </w:p>
        </w:tc>
        <w:tc>
          <w:tcPr>
            <w:tcW w:type="dxa" w:w="3456"/>
            <w:vAlign w:val="center"/>
          </w:tcPr>
          <w:p>
            <w:pPr>
              <w:keepLines/>
              <w:spacing w:lineRule="auto" w:line="276"/>
              <w:jc w:val="center"/>
            </w:pPr>
            <w:r>
              <w:rPr>
                <w:rFonts w:ascii="Times New Roman" w:hAnsi="Times New Roman" w:eastAsia="宋体"/>
                <w:b w:val="0"/>
                <w:sz w:val="18"/>
              </w:rPr>
              <w:t>520</w:t>
            </w:r>
          </w:p>
        </w:tc>
      </w:tr>
      <w:tr>
        <w:trPr>
          <w:cantSplit/>
        </w:trPr>
        <w:tc>
          <w:tcPr>
            <w:tcW w:type="dxa" w:w="3168"/>
            <w:vAlign w:val="center"/>
          </w:tcPr>
          <w:p>
            <w:pPr>
              <w:keepLines/>
              <w:spacing w:lineRule="auto" w:line="276"/>
              <w:jc w:val="center"/>
            </w:pPr>
            <w:r>
              <w:rPr>
                <w:rFonts w:ascii="Times New Roman" w:hAnsi="Times New Roman" w:eastAsia="宋体"/>
                <w:b w:val="0"/>
                <w:sz w:val="18"/>
              </w:rPr>
              <w:t>堆场面积</w:t>
            </w:r>
          </w:p>
        </w:tc>
        <w:tc>
          <w:tcPr>
            <w:tcW w:type="dxa" w:w="1728"/>
            <w:vAlign w:val="center"/>
          </w:tcPr>
          <w:p>
            <w:pPr>
              <w:keepLines/>
              <w:spacing w:lineRule="auto" w:line="276"/>
              <w:jc w:val="center"/>
            </w:pPr>
            <w:r>
              <w:rPr>
                <w:rFonts w:ascii="Times New Roman" w:hAnsi="Times New Roman" w:eastAsia="宋体"/>
                <w:b w:val="0"/>
                <w:sz w:val="18"/>
              </w:rPr>
              <w:t>m²</w:t>
            </w:r>
          </w:p>
        </w:tc>
        <w:tc>
          <w:tcPr>
            <w:tcW w:type="dxa" w:w="3456"/>
            <w:vAlign w:val="center"/>
          </w:tcPr>
          <w:p>
            <w:pPr>
              <w:keepLines/>
              <w:spacing w:lineRule="auto" w:line="276"/>
              <w:jc w:val="center"/>
            </w:pPr>
            <w:r>
              <w:rPr>
                <w:rFonts w:ascii="Times New Roman" w:hAnsi="Times New Roman" w:eastAsia="宋体"/>
                <w:b w:val="0"/>
                <w:sz w:val="18"/>
              </w:rPr>
              <w:t>44000</w:t>
            </w:r>
          </w:p>
        </w:tc>
      </w:tr>
      <w:tr>
        <w:trPr>
          <w:cantSplit/>
        </w:trPr>
        <w:tc>
          <w:tcPr>
            <w:tcW w:type="dxa" w:w="3168"/>
            <w:vAlign w:val="center"/>
          </w:tcPr>
          <w:p>
            <w:pPr>
              <w:keepLines/>
              <w:spacing w:lineRule="auto" w:line="276"/>
              <w:jc w:val="center"/>
            </w:pPr>
            <w:r>
              <w:rPr>
                <w:rFonts w:ascii="Times New Roman" w:hAnsi="Times New Roman" w:eastAsia="宋体"/>
                <w:b w:val="0"/>
                <w:sz w:val="18"/>
              </w:rPr>
              <w:t>带式输送机</w:t>
            </w:r>
          </w:p>
        </w:tc>
        <w:tc>
          <w:tcPr>
            <w:tcW w:type="dxa" w:w="1728"/>
            <w:vAlign w:val="center"/>
          </w:tcPr>
          <w:p>
            <w:pPr>
              <w:keepLines/>
              <w:spacing w:lineRule="auto" w:line="276"/>
              <w:jc w:val="center"/>
            </w:pPr>
            <w:r>
              <w:rPr>
                <w:rFonts w:ascii="Times New Roman" w:hAnsi="Times New Roman" w:eastAsia="宋体"/>
                <w:b w:val="0"/>
                <w:sz w:val="18"/>
              </w:rPr>
              <w:t>m</w:t>
            </w:r>
          </w:p>
        </w:tc>
        <w:tc>
          <w:tcPr>
            <w:tcW w:type="dxa" w:w="3456"/>
            <w:vAlign w:val="center"/>
          </w:tcPr>
          <w:p>
            <w:pPr>
              <w:keepLines/>
              <w:spacing w:lineRule="auto" w:line="276"/>
              <w:jc w:val="center"/>
            </w:pPr>
            <w:r>
              <w:rPr>
                <w:rFonts w:ascii="Times New Roman" w:hAnsi="Times New Roman" w:eastAsia="宋体"/>
                <w:b w:val="0"/>
                <w:sz w:val="18"/>
              </w:rPr>
              <w:t>850</w:t>
            </w:r>
          </w:p>
        </w:tc>
      </w:tr>
      <w:tr>
        <w:trPr>
          <w:cantSplit/>
        </w:trPr>
        <w:tc>
          <w:tcPr>
            <w:tcW w:type="dxa" w:w="3168"/>
            <w:vAlign w:val="center"/>
          </w:tcPr>
          <w:p>
            <w:pPr>
              <w:keepLines/>
              <w:spacing w:lineRule="auto" w:line="276"/>
              <w:jc w:val="center"/>
            </w:pPr>
            <w:r>
              <w:rPr>
                <w:rFonts w:ascii="Times New Roman" w:hAnsi="Times New Roman" w:eastAsia="宋体"/>
                <w:b w:val="0"/>
                <w:sz w:val="18"/>
              </w:rPr>
              <w:t>橡胶护舷</w:t>
            </w:r>
          </w:p>
        </w:tc>
        <w:tc>
          <w:tcPr>
            <w:tcW w:type="dxa" w:w="1728"/>
            <w:vAlign w:val="center"/>
          </w:tcPr>
          <w:p>
            <w:pPr>
              <w:keepLines/>
              <w:spacing w:lineRule="auto" w:line="276"/>
              <w:jc w:val="center"/>
            </w:pPr>
            <w:r>
              <w:rPr>
                <w:rFonts w:ascii="Times New Roman" w:hAnsi="Times New Roman" w:eastAsia="宋体"/>
                <w:b w:val="0"/>
                <w:sz w:val="18"/>
              </w:rPr>
              <w:t>套</w:t>
            </w:r>
          </w:p>
        </w:tc>
        <w:tc>
          <w:tcPr>
            <w:tcW w:type="dxa" w:w="3456"/>
            <w:vAlign w:val="center"/>
          </w:tcPr>
          <w:p>
            <w:pPr>
              <w:keepLines/>
              <w:spacing w:lineRule="auto" w:line="276"/>
              <w:jc w:val="center"/>
            </w:pPr>
            <w:r>
              <w:rPr>
                <w:rFonts w:ascii="Times New Roman" w:hAnsi="Times New Roman" w:eastAsia="宋体"/>
                <w:b w:val="0"/>
                <w:sz w:val="18"/>
              </w:rPr>
              <w:t>26</w:t>
            </w:r>
          </w:p>
        </w:tc>
      </w:tr>
      <w:tr>
        <w:trPr>
          <w:cantSplit/>
        </w:trPr>
        <w:tc>
          <w:tcPr>
            <w:tcW w:type="dxa" w:w="3168"/>
            <w:vAlign w:val="center"/>
          </w:tcPr>
          <w:p>
            <w:pPr>
              <w:keepLines/>
              <w:spacing w:lineRule="auto" w:line="276"/>
              <w:jc w:val="center"/>
            </w:pPr>
            <w:r>
              <w:rPr>
                <w:rFonts w:ascii="Times New Roman" w:hAnsi="Times New Roman" w:eastAsia="宋体"/>
                <w:b w:val="0"/>
                <w:sz w:val="18"/>
              </w:rPr>
              <w:t>系船柱</w:t>
            </w:r>
          </w:p>
        </w:tc>
        <w:tc>
          <w:tcPr>
            <w:tcW w:type="dxa" w:w="1728"/>
            <w:vAlign w:val="center"/>
          </w:tcPr>
          <w:p>
            <w:pPr>
              <w:keepLines/>
              <w:spacing w:lineRule="auto" w:line="276"/>
              <w:jc w:val="center"/>
            </w:pPr>
            <w:r>
              <w:rPr>
                <w:rFonts w:ascii="Times New Roman" w:hAnsi="Times New Roman" w:eastAsia="宋体"/>
                <w:b w:val="0"/>
                <w:sz w:val="18"/>
              </w:rPr>
              <w:t>个</w:t>
            </w:r>
          </w:p>
        </w:tc>
        <w:tc>
          <w:tcPr>
            <w:tcW w:type="dxa" w:w="3456"/>
            <w:vAlign w:val="center"/>
          </w:tcPr>
          <w:p>
            <w:pPr>
              <w:keepLines/>
              <w:spacing w:lineRule="auto" w:line="276"/>
              <w:jc w:val="center"/>
            </w:pPr>
            <w:r>
              <w:rPr>
                <w:rFonts w:ascii="Times New Roman" w:hAnsi="Times New Roman" w:eastAsia="宋体"/>
                <w:b w:val="0"/>
                <w:sz w:val="18"/>
              </w:rPr>
              <w:t>12</w:t>
            </w:r>
          </w:p>
        </w:tc>
      </w:tr>
    </w:tbl>
    <w:p/>
    <w:p>
      <w:pPr>
        <w:spacing w:lineRule="auto" w:line="360" w:before="0" w:after="0"/>
        <w:ind w:firstLine="480"/>
      </w:pPr>
      <w:r>
        <w:rPr>
          <w:rFonts w:ascii="Times New Roman" w:hAnsi="Times New Roman" w:eastAsia="宋体"/>
          <w:sz w:val="24"/>
        </w:rPr>
        <w:t>附属设施工程量应与煤流系统和环保设施共同统计。除护舷、系船柱、轨道和皮带机外，还应计入封闭导料槽、喷雾抑尘、排水沟、沉淀池、消防管线、检修平台和电气控制系统等内容。</w:t>
      </w:r>
    </w:p>
    <w:p>
      <w:pPr>
        <w:pStyle w:val="2"/>
        <w:jc w:val="left"/>
      </w:pPr>
      <w:r>
        <w:rPr>
          <w:rFonts w:ascii="Times New Roman" w:hAnsi="Times New Roman" w:eastAsia="宋体"/>
          <w:b/>
          <w:sz w:val="24"/>
        </w:rPr>
        <w:t xml:space="preserve"> 工程概算</w:t>
      </w:r>
    </w:p>
    <w:p>
      <w:pPr>
        <w:pStyle w:val="3"/>
        <w:jc w:val="left"/>
      </w:pPr>
      <w:r>
        <w:rPr>
          <w:rFonts w:ascii="Times New Roman" w:hAnsi="Times New Roman" w:eastAsia="宋体"/>
          <w:b/>
          <w:sz w:val="24"/>
        </w:rPr>
        <w:t xml:space="preserve"> 概算编制依据</w:t>
      </w:r>
    </w:p>
    <w:p>
      <w:pPr>
        <w:spacing w:lineRule="auto" w:line="360" w:before="0" w:after="0"/>
        <w:ind w:firstLine="480"/>
      </w:pPr>
      <w:r>
        <w:rPr>
          <w:rFonts w:ascii="Times New Roman" w:hAnsi="Times New Roman" w:eastAsia="宋体"/>
          <w:sz w:val="24"/>
        </w:rPr>
        <w:t>工程概算按初步设计深度进行，主要依据工程量估算、类似港口工程造价指标、设备估价和施工组织条件编制。概算项目按水工建筑物、装卸设备、堆场道路、辅助环保设施、临时工程和预备费分项汇总，既用于方案比较，也用于后续投资控制。由于现阶段尚未形成施工图工程量清单，单价采用类似工程综合指标，后续应结合施工图设计、市场材料价格、设备招标价格和施工组织方案进一步修正。港口工程概算分项和施工组织可参考海港工程设计手册下册的相关方法。</w:t>
      </w:r>
    </w:p>
    <w:p>
      <w:pPr>
        <w:spacing w:lineRule="auto" w:line="360" w:before="0" w:after="0"/>
        <w:ind w:firstLine="480"/>
      </w:pPr>
      <w:r>
        <w:rPr>
          <w:rFonts w:ascii="Times New Roman" w:hAnsi="Times New Roman" w:eastAsia="宋体"/>
          <w:sz w:val="24"/>
        </w:rPr>
        <w:t>概算编制还应考虑设备费用在煤码头投资中的占比。卸船机、带式输送机、转运站、堆取料机、除尘系统、喷淋系统和电气控制系统均属于投资控制重点，其中设备选型和自动化程度会显著影响总投资。</w:t>
      </w:r>
    </w:p>
    <w:p>
      <w:pPr>
        <w:pStyle w:val="3"/>
        <w:jc w:val="left"/>
      </w:pPr>
      <w:r>
        <w:rPr>
          <w:rFonts w:ascii="Times New Roman" w:hAnsi="Times New Roman" w:eastAsia="宋体"/>
          <w:b/>
          <w:sz w:val="24"/>
        </w:rPr>
        <w:t xml:space="preserve"> 分项费用估算</w:t>
      </w:r>
    </w:p>
    <w:p>
      <w:pPr>
        <w:keepNext/>
        <w:pageBreakBefore/>
        <w:spacing w:lineRule="auto" w:line="300" w:before="0" w:after="120"/>
        <w:jc w:val="center"/>
      </w:pPr>
      <w:r>
        <w:rPr>
          <w:rFonts w:ascii="Times New Roman" w:hAnsi="Times New Roman" w:eastAsia="宋体"/>
          <w:b w:val="0"/>
          <w:sz w:val="20"/>
        </w:rPr>
        <w:t>表7-3 工程概算估算表</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880"/>
        <w:gridCol w:w="2304"/>
        <w:gridCol w:w="3168"/>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费用项目</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估算金额/万元</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说明</w:t>
            </w:r>
          </w:p>
        </w:tc>
      </w:tr>
      <w:tr>
        <w:trPr>
          <w:cantSplit/>
        </w:trPr>
        <w:tc>
          <w:tcPr>
            <w:tcW w:type="dxa" w:w="2880"/>
            <w:vAlign w:val="center"/>
          </w:tcPr>
          <w:p>
            <w:pPr>
              <w:keepLines/>
              <w:spacing w:lineRule="auto" w:line="276"/>
              <w:jc w:val="center"/>
            </w:pPr>
            <w:r>
              <w:rPr>
                <w:rFonts w:ascii="Times New Roman" w:hAnsi="Times New Roman" w:eastAsia="宋体"/>
                <w:b w:val="0"/>
                <w:sz w:val="18"/>
              </w:rPr>
              <w:t>桩基工程</w:t>
            </w:r>
          </w:p>
        </w:tc>
        <w:tc>
          <w:tcPr>
            <w:tcW w:type="dxa" w:w="2304"/>
            <w:vAlign w:val="center"/>
          </w:tcPr>
          <w:p>
            <w:pPr>
              <w:keepLines/>
              <w:spacing w:lineRule="auto" w:line="276"/>
              <w:jc w:val="center"/>
            </w:pPr>
            <w:r>
              <w:rPr>
                <w:rFonts w:ascii="Times New Roman" w:hAnsi="Times New Roman" w:eastAsia="宋体"/>
                <w:b w:val="0"/>
                <w:sz w:val="18"/>
              </w:rPr>
              <w:t>1267</w:t>
            </w:r>
          </w:p>
        </w:tc>
        <w:tc>
          <w:tcPr>
            <w:tcW w:type="dxa" w:w="3168"/>
            <w:vAlign w:val="center"/>
          </w:tcPr>
          <w:p>
            <w:pPr>
              <w:keepLines/>
              <w:spacing w:lineRule="auto" w:line="276"/>
              <w:jc w:val="center"/>
            </w:pPr>
            <w:r>
              <w:rPr>
                <w:rFonts w:ascii="Times New Roman" w:hAnsi="Times New Roman" w:eastAsia="宋体"/>
                <w:b w:val="0"/>
                <w:sz w:val="18"/>
              </w:rPr>
              <w:t>PHC管桩采购、沉桩和检测</w:t>
            </w:r>
          </w:p>
        </w:tc>
      </w:tr>
      <w:tr>
        <w:trPr>
          <w:cantSplit/>
        </w:trPr>
        <w:tc>
          <w:tcPr>
            <w:tcW w:type="dxa" w:w="2880"/>
            <w:vAlign w:val="center"/>
          </w:tcPr>
          <w:p>
            <w:pPr>
              <w:keepLines/>
              <w:spacing w:lineRule="auto" w:line="276"/>
              <w:jc w:val="center"/>
            </w:pPr>
            <w:r>
              <w:rPr>
                <w:rFonts w:ascii="Times New Roman" w:hAnsi="Times New Roman" w:eastAsia="宋体"/>
                <w:b w:val="0"/>
                <w:sz w:val="18"/>
              </w:rPr>
              <w:t>上部结构</w:t>
            </w:r>
          </w:p>
        </w:tc>
        <w:tc>
          <w:tcPr>
            <w:tcW w:type="dxa" w:w="2304"/>
            <w:vAlign w:val="center"/>
          </w:tcPr>
          <w:p>
            <w:pPr>
              <w:keepLines/>
              <w:spacing w:lineRule="auto" w:line="276"/>
              <w:jc w:val="center"/>
            </w:pPr>
            <w:r>
              <w:rPr>
                <w:rFonts w:ascii="Times New Roman" w:hAnsi="Times New Roman" w:eastAsia="宋体"/>
                <w:b w:val="0"/>
                <w:sz w:val="18"/>
              </w:rPr>
              <w:t>2150</w:t>
            </w:r>
          </w:p>
        </w:tc>
        <w:tc>
          <w:tcPr>
            <w:tcW w:type="dxa" w:w="3168"/>
            <w:vAlign w:val="center"/>
          </w:tcPr>
          <w:p>
            <w:pPr>
              <w:keepLines/>
              <w:spacing w:lineRule="auto" w:line="276"/>
              <w:jc w:val="center"/>
            </w:pPr>
            <w:r>
              <w:rPr>
                <w:rFonts w:ascii="Times New Roman" w:hAnsi="Times New Roman" w:eastAsia="宋体"/>
                <w:b w:val="0"/>
                <w:sz w:val="18"/>
              </w:rPr>
              <w:t>面板、梁系、桩帽及钢筋混凝土</w:t>
            </w:r>
          </w:p>
        </w:tc>
      </w:tr>
      <w:tr>
        <w:trPr>
          <w:cantSplit/>
        </w:trPr>
        <w:tc>
          <w:tcPr>
            <w:tcW w:type="dxa" w:w="2880"/>
            <w:vAlign w:val="center"/>
          </w:tcPr>
          <w:p>
            <w:pPr>
              <w:keepLines/>
              <w:spacing w:lineRule="auto" w:line="276"/>
              <w:jc w:val="center"/>
            </w:pPr>
            <w:r>
              <w:rPr>
                <w:rFonts w:ascii="Times New Roman" w:hAnsi="Times New Roman" w:eastAsia="宋体"/>
                <w:b w:val="0"/>
                <w:sz w:val="18"/>
              </w:rPr>
              <w:t>装卸设备</w:t>
            </w:r>
          </w:p>
        </w:tc>
        <w:tc>
          <w:tcPr>
            <w:tcW w:type="dxa" w:w="2304"/>
            <w:vAlign w:val="center"/>
          </w:tcPr>
          <w:p>
            <w:pPr>
              <w:keepLines/>
              <w:spacing w:lineRule="auto" w:line="276"/>
              <w:jc w:val="center"/>
            </w:pPr>
            <w:r>
              <w:rPr>
                <w:rFonts w:ascii="Times New Roman" w:hAnsi="Times New Roman" w:eastAsia="宋体"/>
                <w:b w:val="0"/>
                <w:sz w:val="18"/>
              </w:rPr>
              <w:t>4800</w:t>
            </w:r>
          </w:p>
        </w:tc>
        <w:tc>
          <w:tcPr>
            <w:tcW w:type="dxa" w:w="3168"/>
            <w:vAlign w:val="center"/>
          </w:tcPr>
          <w:p>
            <w:pPr>
              <w:keepLines/>
              <w:spacing w:lineRule="auto" w:line="276"/>
              <w:jc w:val="center"/>
            </w:pPr>
            <w:r>
              <w:rPr>
                <w:rFonts w:ascii="Times New Roman" w:hAnsi="Times New Roman" w:eastAsia="宋体"/>
                <w:b w:val="0"/>
                <w:sz w:val="18"/>
              </w:rPr>
              <w:t>卸船机、皮带机、堆取料机</w:t>
            </w:r>
          </w:p>
        </w:tc>
      </w:tr>
      <w:tr>
        <w:trPr>
          <w:cantSplit/>
        </w:trPr>
        <w:tc>
          <w:tcPr>
            <w:tcW w:type="dxa" w:w="2880"/>
            <w:vAlign w:val="center"/>
          </w:tcPr>
          <w:p>
            <w:pPr>
              <w:keepLines/>
              <w:spacing w:lineRule="auto" w:line="276"/>
              <w:jc w:val="center"/>
            </w:pPr>
            <w:r>
              <w:rPr>
                <w:rFonts w:ascii="Times New Roman" w:hAnsi="Times New Roman" w:eastAsia="宋体"/>
                <w:b w:val="0"/>
                <w:sz w:val="18"/>
              </w:rPr>
              <w:t>堆场与道路</w:t>
            </w:r>
          </w:p>
        </w:tc>
        <w:tc>
          <w:tcPr>
            <w:tcW w:type="dxa" w:w="2304"/>
            <w:vAlign w:val="center"/>
          </w:tcPr>
          <w:p>
            <w:pPr>
              <w:keepLines/>
              <w:spacing w:lineRule="auto" w:line="276"/>
              <w:jc w:val="center"/>
            </w:pPr>
            <w:r>
              <w:rPr>
                <w:rFonts w:ascii="Times New Roman" w:hAnsi="Times New Roman" w:eastAsia="宋体"/>
                <w:b w:val="0"/>
                <w:sz w:val="18"/>
              </w:rPr>
              <w:t>1650</w:t>
            </w:r>
          </w:p>
        </w:tc>
        <w:tc>
          <w:tcPr>
            <w:tcW w:type="dxa" w:w="3168"/>
            <w:vAlign w:val="center"/>
          </w:tcPr>
          <w:p>
            <w:pPr>
              <w:keepLines/>
              <w:spacing w:lineRule="auto" w:line="276"/>
              <w:jc w:val="center"/>
            </w:pPr>
            <w:r>
              <w:rPr>
                <w:rFonts w:ascii="Times New Roman" w:hAnsi="Times New Roman" w:eastAsia="宋体"/>
                <w:b w:val="0"/>
                <w:sz w:val="18"/>
              </w:rPr>
              <w:t>堆场硬化、道路、排水</w:t>
            </w:r>
          </w:p>
        </w:tc>
      </w:tr>
      <w:tr>
        <w:trPr>
          <w:cantSplit/>
        </w:trPr>
        <w:tc>
          <w:tcPr>
            <w:tcW w:type="dxa" w:w="2880"/>
            <w:vAlign w:val="center"/>
          </w:tcPr>
          <w:p>
            <w:pPr>
              <w:keepLines/>
              <w:spacing w:lineRule="auto" w:line="276"/>
              <w:jc w:val="center"/>
            </w:pPr>
            <w:r>
              <w:rPr>
                <w:rFonts w:ascii="Times New Roman" w:hAnsi="Times New Roman" w:eastAsia="宋体"/>
                <w:b w:val="0"/>
                <w:sz w:val="18"/>
              </w:rPr>
              <w:t>辅助及环保设施</w:t>
            </w:r>
          </w:p>
        </w:tc>
        <w:tc>
          <w:tcPr>
            <w:tcW w:type="dxa" w:w="2304"/>
            <w:vAlign w:val="center"/>
          </w:tcPr>
          <w:p>
            <w:pPr>
              <w:keepLines/>
              <w:spacing w:lineRule="auto" w:line="276"/>
              <w:jc w:val="center"/>
            </w:pPr>
            <w:r>
              <w:rPr>
                <w:rFonts w:ascii="Times New Roman" w:hAnsi="Times New Roman" w:eastAsia="宋体"/>
                <w:b w:val="0"/>
                <w:sz w:val="18"/>
              </w:rPr>
              <w:t>820</w:t>
            </w:r>
          </w:p>
        </w:tc>
        <w:tc>
          <w:tcPr>
            <w:tcW w:type="dxa" w:w="3168"/>
            <w:vAlign w:val="center"/>
          </w:tcPr>
          <w:p>
            <w:pPr>
              <w:keepLines/>
              <w:spacing w:lineRule="auto" w:line="276"/>
              <w:jc w:val="center"/>
            </w:pPr>
            <w:r>
              <w:rPr>
                <w:rFonts w:ascii="Times New Roman" w:hAnsi="Times New Roman" w:eastAsia="宋体"/>
                <w:b w:val="0"/>
                <w:sz w:val="18"/>
              </w:rPr>
              <w:t>消防、喷淋、污水处理</w:t>
            </w:r>
          </w:p>
        </w:tc>
      </w:tr>
      <w:tr>
        <w:trPr>
          <w:cantSplit/>
        </w:trPr>
        <w:tc>
          <w:tcPr>
            <w:tcW w:type="dxa" w:w="2880"/>
            <w:vAlign w:val="center"/>
          </w:tcPr>
          <w:p>
            <w:pPr>
              <w:keepLines/>
              <w:spacing w:lineRule="auto" w:line="276"/>
              <w:jc w:val="center"/>
            </w:pPr>
            <w:r>
              <w:rPr>
                <w:rFonts w:ascii="Times New Roman" w:hAnsi="Times New Roman" w:eastAsia="宋体"/>
                <w:b w:val="0"/>
                <w:sz w:val="18"/>
              </w:rPr>
              <w:t>临时工程及其他</w:t>
            </w:r>
          </w:p>
        </w:tc>
        <w:tc>
          <w:tcPr>
            <w:tcW w:type="dxa" w:w="2304"/>
            <w:vAlign w:val="center"/>
          </w:tcPr>
          <w:p>
            <w:pPr>
              <w:keepLines/>
              <w:spacing w:lineRule="auto" w:line="276"/>
              <w:jc w:val="center"/>
            </w:pPr>
            <w:r>
              <w:rPr>
                <w:rFonts w:ascii="Times New Roman" w:hAnsi="Times New Roman" w:eastAsia="宋体"/>
                <w:b w:val="0"/>
                <w:sz w:val="18"/>
              </w:rPr>
              <w:t>720</w:t>
            </w:r>
          </w:p>
        </w:tc>
        <w:tc>
          <w:tcPr>
            <w:tcW w:type="dxa" w:w="3168"/>
            <w:vAlign w:val="center"/>
          </w:tcPr>
          <w:p>
            <w:pPr>
              <w:keepLines/>
              <w:spacing w:lineRule="auto" w:line="276"/>
              <w:jc w:val="center"/>
            </w:pPr>
            <w:r>
              <w:rPr>
                <w:rFonts w:ascii="Times New Roman" w:hAnsi="Times New Roman" w:eastAsia="宋体"/>
                <w:b w:val="0"/>
                <w:sz w:val="18"/>
              </w:rPr>
              <w:t>施工措施和管理费用</w:t>
            </w:r>
          </w:p>
        </w:tc>
      </w:tr>
      <w:tr>
        <w:trPr>
          <w:cantSplit/>
        </w:trPr>
        <w:tc>
          <w:tcPr>
            <w:tcW w:type="dxa" w:w="2880"/>
            <w:vAlign w:val="center"/>
          </w:tcPr>
          <w:p>
            <w:pPr>
              <w:keepLines/>
              <w:spacing w:lineRule="auto" w:line="276"/>
              <w:jc w:val="center"/>
            </w:pPr>
            <w:r>
              <w:rPr>
                <w:rFonts w:ascii="Times New Roman" w:hAnsi="Times New Roman" w:eastAsia="宋体"/>
                <w:b w:val="0"/>
                <w:sz w:val="18"/>
              </w:rPr>
              <w:t>预备费</w:t>
            </w:r>
          </w:p>
        </w:tc>
        <w:tc>
          <w:tcPr>
            <w:tcW w:type="dxa" w:w="2304"/>
            <w:vAlign w:val="center"/>
          </w:tcPr>
          <w:p>
            <w:pPr>
              <w:keepLines/>
              <w:spacing w:lineRule="auto" w:line="276"/>
              <w:jc w:val="center"/>
            </w:pPr>
            <w:r>
              <w:rPr>
                <w:rFonts w:ascii="Times New Roman" w:hAnsi="Times New Roman" w:eastAsia="宋体"/>
                <w:b w:val="0"/>
                <w:sz w:val="18"/>
              </w:rPr>
              <w:t>1140</w:t>
            </w:r>
          </w:p>
        </w:tc>
        <w:tc>
          <w:tcPr>
            <w:tcW w:type="dxa" w:w="3168"/>
            <w:vAlign w:val="center"/>
          </w:tcPr>
          <w:p>
            <w:pPr>
              <w:keepLines/>
              <w:spacing w:lineRule="auto" w:line="276"/>
              <w:jc w:val="center"/>
            </w:pPr>
            <w:r>
              <w:rPr>
                <w:rFonts w:ascii="Times New Roman" w:hAnsi="Times New Roman" w:eastAsia="宋体"/>
                <w:b w:val="0"/>
                <w:sz w:val="18"/>
              </w:rPr>
              <w:t>按约10%计列</w:t>
            </w:r>
          </w:p>
        </w:tc>
      </w:tr>
      <w:tr>
        <w:trPr>
          <w:cantSplit/>
        </w:trPr>
        <w:tc>
          <w:tcPr>
            <w:tcW w:type="dxa" w:w="2880"/>
            <w:vAlign w:val="center"/>
          </w:tcPr>
          <w:p>
            <w:pPr>
              <w:keepLines/>
              <w:spacing w:lineRule="auto" w:line="276"/>
              <w:jc w:val="center"/>
            </w:pPr>
            <w:r>
              <w:rPr>
                <w:rFonts w:ascii="Times New Roman" w:hAnsi="Times New Roman" w:eastAsia="宋体"/>
                <w:b w:val="0"/>
                <w:sz w:val="18"/>
              </w:rPr>
              <w:t>合计</w:t>
            </w:r>
          </w:p>
        </w:tc>
        <w:tc>
          <w:tcPr>
            <w:tcW w:type="dxa" w:w="2304"/>
            <w:vAlign w:val="center"/>
          </w:tcPr>
          <w:p>
            <w:pPr>
              <w:keepLines/>
              <w:spacing w:lineRule="auto" w:line="276"/>
              <w:jc w:val="center"/>
            </w:pPr>
            <w:r>
              <w:rPr>
                <w:rFonts w:ascii="Times New Roman" w:hAnsi="Times New Roman" w:eastAsia="宋体"/>
                <w:b w:val="0"/>
                <w:sz w:val="18"/>
              </w:rPr>
              <w:t>12547</w:t>
            </w:r>
          </w:p>
        </w:tc>
        <w:tc>
          <w:tcPr>
            <w:tcW w:type="dxa" w:w="3168"/>
            <w:vAlign w:val="center"/>
          </w:tcPr>
          <w:p>
            <w:pPr>
              <w:keepLines/>
              <w:spacing w:lineRule="auto" w:line="276"/>
              <w:jc w:val="center"/>
            </w:pPr>
            <w:r>
              <w:rPr>
                <w:rFonts w:ascii="Times New Roman" w:hAnsi="Times New Roman" w:eastAsia="宋体"/>
                <w:b w:val="0"/>
                <w:sz w:val="18"/>
              </w:rPr>
              <w:t>约1.25亿元</w:t>
            </w:r>
          </w:p>
        </w:tc>
      </w:tr>
    </w:tbl>
    <w:p/>
    <w:p>
      <w:pPr>
        <w:spacing w:lineRule="auto" w:line="360" w:before="0" w:after="0"/>
        <w:ind w:firstLine="480"/>
      </w:pPr>
      <w:r>
        <w:rPr>
          <w:rFonts w:ascii="Times New Roman" w:hAnsi="Times New Roman" w:eastAsia="宋体"/>
          <w:sz w:val="24"/>
        </w:rPr>
        <w:t>分项费用汇总为：</w:t>
      </w:r>
    </w:p>
    <w:p>
      <w:pPr>
        <w:tabs>
          <w:tab w:pos="4100" w:val="center"/>
          <w:tab w:pos="8200" w:val="right"/>
        </w:tabs>
        <w:spacing w:lineRule="auto" w:line="360" w:before="0" w:after="0"/>
        <w:jc w:val="left"/>
      </w:pPr>
      <w:r>
        <w:tab/>
      </w:r>
      <m:oMath>
        <m:r>
          <m:t>C</m:t>
        </m:r>
        <m:r>
          <m:rPr>
            <m:sty m:val="p"/>
          </m:rPr>
          <m:t>=</m:t>
        </m:r>
        <m:r>
          <m:t>1267</m:t>
        </m:r>
        <m:r>
          <m:rPr>
            <m:sty m:val="p"/>
          </m:rPr>
          <m:t>+</m:t>
        </m:r>
        <m:r>
          <m:t>2150</m:t>
        </m:r>
        <m:r>
          <m:rPr>
            <m:sty m:val="p"/>
          </m:rPr>
          <m:t>+</m:t>
        </m:r>
        <m:r>
          <m:t>4800</m:t>
        </m:r>
        <m:r>
          <m:rPr>
            <m:sty m:val="p"/>
          </m:rPr>
          <m:t>+</m:t>
        </m:r>
        <m:r>
          <m:t>1650</m:t>
        </m:r>
        <m:r>
          <m:rPr>
            <m:sty m:val="p"/>
          </m:rPr>
          <m:t>+</m:t>
        </m:r>
        <m:r>
          <m:t>820</m:t>
        </m:r>
        <m:r>
          <m:rPr>
            <m:sty m:val="p"/>
          </m:rPr>
          <m:t>+</m:t>
        </m:r>
        <m:r>
          <m:t>720</m:t>
        </m:r>
        <m:r>
          <m:rPr>
            <m:sty m:val="p"/>
          </m:rPr>
          <m:t>+</m:t>
        </m:r>
        <m:r>
          <m:t>1140</m:t>
        </m:r>
        <m:r>
          <m:rPr>
            <m:sty m:val="p"/>
          </m:rPr>
          <m:t>=</m:t>
        </m:r>
        <m:r>
          <m:t>12</m:t>
        </m:r>
        <m:r>
          <m:rPr>
            <m:sty m:val="p"/>
          </m:rPr>
          <m:t>,</m:t>
        </m:r>
        <m:r>
          <m:t>547</m:t>
        </m:r>
        <m:r>
          <m:t> </m:t>
        </m:r>
        <m:r>
          <m:rPr>
            <m:sty m:val="p"/>
          </m:rPr>
          <m:t>万</m:t>
        </m:r>
        <m:r>
          <m:rPr>
            <m:sty m:val="p"/>
          </m:rPr>
          <m:t>元</m:t>
        </m:r>
      </m:oMath>
      <w:r>
        <w:rPr>
          <w:rFonts w:ascii="Times New Roman" w:hAnsi="Times New Roman" w:eastAsia="宋体"/>
          <w:sz w:val="24"/>
        </w:rPr>
        <w:tab/>
        <w:t>(7.12)</w:t>
      </w:r>
    </w:p>
    <w:p>
      <w:pPr>
        <w:spacing w:lineRule="auto" w:line="360" w:before="0" w:after="0"/>
        <w:ind w:firstLine="480"/>
      </w:pPr>
      <w:r>
        <w:rPr>
          <w:rFonts w:ascii="Times New Roman" w:hAnsi="Times New Roman" w:eastAsia="宋体"/>
          <w:sz w:val="24"/>
        </w:rPr>
        <w:t>为说明投资构成，按概算合计12547万元计算主要分项费用占比：</w:t>
      </w:r>
    </w:p>
    <w:p>
      <w:pPr>
        <w:tabs>
          <w:tab w:pos="4100" w:val="center"/>
          <w:tab w:pos="8200" w:val="right"/>
        </w:tabs>
        <w:spacing w:lineRule="auto" w:line="360" w:before="0" w:after="0"/>
        <w:jc w:val="left"/>
      </w:pPr>
      <w:r>
        <w:tab/>
      </w:r>
      <m:oMath>
        <m:sSub>
          <m:e>
            <m:r>
              <m:t>η</m:t>
            </m:r>
          </m:e>
          <m:sub>
            <m:r>
              <m:t>e</m:t>
            </m:r>
          </m:sub>
        </m:sSub>
        <m:r>
          <m:rPr>
            <m:sty m:val="p"/>
          </m:rPr>
          <m:t>=</m:t>
        </m:r>
        <m:f>
          <m:fPr>
            <m:type m:val="bar"/>
          </m:fPr>
          <m:num>
            <m:r>
              <m:t>4800</m:t>
            </m:r>
          </m:num>
          <m:den>
            <m:r>
              <m:t>12547</m:t>
            </m:r>
          </m:den>
        </m:f>
        <m:r>
          <m:rPr>
            <m:sty m:val="p"/>
          </m:rPr>
          <m:t>=</m:t>
        </m:r>
        <m:r>
          <m:t>38.3</m:t>
        </m:r>
        <m:r>
          <m:rPr>
            <m:sty m:val="p"/>
          </m:rPr>
          <m:t>%</m:t>
        </m:r>
      </m:oMath>
      <w:r>
        <w:rPr>
          <w:rFonts w:ascii="Times New Roman" w:hAnsi="Times New Roman" w:eastAsia="宋体"/>
          <w:sz w:val="24"/>
        </w:rPr>
        <w:tab/>
        <w:t>(7.13)</w:t>
      </w:r>
    </w:p>
    <w:p>
      <w:pPr>
        <w:tabs>
          <w:tab w:pos="4100" w:val="center"/>
          <w:tab w:pos="8200" w:val="right"/>
        </w:tabs>
        <w:spacing w:lineRule="auto" w:line="360" w:before="0" w:after="0"/>
        <w:jc w:val="left"/>
      </w:pPr>
      <w:r>
        <w:tab/>
      </w:r>
      <m:oMath>
        <m:sSub>
          <m:e>
            <m:r>
              <m:t>η</m:t>
            </m:r>
          </m:e>
          <m:sub>
            <m:r>
              <m:t>s</m:t>
            </m:r>
          </m:sub>
        </m:sSub>
        <m:r>
          <m:rPr>
            <m:sty m:val="p"/>
          </m:rPr>
          <m:t>=</m:t>
        </m:r>
        <m:f>
          <m:fPr>
            <m:type m:val="bar"/>
          </m:fPr>
          <m:num>
            <m:r>
              <m:t>1267</m:t>
            </m:r>
            <m:r>
              <m:rPr>
                <m:sty m:val="p"/>
              </m:rPr>
              <m:t>+</m:t>
            </m:r>
            <m:r>
              <m:t>2150</m:t>
            </m:r>
          </m:num>
          <m:den>
            <m:r>
              <m:t>12547</m:t>
            </m:r>
          </m:den>
        </m:f>
        <m:r>
          <m:rPr>
            <m:sty m:val="p"/>
          </m:rPr>
          <m:t>=</m:t>
        </m:r>
        <m:r>
          <m:t>27.2</m:t>
        </m:r>
        <m:r>
          <m:rPr>
            <m:sty m:val="p"/>
          </m:rPr>
          <m:t>%</m:t>
        </m:r>
      </m:oMath>
      <w:r>
        <w:rPr>
          <w:rFonts w:ascii="Times New Roman" w:hAnsi="Times New Roman" w:eastAsia="宋体"/>
          <w:sz w:val="24"/>
        </w:rPr>
        <w:tab/>
        <w:t>(7.14)</w:t>
      </w:r>
    </w:p>
    <w:p>
      <w:pPr>
        <w:tabs>
          <w:tab w:pos="4100" w:val="center"/>
          <w:tab w:pos="8200" w:val="right"/>
        </w:tabs>
        <w:spacing w:lineRule="auto" w:line="360" w:before="0" w:after="0"/>
        <w:jc w:val="left"/>
      </w:pPr>
      <w:r>
        <w:tab/>
      </w:r>
      <m:oMath>
        <m:sSub>
          <m:e>
            <m:r>
              <m:t>η</m:t>
            </m:r>
          </m:e>
          <m:sub>
            <m:r>
              <m:t>r</m:t>
            </m:r>
          </m:sub>
        </m:sSub>
        <m:r>
          <m:rPr>
            <m:sty m:val="p"/>
          </m:rPr>
          <m:t>=</m:t>
        </m:r>
        <m:f>
          <m:fPr>
            <m:type m:val="bar"/>
          </m:fPr>
          <m:num>
            <m:r>
              <m:t>1140</m:t>
            </m:r>
          </m:num>
          <m:den>
            <m:r>
              <m:t>12547</m:t>
            </m:r>
          </m:den>
        </m:f>
        <m:r>
          <m:rPr>
            <m:sty m:val="p"/>
          </m:rPr>
          <m:t>=</m:t>
        </m:r>
        <m:r>
          <m:t>9.1</m:t>
        </m:r>
        <m:r>
          <m:rPr>
            <m:sty m:val="p"/>
          </m:rPr>
          <m:t>%</m:t>
        </m:r>
      </m:oMath>
      <w:r>
        <w:rPr>
          <w:rFonts w:ascii="Times New Roman" w:hAnsi="Times New Roman" w:eastAsia="宋体"/>
          <w:sz w:val="24"/>
        </w:rPr>
        <w:tab/>
        <w:t>(7.15)</w:t>
      </w:r>
    </w:p>
    <w:p>
      <w:pPr>
        <w:spacing w:lineRule="auto" w:line="360" w:before="0" w:after="0"/>
        <w:ind w:firstLine="480"/>
      </w:pPr>
      <w:r>
        <w:rPr>
          <w:rFonts w:ascii="Times New Roman" w:hAnsi="Times New Roman" w:eastAsia="宋体"/>
          <w:sz w:val="24"/>
        </w:rPr>
        <w:t>费用占比表明，装卸设备和水工结构是投资控制重点，施工图阶段应分别通过设备招标参数和结构工程量清单进行校核。</w:t>
      </w:r>
    </w:p>
    <w:p>
      <w:pPr>
        <w:pStyle w:val="3"/>
        <w:jc w:val="left"/>
      </w:pPr>
      <w:r>
        <w:rPr>
          <w:rFonts w:ascii="Times New Roman" w:hAnsi="Times New Roman" w:eastAsia="宋体"/>
          <w:b/>
          <w:sz w:val="24"/>
        </w:rPr>
        <w:t xml:space="preserve"> 总投资估算</w:t>
      </w:r>
    </w:p>
    <w:p>
      <w:pPr>
        <w:spacing w:lineRule="auto" w:line="360" w:before="0" w:after="0"/>
        <w:ind w:firstLine="480"/>
      </w:pPr>
      <w:r>
        <w:rPr>
          <w:rFonts w:ascii="Times New Roman" w:hAnsi="Times New Roman" w:eastAsia="宋体"/>
          <w:sz w:val="24"/>
        </w:rPr>
        <w:t>本工程初步估算总投资约1.25亿元。其中装卸设备和上部结构费用占比较高，是投资控制重点。高桩梁板式方案减少了大规模地基处理和沉箱预制费用，有利于控制软土地基条件下的总体投资。</w:t>
      </w:r>
    </w:p>
    <w:p>
      <w:pPr>
        <w:pStyle w:val="2"/>
        <w:jc w:val="left"/>
      </w:pPr>
      <w:r>
        <w:rPr>
          <w:rFonts w:ascii="Times New Roman" w:hAnsi="Times New Roman" w:eastAsia="宋体"/>
          <w:b/>
          <w:sz w:val="24"/>
        </w:rPr>
        <w:t xml:space="preserve"> 施工组织建议</w:t>
      </w:r>
    </w:p>
    <w:p>
      <w:pPr>
        <w:pStyle w:val="3"/>
        <w:jc w:val="left"/>
      </w:pPr>
      <w:r>
        <w:rPr>
          <w:rFonts w:ascii="Times New Roman" w:hAnsi="Times New Roman" w:eastAsia="宋体"/>
          <w:b/>
          <w:sz w:val="24"/>
        </w:rPr>
        <w:t xml:space="preserve"> 施工顺序</w:t>
      </w:r>
    </w:p>
    <w:p>
      <w:pPr>
        <w:spacing w:before="120" w:after="0"/>
        <w:jc w:val="center"/>
      </w:pPr>
      <w:r>
        <w:drawing>
          <wp:inline xmlns:a="http://schemas.openxmlformats.org/drawingml/2006/main" xmlns:pic="http://schemas.openxmlformats.org/drawingml/2006/picture">
            <wp:extent cx="5212080" cy="2141294"/>
            <wp:docPr id="14" name="Picture 14"/>
            <wp:cNvGraphicFramePr>
              <a:graphicFrameLocks noChangeAspect="1"/>
            </wp:cNvGraphicFramePr>
            <a:graphic>
              <a:graphicData uri="http://schemas.openxmlformats.org/drawingml/2006/picture">
                <pic:pic>
                  <pic:nvPicPr>
                    <pic:cNvPr id="0" name="fig7-1-construction-sequence.png"/>
                    <pic:cNvPicPr/>
                  </pic:nvPicPr>
                  <pic:blipFill>
                    <a:blip r:embed="rId42"/>
                    <a:stretch>
                      <a:fillRect/>
                    </a:stretch>
                  </pic:blipFill>
                  <pic:spPr>
                    <a:xfrm>
                      <a:off x="0" y="0"/>
                      <a:ext cx="5212080" cy="2141294"/>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图7-1 高桩煤码头主要施工流程</w:t>
      </w:r>
    </w:p>
    <w:p>
      <w:pPr>
        <w:spacing w:lineRule="auto" w:line="360" w:before="0" w:after="0"/>
        <w:ind w:firstLine="480"/>
      </w:pPr>
      <w:r>
        <w:rPr>
          <w:rFonts w:ascii="Times New Roman" w:hAnsi="Times New Roman" w:eastAsia="宋体"/>
          <w:sz w:val="24"/>
        </w:rPr>
        <w:t>施工顺序建议为：施工测量与临设布置、试桩及沉桩参数复核、PHC管桩沉桩、桩头处理、横梁和桩帽现浇、预制纵梁和面板安装、现浇节点及面层施工、轨道和装卸设备安装、堆场及辅助设施施工、系统联动调试与验收。水上作业与陆域堆场施工可适当平行组织，但轨道梁、卸船机安装和系统联动调试必须在上部结构强度、轨道精度和供配电条件满足要求后进行。</w:t>
      </w:r>
    </w:p>
    <w:p>
      <w:pPr>
        <w:spacing w:lineRule="auto" w:line="360" w:before="0" w:after="0"/>
        <w:ind w:firstLine="480"/>
      </w:pPr>
      <w:r>
        <w:rPr>
          <w:rFonts w:ascii="Times New Roman" w:hAnsi="Times New Roman" w:eastAsia="宋体"/>
          <w:sz w:val="24"/>
        </w:rPr>
        <w:t>图7-1按高桩梁板式方案的典型施工顺序组织。施工过程应先通过试桩确定沉桩控制参数，再展开排架桩基施工；上部结构采用预制与现浇结合，可减少水上现浇时间并提高施工质量。</w:t>
      </w:r>
    </w:p>
    <w:p>
      <w:pPr>
        <w:pStyle w:val="3"/>
        <w:jc w:val="left"/>
      </w:pPr>
      <w:r>
        <w:rPr>
          <w:rFonts w:ascii="Times New Roman" w:hAnsi="Times New Roman" w:eastAsia="宋体"/>
          <w:b/>
          <w:sz w:val="24"/>
        </w:rPr>
        <w:t xml:space="preserve"> 主要施工方法</w:t>
      </w:r>
    </w:p>
    <w:p>
      <w:pPr>
        <w:spacing w:lineRule="auto" w:line="360" w:before="0" w:after="0"/>
        <w:ind w:firstLine="480"/>
      </w:pPr>
      <w:r>
        <w:rPr>
          <w:rFonts w:ascii="Times New Roman" w:hAnsi="Times New Roman" w:eastAsia="宋体"/>
          <w:sz w:val="24"/>
        </w:rPr>
        <w:t>桩基施工采用打桩船或水上沉桩设备进行，沉桩前应完成桩位测量、试桩和施工参数复核，沉桩过程中控制桩位、垂直度、贯入度和终锤标准，发现持力层起伏明显时应及时调整桩长或采取桩端加强措施。上部结构采用预制与现浇结合方式，纵梁和面板尽量预制，以减少水上现浇工作量；桩帽、横梁节点、轨道梁和靠船构件采用现浇连接，确保整体传力。装卸设备安装应在轨道梁强度和轨道精度验收合格后进行。</w:t>
      </w:r>
    </w:p>
    <w:p>
      <w:pPr>
        <w:spacing w:lineRule="auto" w:line="360" w:before="0" w:after="0"/>
        <w:ind w:firstLine="480"/>
      </w:pPr>
      <w:r>
        <w:rPr>
          <w:rFonts w:ascii="Times New Roman" w:hAnsi="Times New Roman" w:eastAsia="宋体"/>
          <w:sz w:val="24"/>
        </w:rPr>
        <w:t>高桩方案施工的关键质量点包括桩位偏差、桩身垂直度、终锤标准、桩头处理、横梁节点浇筑质量和轨道梁安装精度。沉桩完成后应及时复测桩顶坐标和标高，偏差较大的桩位需在横梁和桩帽施工前提出处理措施。</w:t>
      </w:r>
    </w:p>
    <w:p>
      <w:pPr>
        <w:spacing w:lineRule="auto" w:line="360" w:before="0" w:after="0"/>
        <w:ind w:firstLine="480"/>
      </w:pPr>
      <w:r>
        <w:rPr>
          <w:rFonts w:ascii="Times New Roman" w:hAnsi="Times New Roman" w:eastAsia="宋体"/>
          <w:sz w:val="24"/>
        </w:rPr>
        <w:t>施工方法除说明流程外，还应给出生产率估算。按132根PHC管桩、桩基施工期约75个有效作业日计算，平均沉桩生产率为：</w:t>
      </w:r>
    </w:p>
    <w:p>
      <w:pPr>
        <w:tabs>
          <w:tab w:pos="4100" w:val="center"/>
          <w:tab w:pos="8200" w:val="right"/>
        </w:tabs>
        <w:spacing w:lineRule="auto" w:line="360" w:before="0" w:after="0"/>
        <w:jc w:val="left"/>
      </w:pPr>
      <w:r>
        <w:tab/>
      </w:r>
      <m:oMath>
        <m:sSub>
          <m:e>
            <m:r>
              <m:t>P</m:t>
            </m:r>
          </m:e>
          <m:sub>
            <m:r>
              <m:t>p</m:t>
            </m:r>
          </m:sub>
        </m:sSub>
        <m:r>
          <m:rPr>
            <m:sty m:val="p"/>
          </m:rPr>
          <m:t>=</m:t>
        </m:r>
        <m:f>
          <m:fPr>
            <m:type m:val="bar"/>
          </m:fPr>
          <m:num>
            <m:r>
              <m:t>132</m:t>
            </m:r>
          </m:num>
          <m:den>
            <m:r>
              <m:t>75</m:t>
            </m:r>
          </m:den>
        </m:f>
        <m:r>
          <m:rPr>
            <m:sty m:val="p"/>
          </m:rPr>
          <m:t>=</m:t>
        </m:r>
        <m:r>
          <m:t>1.76</m:t>
        </m:r>
        <m:r>
          <m:t> </m:t>
        </m:r>
        <m:r>
          <m:rPr>
            <m:sty m:val="p"/>
          </m:rPr>
          <m:t>根</m:t>
        </m:r>
        <m:r>
          <m:rPr>
            <m:sty m:val="p"/>
          </m:rPr>
          <m:t>/</m:t>
        </m:r>
        <m:r>
          <m:rPr>
            <m:sty m:val="p"/>
          </m:rPr>
          <m:t>d</m:t>
        </m:r>
      </m:oMath>
      <w:r>
        <w:rPr>
          <w:rFonts w:ascii="Times New Roman" w:hAnsi="Times New Roman" w:eastAsia="宋体"/>
          <w:sz w:val="24"/>
        </w:rPr>
        <w:tab/>
        <w:t>(7.16)</w:t>
      </w:r>
    </w:p>
    <w:p>
      <w:pPr>
        <w:tabs>
          <w:tab w:pos="4100" w:val="center"/>
          <w:tab w:pos="8200" w:val="right"/>
        </w:tabs>
        <w:spacing w:lineRule="auto" w:line="360" w:before="0" w:after="0"/>
        <w:jc w:val="left"/>
      </w:pPr>
      <w:r>
        <w:tab/>
      </w:r>
      <m:oMath>
        <m:sSub>
          <m:e>
            <m:r>
              <m:t>P</m:t>
            </m:r>
          </m:e>
          <m:sub>
            <m:r>
              <m:t>l</m:t>
            </m:r>
          </m:sub>
        </m:sSub>
        <m:r>
          <m:rPr>
            <m:sty m:val="p"/>
          </m:rPr>
          <m:t>=</m:t>
        </m:r>
        <m:f>
          <m:fPr>
            <m:type m:val="bar"/>
          </m:fPr>
          <m:num>
            <m:r>
              <m:t>4224</m:t>
            </m:r>
          </m:num>
          <m:den>
            <m:r>
              <m:t>75</m:t>
            </m:r>
          </m:den>
        </m:f>
        <m:r>
          <m:rPr>
            <m:sty m:val="p"/>
          </m:rPr>
          <m:t>=</m:t>
        </m:r>
        <m:r>
          <m:t>56.3</m:t>
        </m:r>
        <m:r>
          <m:t> </m:t>
        </m:r>
        <m:r>
          <m:rPr>
            <m:sty m:val="p"/>
          </m:rPr>
          <m:t>m</m:t>
        </m:r>
        <m:r>
          <m:rPr>
            <m:sty m:val="p"/>
          </m:rPr>
          <m:t>/</m:t>
        </m:r>
        <m:r>
          <m:rPr>
            <m:sty m:val="p"/>
          </m:rPr>
          <m:t>d</m:t>
        </m:r>
      </m:oMath>
      <w:r>
        <w:rPr>
          <w:rFonts w:ascii="Times New Roman" w:hAnsi="Times New Roman" w:eastAsia="宋体"/>
          <w:sz w:val="24"/>
        </w:rPr>
        <w:tab/>
        <w:t>(7.17)</w:t>
      </w:r>
    </w:p>
    <w:p>
      <w:pPr>
        <w:spacing w:lineRule="auto" w:line="360" w:before="0" w:after="0"/>
        <w:ind w:firstLine="480"/>
      </w:pPr>
      <w:r>
        <w:rPr>
          <w:rFonts w:ascii="Times New Roman" w:hAnsi="Times New Roman" w:eastAsia="宋体"/>
          <w:sz w:val="24"/>
        </w:rPr>
        <w:t>该生产率与常规水上沉桩组织相匹配，若遇台风、长浪或持力层起伏较大，应预留10%至15%的工期机动。</w:t>
      </w:r>
    </w:p>
    <w:p>
      <w:pPr>
        <w:pStyle w:val="3"/>
        <w:jc w:val="left"/>
      </w:pPr>
      <w:r>
        <w:rPr>
          <w:rFonts w:ascii="Times New Roman" w:hAnsi="Times New Roman" w:eastAsia="宋体"/>
          <w:b/>
          <w:sz w:val="24"/>
        </w:rPr>
        <w:t xml:space="preserve"> 施工进度安排</w:t>
      </w:r>
    </w:p>
    <w:p>
      <w:pPr>
        <w:spacing w:lineRule="auto" w:line="360" w:before="0" w:after="0"/>
        <w:ind w:firstLine="480"/>
      </w:pPr>
      <w:r>
        <w:rPr>
          <w:rFonts w:ascii="Times New Roman" w:hAnsi="Times New Roman" w:eastAsia="宋体"/>
          <w:sz w:val="24"/>
        </w:rPr>
        <w:t>初步建议施工总工期约12个月，其中施工准备1个月，桩基施工3个月，上部结构施工4个月，堆场与辅助工程2个月，设备安装和调试2个月。施工期应避开台风高发时段安排关键水上作业，台风季前优先完成临时系泊、施工船舶避风、材料堆存和半成品保护安排。</w:t>
      </w:r>
    </w:p>
    <w:p>
      <w:pPr>
        <w:spacing w:lineRule="auto" w:line="360" w:before="0" w:after="0"/>
        <w:ind w:firstLine="480"/>
      </w:pPr>
      <w:r>
        <w:rPr>
          <w:rFonts w:ascii="Times New Roman" w:hAnsi="Times New Roman" w:eastAsia="宋体"/>
          <w:sz w:val="24"/>
        </w:rPr>
        <w:t>施工进度安排应结合台风季和水上作业窗口。桩基施工、梁板吊装和设备安装对天气敏感，应尽量避开台风频发月份安排关键节点；堆场道路、排水沟和辅助建筑物可与部分水工结构平行施工，以缩短总工期。</w:t>
      </w:r>
    </w:p>
    <w:p>
      <w:pPr>
        <w:spacing w:lineRule="auto" w:line="360" w:before="0" w:after="0"/>
        <w:ind w:firstLine="480"/>
      </w:pPr>
      <w:r>
        <w:rPr>
          <w:rFonts w:ascii="Times New Roman" w:hAnsi="Times New Roman" w:eastAsia="宋体"/>
          <w:sz w:val="24"/>
        </w:rPr>
        <w:t>按施工准备、桩基、上部结构、堆场辅助和设备调试五类工作估算总工期，并考虑部分平行作业压缩时间：</w:t>
      </w:r>
    </w:p>
    <w:p>
      <w:pPr>
        <w:tabs>
          <w:tab w:pos="4100" w:val="center"/>
          <w:tab w:pos="8200" w:val="right"/>
        </w:tabs>
        <w:spacing w:lineRule="auto" w:line="360" w:before="0" w:after="0"/>
        <w:jc w:val="left"/>
      </w:pPr>
      <w:r>
        <w:tab/>
      </w:r>
      <m:oMath>
        <m:r>
          <m:t>T</m:t>
        </m:r>
        <m:r>
          <m:t>1</m:t>
        </m:r>
        <m:r>
          <m:rPr>
            <m:sty m:val="p"/>
          </m:rPr>
          <m:t>=</m:t>
        </m:r>
        <m:r>
          <m:t>1</m:t>
        </m:r>
        <m:r>
          <m:rPr>
            <m:sty m:val="p"/>
          </m:rPr>
          <m:t>+</m:t>
        </m:r>
        <m:r>
          <m:t>3</m:t>
        </m:r>
        <m:r>
          <m:rPr>
            <m:sty m:val="p"/>
          </m:rPr>
          <m:t>+</m:t>
        </m:r>
        <m:r>
          <m:t>4</m:t>
        </m:r>
        <m:r>
          <m:rPr>
            <m:sty m:val="p"/>
          </m:rPr>
          <m:t>+</m:t>
        </m:r>
        <m:r>
          <m:t>2</m:t>
        </m:r>
        <m:r>
          <m:rPr>
            <m:sty m:val="p"/>
          </m:rPr>
          <m:t>+</m:t>
        </m:r>
        <m:r>
          <m:t>2</m:t>
        </m:r>
        <m:r>
          <m:rPr>
            <m:sty m:val="p"/>
          </m:rPr>
          <m:t>=</m:t>
        </m:r>
        <m:r>
          <m:t>12</m:t>
        </m:r>
        <m:r>
          <m:t> </m:t>
        </m:r>
        <m:r>
          <m:rPr>
            <m:sty m:val="p"/>
          </m:rPr>
          <m:t>月</m:t>
        </m:r>
      </m:oMath>
      <w:r>
        <w:rPr>
          <w:rFonts w:ascii="Times New Roman" w:hAnsi="Times New Roman" w:eastAsia="宋体"/>
          <w:sz w:val="24"/>
        </w:rPr>
        <w:tab/>
        <w:t>(7.18)</w:t>
      </w:r>
    </w:p>
    <w:p>
      <w:pPr>
        <w:tabs>
          <w:tab w:pos="4100" w:val="center"/>
          <w:tab w:pos="8200" w:val="right"/>
        </w:tabs>
        <w:spacing w:lineRule="auto" w:line="360" w:before="0" w:after="0"/>
        <w:jc w:val="left"/>
      </w:pPr>
      <w:r>
        <w:tab/>
      </w:r>
      <m:oMath>
        <m:r>
          <m:t>T</m:t>
        </m:r>
        <m:r>
          <m:t>2</m:t>
        </m:r>
        <m:r>
          <m:rPr>
            <m:sty m:val="p"/>
          </m:rPr>
          <m:t>=</m:t>
        </m:r>
        <m:r>
          <m:t>12</m:t>
        </m:r>
        <m:r>
          <m:rPr>
            <m:sty m:val="p"/>
          </m:rPr>
          <m:t>−</m:t>
        </m:r>
        <m:r>
          <m:t>1</m:t>
        </m:r>
        <m:r>
          <m:rPr>
            <m:sty m:val="p"/>
          </m:rPr>
          <m:t>=</m:t>
        </m:r>
        <m:r>
          <m:t>11</m:t>
        </m:r>
        <m:r>
          <m:t> </m:t>
        </m:r>
        <m:r>
          <m:rPr>
            <m:sty m:val="p"/>
          </m:rPr>
          <m:t>月</m:t>
        </m:r>
      </m:oMath>
      <w:r>
        <w:rPr>
          <w:rFonts w:ascii="Times New Roman" w:hAnsi="Times New Roman" w:eastAsia="宋体"/>
          <w:sz w:val="24"/>
        </w:rPr>
        <w:tab/>
        <w:t>(7.19)</w:t>
      </w:r>
    </w:p>
    <w:p>
      <w:pPr>
        <w:spacing w:lineRule="auto" w:line="360" w:before="0" w:after="0"/>
        <w:ind w:firstLine="480"/>
      </w:pPr>
      <w:r>
        <w:rPr>
          <w:rFonts w:ascii="Times New Roman" w:hAnsi="Times New Roman" w:eastAsia="宋体"/>
          <w:sz w:val="24"/>
        </w:rPr>
        <w:t>考虑台风季、设备到货和水上作业窗口的不确定性，初步设计仍按12个月控制较稳妥，其中设备安装调试和轨道精调应作为关键线路管理。</w:t>
      </w:r>
    </w:p>
    <w:p>
      <w:pPr>
        <w:pStyle w:val="3"/>
        <w:jc w:val="left"/>
      </w:pPr>
      <w:r>
        <w:rPr>
          <w:rFonts w:ascii="Times New Roman" w:hAnsi="Times New Roman" w:eastAsia="宋体"/>
          <w:b/>
          <w:sz w:val="24"/>
        </w:rPr>
        <w:t xml:space="preserve"> 临时工程与施工交通</w:t>
      </w:r>
    </w:p>
    <w:p>
      <w:pPr>
        <w:spacing w:lineRule="auto" w:line="360" w:before="0" w:after="0"/>
        <w:ind w:firstLine="480"/>
      </w:pPr>
      <w:r>
        <w:rPr>
          <w:rFonts w:ascii="Times New Roman" w:hAnsi="Times New Roman" w:eastAsia="宋体"/>
          <w:sz w:val="24"/>
        </w:rPr>
        <w:t>施工临时工程包括施工栈桥或临时靠泊点、材料堆场、预制构件临时存放区、施工用电用水、排水沟和沉淀池等。PHC管桩、预制梁板和钢筋混凝土材料宜分区堆放，重型构件运输路线应与港区永久道路和堆场硬化施工协调，避免交叉作业影响沉桩船、吊装设备和混凝土运输。施工期间应设置水上交通警戒和临时航标，保持施工水域与运营或通航水域边界清晰。</w:t>
      </w:r>
    </w:p>
    <w:p>
      <w:pPr>
        <w:spacing w:lineRule="auto" w:line="360" w:before="0" w:after="0"/>
        <w:ind w:firstLine="480"/>
      </w:pPr>
      <w:r>
        <w:rPr>
          <w:rFonts w:ascii="Times New Roman" w:hAnsi="Times New Roman" w:eastAsia="宋体"/>
          <w:sz w:val="24"/>
        </w:rPr>
        <w:t>临时交通组织要服务于重型构件运输和水上施工设备进出。PHC管桩、预制梁板和轨道构件应设置专用堆放区，混凝土运输路线应避开沉桩和吊装作业范围，临时道路承载力应满足大型车辆和吊装设备通行要求。</w:t>
      </w:r>
    </w:p>
    <w:p>
      <w:pPr>
        <w:pStyle w:val="2"/>
        <w:jc w:val="left"/>
      </w:pPr>
      <w:r>
        <w:rPr>
          <w:rFonts w:ascii="Times New Roman" w:hAnsi="Times New Roman" w:eastAsia="宋体"/>
          <w:b/>
          <w:sz w:val="24"/>
        </w:rPr>
        <w:t xml:space="preserve"> 质量、安全与环保控制措施</w:t>
      </w:r>
    </w:p>
    <w:p>
      <w:pPr>
        <w:spacing w:lineRule="auto" w:line="360" w:before="0" w:after="0"/>
        <w:ind w:firstLine="480"/>
      </w:pPr>
      <w:r>
        <w:rPr>
          <w:rFonts w:ascii="Times New Roman" w:hAnsi="Times New Roman" w:eastAsia="宋体"/>
          <w:sz w:val="24"/>
        </w:rPr>
        <w:t>桩基施工应控制桩位偏差、贯入度、终锤标准和桩身完整性，并复核桩端进入持力层、桩端加强和桩顶连接构造；混凝土施工应控制强度等级、保护层厚度、振捣质量、养护条件和浪溅区耐久性措施；设备安装应重点控制轨道平顺度、皮带机中心线、转运站落料点和电气联锁。水上施工应设置警戒区，台风和大风天气停止作业。施工期含泥含煤污水、混凝土养护废水和冲洗水应收集沉淀后回用或达标排放，散装材料和煤尘易扬散部位应采取覆盖、洒水和围挡措施。</w:t>
      </w:r>
    </w:p>
    <w:p>
      <w:pPr>
        <w:keepNext/>
        <w:pageBreakBefore/>
        <w:spacing w:lineRule="auto" w:line="300" w:before="0" w:after="120"/>
        <w:jc w:val="center"/>
      </w:pPr>
      <w:r>
        <w:rPr>
          <w:rFonts w:ascii="Times New Roman" w:hAnsi="Times New Roman" w:eastAsia="宋体"/>
          <w:b w:val="0"/>
          <w:sz w:val="20"/>
        </w:rPr>
        <w:t>表7-4 施工质量与安全控制要点</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448"/>
        <w:gridCol w:w="3024"/>
        <w:gridCol w:w="2880"/>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控制对象</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控制内容</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复核要求</w:t>
            </w:r>
          </w:p>
        </w:tc>
      </w:tr>
      <w:tr>
        <w:trPr>
          <w:cantSplit/>
        </w:trPr>
        <w:tc>
          <w:tcPr>
            <w:tcW w:type="dxa" w:w="2448"/>
            <w:vAlign w:val="center"/>
          </w:tcPr>
          <w:p>
            <w:pPr>
              <w:keepLines/>
              <w:spacing w:lineRule="auto" w:line="276"/>
              <w:jc w:val="center"/>
            </w:pPr>
            <w:r>
              <w:rPr>
                <w:rFonts w:ascii="Times New Roman" w:hAnsi="Times New Roman" w:eastAsia="宋体"/>
                <w:b w:val="0"/>
                <w:sz w:val="18"/>
              </w:rPr>
              <w:t>PHC管桩</w:t>
            </w:r>
          </w:p>
        </w:tc>
        <w:tc>
          <w:tcPr>
            <w:tcW w:type="dxa" w:w="3024"/>
            <w:vAlign w:val="center"/>
          </w:tcPr>
          <w:p>
            <w:pPr>
              <w:keepLines/>
              <w:spacing w:lineRule="auto" w:line="276"/>
              <w:jc w:val="center"/>
            </w:pPr>
            <w:r>
              <w:rPr>
                <w:rFonts w:ascii="Times New Roman" w:hAnsi="Times New Roman" w:eastAsia="宋体"/>
                <w:b w:val="0"/>
                <w:sz w:val="18"/>
              </w:rPr>
              <w:t>桩位、垂直度、贯入度、终锤标准</w:t>
            </w:r>
          </w:p>
        </w:tc>
        <w:tc>
          <w:tcPr>
            <w:tcW w:type="dxa" w:w="2880"/>
            <w:vAlign w:val="center"/>
          </w:tcPr>
          <w:p>
            <w:pPr>
              <w:keepLines/>
              <w:spacing w:lineRule="auto" w:line="276"/>
              <w:jc w:val="center"/>
            </w:pPr>
            <w:r>
              <w:rPr>
                <w:rFonts w:ascii="Times New Roman" w:hAnsi="Times New Roman" w:eastAsia="宋体"/>
                <w:b w:val="0"/>
                <w:sz w:val="18"/>
              </w:rPr>
              <w:t>试桩、沉桩记录和桩身完整性检测</w:t>
            </w:r>
          </w:p>
        </w:tc>
      </w:tr>
      <w:tr>
        <w:trPr>
          <w:cantSplit/>
        </w:trPr>
        <w:tc>
          <w:tcPr>
            <w:tcW w:type="dxa" w:w="2448"/>
            <w:vAlign w:val="center"/>
          </w:tcPr>
          <w:p>
            <w:pPr>
              <w:keepLines/>
              <w:spacing w:lineRule="auto" w:line="276"/>
              <w:jc w:val="center"/>
            </w:pPr>
            <w:r>
              <w:rPr>
                <w:rFonts w:ascii="Times New Roman" w:hAnsi="Times New Roman" w:eastAsia="宋体"/>
                <w:b w:val="0"/>
                <w:sz w:val="18"/>
              </w:rPr>
              <w:t>桩顶节点</w:t>
            </w:r>
          </w:p>
        </w:tc>
        <w:tc>
          <w:tcPr>
            <w:tcW w:type="dxa" w:w="3024"/>
            <w:vAlign w:val="center"/>
          </w:tcPr>
          <w:p>
            <w:pPr>
              <w:keepLines/>
              <w:spacing w:lineRule="auto" w:line="276"/>
              <w:jc w:val="center"/>
            </w:pPr>
            <w:r>
              <w:rPr>
                <w:rFonts w:ascii="Times New Roman" w:hAnsi="Times New Roman" w:eastAsia="宋体"/>
                <w:b w:val="0"/>
                <w:sz w:val="18"/>
              </w:rPr>
              <w:t>桩芯混凝土、嵌入长度、锚固钢筋</w:t>
            </w:r>
          </w:p>
        </w:tc>
        <w:tc>
          <w:tcPr>
            <w:tcW w:type="dxa" w:w="2880"/>
            <w:vAlign w:val="center"/>
          </w:tcPr>
          <w:p>
            <w:pPr>
              <w:keepLines/>
              <w:spacing w:lineRule="auto" w:line="276"/>
              <w:jc w:val="center"/>
            </w:pPr>
            <w:r>
              <w:rPr>
                <w:rFonts w:ascii="Times New Roman" w:hAnsi="Times New Roman" w:eastAsia="宋体"/>
                <w:b w:val="0"/>
                <w:sz w:val="18"/>
              </w:rPr>
              <w:t>与桩帽或横梁整体连接</w:t>
            </w:r>
          </w:p>
        </w:tc>
      </w:tr>
      <w:tr>
        <w:trPr>
          <w:cantSplit/>
        </w:trPr>
        <w:tc>
          <w:tcPr>
            <w:tcW w:type="dxa" w:w="2448"/>
            <w:vAlign w:val="center"/>
          </w:tcPr>
          <w:p>
            <w:pPr>
              <w:keepLines/>
              <w:spacing w:lineRule="auto" w:line="276"/>
              <w:jc w:val="center"/>
            </w:pPr>
            <w:r>
              <w:rPr>
                <w:rFonts w:ascii="Times New Roman" w:hAnsi="Times New Roman" w:eastAsia="宋体"/>
                <w:b w:val="0"/>
                <w:sz w:val="18"/>
              </w:rPr>
              <w:t>上部结构</w:t>
            </w:r>
          </w:p>
        </w:tc>
        <w:tc>
          <w:tcPr>
            <w:tcW w:type="dxa" w:w="3024"/>
            <w:vAlign w:val="center"/>
          </w:tcPr>
          <w:p>
            <w:pPr>
              <w:keepLines/>
              <w:spacing w:lineRule="auto" w:line="276"/>
              <w:jc w:val="center"/>
            </w:pPr>
            <w:r>
              <w:rPr>
                <w:rFonts w:ascii="Times New Roman" w:hAnsi="Times New Roman" w:eastAsia="宋体"/>
                <w:b w:val="0"/>
                <w:sz w:val="18"/>
              </w:rPr>
              <w:t>混凝土强度、保护层、振捣和养护</w:t>
            </w:r>
          </w:p>
        </w:tc>
        <w:tc>
          <w:tcPr>
            <w:tcW w:type="dxa" w:w="2880"/>
            <w:vAlign w:val="center"/>
          </w:tcPr>
          <w:p>
            <w:pPr>
              <w:keepLines/>
              <w:spacing w:lineRule="auto" w:line="276"/>
              <w:jc w:val="center"/>
            </w:pPr>
            <w:r>
              <w:rPr>
                <w:rFonts w:ascii="Times New Roman" w:hAnsi="Times New Roman" w:eastAsia="宋体"/>
                <w:b w:val="0"/>
                <w:sz w:val="18"/>
              </w:rPr>
              <w:t>浪溅区耐久性重点检查</w:t>
            </w:r>
          </w:p>
        </w:tc>
      </w:tr>
      <w:tr>
        <w:trPr>
          <w:cantSplit/>
        </w:trPr>
        <w:tc>
          <w:tcPr>
            <w:tcW w:type="dxa" w:w="2448"/>
            <w:vAlign w:val="center"/>
          </w:tcPr>
          <w:p>
            <w:pPr>
              <w:keepLines/>
              <w:spacing w:lineRule="auto" w:line="276"/>
              <w:jc w:val="center"/>
            </w:pPr>
            <w:r>
              <w:rPr>
                <w:rFonts w:ascii="Times New Roman" w:hAnsi="Times New Roman" w:eastAsia="宋体"/>
                <w:b w:val="0"/>
                <w:sz w:val="18"/>
              </w:rPr>
              <w:t>轨道与设备</w:t>
            </w:r>
          </w:p>
        </w:tc>
        <w:tc>
          <w:tcPr>
            <w:tcW w:type="dxa" w:w="3024"/>
            <w:vAlign w:val="center"/>
          </w:tcPr>
          <w:p>
            <w:pPr>
              <w:keepLines/>
              <w:spacing w:lineRule="auto" w:line="276"/>
              <w:jc w:val="center"/>
            </w:pPr>
            <w:r>
              <w:rPr>
                <w:rFonts w:ascii="Times New Roman" w:hAnsi="Times New Roman" w:eastAsia="宋体"/>
                <w:b w:val="0"/>
                <w:sz w:val="18"/>
              </w:rPr>
              <w:t>轨道平顺度、中心线、电气联锁</w:t>
            </w:r>
          </w:p>
        </w:tc>
        <w:tc>
          <w:tcPr>
            <w:tcW w:type="dxa" w:w="2880"/>
            <w:vAlign w:val="center"/>
          </w:tcPr>
          <w:p>
            <w:pPr>
              <w:keepLines/>
              <w:spacing w:lineRule="auto" w:line="276"/>
              <w:jc w:val="center"/>
            </w:pPr>
            <w:r>
              <w:rPr>
                <w:rFonts w:ascii="Times New Roman" w:hAnsi="Times New Roman" w:eastAsia="宋体"/>
                <w:b w:val="0"/>
                <w:sz w:val="18"/>
              </w:rPr>
              <w:t>设备安装前专项验收</w:t>
            </w:r>
          </w:p>
        </w:tc>
      </w:tr>
      <w:tr>
        <w:trPr>
          <w:cantSplit/>
        </w:trPr>
        <w:tc>
          <w:tcPr>
            <w:tcW w:type="dxa" w:w="2448"/>
            <w:vAlign w:val="center"/>
          </w:tcPr>
          <w:p>
            <w:pPr>
              <w:keepLines/>
              <w:spacing w:lineRule="auto" w:line="276"/>
              <w:jc w:val="center"/>
            </w:pPr>
            <w:r>
              <w:rPr>
                <w:rFonts w:ascii="Times New Roman" w:hAnsi="Times New Roman" w:eastAsia="宋体"/>
                <w:b w:val="0"/>
                <w:sz w:val="18"/>
              </w:rPr>
              <w:t>水上施工</w:t>
            </w:r>
          </w:p>
        </w:tc>
        <w:tc>
          <w:tcPr>
            <w:tcW w:type="dxa" w:w="3024"/>
            <w:vAlign w:val="center"/>
          </w:tcPr>
          <w:p>
            <w:pPr>
              <w:keepLines/>
              <w:spacing w:lineRule="auto" w:line="276"/>
              <w:jc w:val="center"/>
            </w:pPr>
            <w:r>
              <w:rPr>
                <w:rFonts w:ascii="Times New Roman" w:hAnsi="Times New Roman" w:eastAsia="宋体"/>
                <w:b w:val="0"/>
                <w:sz w:val="18"/>
              </w:rPr>
              <w:t>警戒区、船机避风、夜间照明</w:t>
            </w:r>
          </w:p>
        </w:tc>
        <w:tc>
          <w:tcPr>
            <w:tcW w:type="dxa" w:w="2880"/>
            <w:vAlign w:val="center"/>
          </w:tcPr>
          <w:p>
            <w:pPr>
              <w:keepLines/>
              <w:spacing w:lineRule="auto" w:line="276"/>
              <w:jc w:val="center"/>
            </w:pPr>
            <w:r>
              <w:rPr>
                <w:rFonts w:ascii="Times New Roman" w:hAnsi="Times New Roman" w:eastAsia="宋体"/>
                <w:b w:val="0"/>
                <w:sz w:val="18"/>
              </w:rPr>
              <w:t>大风、台风和大浪停止作业</w:t>
            </w:r>
          </w:p>
        </w:tc>
      </w:tr>
      <w:tr>
        <w:trPr>
          <w:cantSplit/>
        </w:trPr>
        <w:tc>
          <w:tcPr>
            <w:tcW w:type="dxa" w:w="2448"/>
            <w:vAlign w:val="center"/>
          </w:tcPr>
          <w:p>
            <w:pPr>
              <w:keepLines/>
              <w:spacing w:lineRule="auto" w:line="276"/>
              <w:jc w:val="center"/>
            </w:pPr>
            <w:r>
              <w:rPr>
                <w:rFonts w:ascii="Times New Roman" w:hAnsi="Times New Roman" w:eastAsia="宋体"/>
                <w:b w:val="0"/>
                <w:sz w:val="18"/>
              </w:rPr>
              <w:t>环保措施</w:t>
            </w:r>
          </w:p>
        </w:tc>
        <w:tc>
          <w:tcPr>
            <w:tcW w:type="dxa" w:w="3024"/>
            <w:vAlign w:val="center"/>
          </w:tcPr>
          <w:p>
            <w:pPr>
              <w:keepLines/>
              <w:spacing w:lineRule="auto" w:line="276"/>
              <w:jc w:val="center"/>
            </w:pPr>
            <w:r>
              <w:rPr>
                <w:rFonts w:ascii="Times New Roman" w:hAnsi="Times New Roman" w:eastAsia="宋体"/>
                <w:b w:val="0"/>
                <w:sz w:val="18"/>
              </w:rPr>
              <w:t>污水沉淀、粉尘抑制、废料清运</w:t>
            </w:r>
          </w:p>
        </w:tc>
        <w:tc>
          <w:tcPr>
            <w:tcW w:type="dxa" w:w="2880"/>
            <w:vAlign w:val="center"/>
          </w:tcPr>
          <w:p>
            <w:pPr>
              <w:keepLines/>
              <w:spacing w:lineRule="auto" w:line="276"/>
              <w:jc w:val="center"/>
            </w:pPr>
            <w:r>
              <w:rPr>
                <w:rFonts w:ascii="Times New Roman" w:hAnsi="Times New Roman" w:eastAsia="宋体"/>
                <w:b w:val="0"/>
                <w:sz w:val="18"/>
              </w:rPr>
              <w:t>防止施工废水和粉尘外逸</w:t>
            </w:r>
          </w:p>
        </w:tc>
      </w:tr>
    </w:tbl>
    <w:p/>
    <w:p>
      <w:pPr>
        <w:spacing w:lineRule="auto" w:line="360" w:before="0" w:after="0"/>
        <w:ind w:firstLine="480"/>
      </w:pPr>
      <w:r>
        <w:rPr>
          <w:rFonts w:ascii="Times New Roman" w:hAnsi="Times New Roman" w:eastAsia="宋体"/>
          <w:sz w:val="24"/>
        </w:rPr>
        <w:t>煤码头施工和运营均应把粉尘、含煤污水和台风避险作为重点。施工期对临时堆料和裸露土面采取覆盖、洒水和截排水措施；运营期对转运站、落料点和堆场采用喷雾、封闭和沉淀回用措施。</w:t>
      </w:r>
    </w:p>
    <w:p>
      <w:pPr>
        <w:spacing w:lineRule="auto" w:line="360" w:before="0" w:after="0"/>
        <w:ind w:firstLine="480"/>
      </w:pPr>
      <w:r>
        <w:rPr>
          <w:rFonts w:ascii="Times New Roman" w:hAnsi="Times New Roman" w:eastAsia="宋体"/>
          <w:sz w:val="24"/>
        </w:rPr>
        <w:t>质量安全与环保控制可补充临时设施容量估算。按施工冲洗及养护废水30m³/d、沉淀停留时间2d计算，临时沉淀池有效容积为：</w:t>
      </w:r>
    </w:p>
    <w:p>
      <w:pPr>
        <w:tabs>
          <w:tab w:pos="4100" w:val="center"/>
          <w:tab w:pos="8200" w:val="right"/>
        </w:tabs>
        <w:spacing w:lineRule="auto" w:line="360" w:before="0" w:after="0"/>
        <w:jc w:val="left"/>
      </w:pPr>
      <w:r>
        <w:tab/>
      </w:r>
      <m:oMath>
        <m:r>
          <m:t>V</m:t>
        </m:r>
        <m:r>
          <m:rPr>
            <m:sty m:val="p"/>
          </m:rPr>
          <m:t>=</m:t>
        </m:r>
        <m:r>
          <m:t>Q</m:t>
        </m:r>
        <m:r>
          <m:t>w</m:t>
        </m:r>
        <m:r>
          <m:rPr>
            <m:sty m:val="p"/>
          </m:rPr>
          <m:t>×</m:t>
        </m:r>
        <m:r>
          <m:t>t</m:t>
        </m:r>
        <m:r>
          <m:rPr>
            <m:sty m:val="p"/>
          </m:rPr>
          <m:t>=</m:t>
        </m:r>
        <m:r>
          <m:t>30</m:t>
        </m:r>
        <m:r>
          <m:rPr>
            <m:sty m:val="p"/>
          </m:rPr>
          <m:t>×</m:t>
        </m:r>
        <m:r>
          <m:t>2</m:t>
        </m:r>
        <m:r>
          <m:rPr>
            <m:sty m:val="p"/>
          </m:rPr>
          <m:t>=</m:t>
        </m:r>
        <m:r>
          <m:t>60</m:t>
        </m:r>
        <m:r>
          <m:t> </m:t>
        </m:r>
        <m:sSup>
          <m:e>
            <m:r>
              <m:rPr>
                <m:sty m:val="p"/>
              </m:rPr>
              <m:t>m</m:t>
            </m:r>
          </m:e>
          <m:sup>
            <m:r>
              <m:rPr>
                <m:sty m:val="p"/>
              </m:rPr>
              <m:t>3</m:t>
            </m:r>
          </m:sup>
        </m:sSup>
      </m:oMath>
      <w:r>
        <w:rPr>
          <w:rFonts w:ascii="Times New Roman" w:hAnsi="Times New Roman" w:eastAsia="宋体"/>
          <w:sz w:val="24"/>
        </w:rPr>
        <w:tab/>
        <w:t>(7.20)</w:t>
      </w:r>
    </w:p>
    <w:p>
      <w:pPr>
        <w:spacing w:lineRule="auto" w:line="360" w:before="0" w:after="0"/>
        <w:ind w:firstLine="480"/>
      </w:pPr>
      <w:r>
        <w:rPr>
          <w:rFonts w:ascii="Times New Roman" w:hAnsi="Times New Roman" w:eastAsia="宋体"/>
          <w:sz w:val="24"/>
        </w:rPr>
        <w:t>沉淀池可分两格布置，便于轮换清淤和事故水暂存；含煤废水应优先回用于喷淋降尘。</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在原有工程量、概算和施工组织内容基础上，将排架数量、桩基数量、单位岸线混凝土量、单位岸线钢筋量、设备工程量、费用占比、沉桩生产率、工期和环保临设容量等复核过程嵌入对应小节。计算结果表明，高桩梁板式方案施工组织清晰、工程量可控，适合本工程初步设计阶段采用。</w:t>
      </w:r>
    </w:p>
    <w:p>
      <w:pPr>
        <w:spacing w:lineRule="auto" w:line="360" w:before="0" w:after="0"/>
        <w:ind w:firstLine="480"/>
      </w:pPr>
      <w:r>
        <w:rPr>
          <w:rFonts w:ascii="Times New Roman" w:hAnsi="Times New Roman" w:eastAsia="宋体"/>
          <w:sz w:val="24"/>
        </w:rPr>
        <w:t>本章同时从施工顺序、临时工程、质量安全和环保控制等方面说明推荐方案的实施条件，使结构计算、工程量统计、概算和施工组织能够相互衔接。</w:t>
      </w:r>
    </w:p>
    <w:p>
      <w:pPr>
        <w:pStyle w:val="1"/>
        <w:pageBreakBefore/>
        <w:jc w:val="center"/>
      </w:pPr>
      <w:r>
        <w:rPr>
          <w:rFonts w:ascii="Times New Roman" w:hAnsi="Times New Roman" w:eastAsia="宋体"/>
          <w:b/>
          <w:sz w:val="30"/>
        </w:rPr>
        <w:t xml:space="preserve"> 环境保护、安全设计与结论</w:t>
      </w:r>
    </w:p>
    <w:p>
      <w:pPr>
        <w:pStyle w:val="2"/>
        <w:jc w:val="left"/>
      </w:pPr>
      <w:r>
        <w:rPr>
          <w:rFonts w:ascii="Times New Roman" w:hAnsi="Times New Roman" w:eastAsia="宋体"/>
          <w:b/>
          <w:sz w:val="24"/>
        </w:rPr>
        <w:t xml:space="preserve"> 环境保护设计</w:t>
      </w:r>
    </w:p>
    <w:p>
      <w:pPr>
        <w:pStyle w:val="3"/>
        <w:jc w:val="left"/>
      </w:pPr>
      <w:r>
        <w:rPr>
          <w:rFonts w:ascii="Times New Roman" w:hAnsi="Times New Roman" w:eastAsia="宋体"/>
          <w:b/>
          <w:sz w:val="24"/>
        </w:rPr>
        <w:t xml:space="preserve"> 粉尘控制</w:t>
      </w:r>
    </w:p>
    <w:p>
      <w:pPr>
        <w:spacing w:lineRule="auto" w:line="360" w:before="0" w:after="0"/>
        <w:ind w:firstLine="480"/>
      </w:pPr>
      <w:r>
        <w:rPr>
          <w:rFonts w:ascii="Times New Roman" w:hAnsi="Times New Roman" w:eastAsia="宋体"/>
          <w:sz w:val="24"/>
        </w:rPr>
        <w:t>煤码头粉尘主要来自抓斗卸船、转运站落料、堆场堆取料和大风扬尘。设计中应根据气象条件、煤种特性和作业方式组合采用密闭、湿法除尘、喷雾抑尘和干式除尘措施；露天装卸起尘点设置湿法除尘设施，带式输送机廊道和转运站起尘点设置密闭罩、除尘器和喷雾装置，堆场设置固定或移动式喷淋系统、防风抑尘网，作业道路定期清扫和洒水。</w:t>
      </w:r>
    </w:p>
    <w:p>
      <w:pPr>
        <w:spacing w:lineRule="auto" w:line="360" w:before="0" w:after="0"/>
        <w:ind w:firstLine="480"/>
      </w:pPr>
      <w:r>
        <w:rPr>
          <w:rFonts w:ascii="Times New Roman" w:hAnsi="Times New Roman" w:eastAsia="宋体"/>
          <w:sz w:val="24"/>
        </w:rPr>
        <w:t>粉尘控制设施按堆场面积4.4万m²估算喷淋用水量。取喷淋强度0.8L/(m²·次)，每天2次，则日用水量为：</w:t>
      </w:r>
    </w:p>
    <w:p>
      <w:pPr>
        <w:tabs>
          <w:tab w:pos="4100" w:val="center"/>
          <w:tab w:pos="8200" w:val="right"/>
        </w:tabs>
        <w:spacing w:lineRule="auto" w:line="360" w:before="0" w:after="0"/>
        <w:jc w:val="left"/>
      </w:pPr>
      <w:r>
        <w:tab/>
      </w:r>
      <m:oMath>
        <m:sSub>
          <m:e>
            <m:r>
              <m:t>Q</m:t>
            </m:r>
          </m:e>
          <m:sub>
            <m:r>
              <m:t>d</m:t>
            </m:r>
          </m:sub>
        </m:sSub>
        <m:r>
          <m:rPr>
            <m:sty m:val="p"/>
          </m:rPr>
          <m:t>=</m:t>
        </m:r>
        <m:f>
          <m:fPr>
            <m:type m:val="bar"/>
          </m:fPr>
          <m:num>
            <m:r>
              <m:t>44000</m:t>
            </m:r>
            <m:r>
              <m:rPr>
                <m:sty m:val="p"/>
              </m:rPr>
              <m:t>×</m:t>
            </m:r>
            <m:r>
              <m:t>0.8</m:t>
            </m:r>
            <m:r>
              <m:rPr>
                <m:sty m:val="p"/>
              </m:rPr>
              <m:t>×</m:t>
            </m:r>
            <m:r>
              <m:t>2</m:t>
            </m:r>
          </m:num>
          <m:den>
            <m:r>
              <m:t>1000</m:t>
            </m:r>
          </m:den>
        </m:f>
        <m:r>
          <m:rPr>
            <m:sty m:val="p"/>
          </m:rPr>
          <m:t>=</m:t>
        </m:r>
        <m:r>
          <m:t>70.4</m:t>
        </m:r>
        <m:r>
          <m:t> </m:t>
        </m:r>
        <m:sSup>
          <m:e>
            <m:r>
              <m:rPr>
                <m:sty m:val="p"/>
              </m:rPr>
              <m:t>m</m:t>
            </m:r>
          </m:e>
          <m:sup>
            <m:r>
              <m:rPr>
                <m:sty m:val="p"/>
              </m:rPr>
              <m:t>3</m:t>
            </m:r>
          </m:sup>
        </m:sSup>
        <m:r>
          <m:rPr>
            <m:sty m:val="p"/>
          </m:rPr>
          <m:t>/</m:t>
        </m:r>
        <m:r>
          <m:rPr>
            <m:sty m:val="p"/>
          </m:rPr>
          <m:t>d</m:t>
        </m:r>
      </m:oMath>
      <w:r>
        <w:rPr>
          <w:rFonts w:ascii="Times New Roman" w:hAnsi="Times New Roman" w:eastAsia="宋体"/>
          <w:sz w:val="24"/>
        </w:rPr>
        <w:tab/>
        <w:t>(8.1)</w:t>
      </w:r>
    </w:p>
    <w:p>
      <w:pPr>
        <w:spacing w:lineRule="auto" w:line="360" w:before="0" w:after="0"/>
        <w:ind w:firstLine="480"/>
      </w:pPr>
      <w:r>
        <w:rPr>
          <w:rFonts w:ascii="Times New Roman" w:hAnsi="Times New Roman" w:eastAsia="宋体"/>
          <w:sz w:val="24"/>
        </w:rPr>
        <w:t>喷淋水宜优先采用沉淀回用水，既能降低煤尘外逸，也能减少新鲜水消耗。</w:t>
      </w:r>
    </w:p>
    <w:p>
      <w:pPr>
        <w:pStyle w:val="3"/>
        <w:jc w:val="left"/>
      </w:pPr>
      <w:r>
        <w:rPr>
          <w:rFonts w:ascii="Times New Roman" w:hAnsi="Times New Roman" w:eastAsia="宋体"/>
          <w:b/>
          <w:sz w:val="24"/>
        </w:rPr>
        <w:t xml:space="preserve"> 污水与雨水控制</w:t>
      </w:r>
    </w:p>
    <w:p>
      <w:pPr>
        <w:spacing w:lineRule="auto" w:line="360" w:before="0" w:after="0"/>
        <w:ind w:firstLine="480"/>
      </w:pPr>
      <w:r>
        <w:rPr>
          <w:rFonts w:ascii="Times New Roman" w:hAnsi="Times New Roman" w:eastAsia="宋体"/>
          <w:sz w:val="24"/>
        </w:rPr>
        <w:t>堆场径流雨水、码头面初期雨水、码头面及带式输送机廊道和转运站冲洗水均可能夹带煤粉，应通过截水沟、沉淀池和含煤污水处理设施收集处理。给水排水设施能力应满足船舶、生产、生活、环保、消防及雨污水排放要求，处理达标后的中水或雨水优先回用于除尘喷淋、道路冲洗和绿化等低质用水，剩余水量按环保要求达标排放。码头面和转运站周边设置排水沟，防止含煤污水直接入海。港口工程环境保护设计还应在施工图阶段细化雨污分流、含煤污水回用、噪声控制和固体废物处置措施</w:t>
      </w:r>
      <w:r>
        <w:rPr>
          <w:rFonts w:ascii="Times New Roman" w:hAnsi="Times New Roman" w:eastAsia="宋体"/>
          <w:sz w:val="24"/>
          <w:vertAlign w:val="superscript"/>
        </w:rPr>
        <w:t>[21]</w:t>
      </w:r>
      <w:r>
        <w:rPr>
          <w:rFonts w:ascii="Times New Roman" w:hAnsi="Times New Roman" w:eastAsia="宋体"/>
          <w:sz w:val="24"/>
        </w:rPr>
        <w:t>。</w:t>
      </w:r>
    </w:p>
    <w:p>
      <w:pPr>
        <w:spacing w:lineRule="auto" w:line="360" w:before="0" w:after="0"/>
        <w:ind w:firstLine="480"/>
      </w:pPr>
      <w:r>
        <w:rPr>
          <w:rFonts w:ascii="Times New Roman" w:hAnsi="Times New Roman" w:eastAsia="宋体"/>
          <w:sz w:val="24"/>
        </w:rPr>
        <w:t>堆场排水按初期雨水收集控制。取初期雨水深度10mm、径流系数0.85，堆场面积4.4万m²，则初期雨水量为：</w:t>
      </w:r>
    </w:p>
    <w:p>
      <w:pPr>
        <w:tabs>
          <w:tab w:pos="4100" w:val="center"/>
          <w:tab w:pos="8200" w:val="right"/>
        </w:tabs>
        <w:spacing w:lineRule="auto" w:line="360" w:before="0" w:after="0"/>
        <w:jc w:val="left"/>
      </w:pPr>
      <w:r>
        <w:tab/>
      </w:r>
      <m:oMath>
        <m:sSub>
          <m:e>
            <m:r>
              <m:t>V</m:t>
            </m:r>
          </m:e>
          <m:sub>
            <m:r>
              <m:t>r</m:t>
            </m:r>
          </m:sub>
        </m:sSub>
        <m:r>
          <m:rPr>
            <m:sty m:val="p"/>
          </m:rPr>
          <m:t>=</m:t>
        </m:r>
        <m:r>
          <m:t>0.01</m:t>
        </m:r>
        <m:r>
          <m:rPr>
            <m:sty m:val="p"/>
          </m:rPr>
          <m:t>×</m:t>
        </m:r>
        <m:r>
          <m:t>44000</m:t>
        </m:r>
        <m:r>
          <m:rPr>
            <m:sty m:val="p"/>
          </m:rPr>
          <m:t>×</m:t>
        </m:r>
        <m:r>
          <m:t>0.85</m:t>
        </m:r>
        <m:r>
          <m:rPr>
            <m:sty m:val="p"/>
          </m:rPr>
          <m:t>=</m:t>
        </m:r>
        <m:r>
          <m:t>374</m:t>
        </m:r>
        <m:r>
          <m:t> </m:t>
        </m:r>
        <m:sSup>
          <m:e>
            <m:r>
              <m:rPr>
                <m:sty m:val="p"/>
              </m:rPr>
              <m:t>m</m:t>
            </m:r>
          </m:e>
          <m:sup>
            <m:r>
              <m:rPr>
                <m:sty m:val="p"/>
              </m:rPr>
              <m:t>3</m:t>
            </m:r>
          </m:sup>
        </m:sSup>
      </m:oMath>
      <w:r>
        <w:rPr>
          <w:rFonts w:ascii="Times New Roman" w:hAnsi="Times New Roman" w:eastAsia="宋体"/>
          <w:sz w:val="24"/>
        </w:rPr>
        <w:tab/>
        <w:t>(8.2)</w:t>
      </w:r>
    </w:p>
    <w:p>
      <w:pPr>
        <w:spacing w:lineRule="auto" w:line="360" w:before="0" w:after="0"/>
        <w:ind w:firstLine="480"/>
      </w:pPr>
      <w:r>
        <w:rPr>
          <w:rFonts w:ascii="Times New Roman" w:hAnsi="Times New Roman" w:eastAsia="宋体"/>
          <w:sz w:val="24"/>
        </w:rPr>
        <w:t>初期雨水应进入沉淀池或调蓄池处理，后期相对清洁雨水可按港区雨水系统分流排放。</w:t>
      </w:r>
    </w:p>
    <w:p>
      <w:pPr>
        <w:pStyle w:val="3"/>
        <w:jc w:val="left"/>
      </w:pPr>
      <w:r>
        <w:rPr>
          <w:rFonts w:ascii="Times New Roman" w:hAnsi="Times New Roman" w:eastAsia="宋体"/>
          <w:b/>
          <w:sz w:val="24"/>
        </w:rPr>
        <w:t xml:space="preserve"> 噪声控制</w:t>
      </w:r>
    </w:p>
    <w:p>
      <w:pPr>
        <w:spacing w:lineRule="auto" w:line="360" w:before="0" w:after="0"/>
        <w:ind w:firstLine="480"/>
      </w:pPr>
      <w:r>
        <w:rPr>
          <w:rFonts w:ascii="Times New Roman" w:hAnsi="Times New Roman" w:eastAsia="宋体"/>
          <w:sz w:val="24"/>
        </w:rPr>
        <w:t>噪声主要来自卸船机、皮带机、转运站和装载机等设备。设计中应选用低噪声设备，对转运站和电机设备采取隔声、减振措施，并通过合理布置生产辅助区和绿化隔离带降低噪声影响。</w:t>
      </w:r>
    </w:p>
    <w:p>
      <w:pPr>
        <w:pStyle w:val="2"/>
        <w:jc w:val="left"/>
      </w:pPr>
      <w:r>
        <w:rPr>
          <w:rFonts w:ascii="Times New Roman" w:hAnsi="Times New Roman" w:eastAsia="宋体"/>
          <w:b/>
          <w:sz w:val="24"/>
        </w:rPr>
        <w:t xml:space="preserve"> 安全与职业卫生设计</w:t>
      </w:r>
    </w:p>
    <w:p>
      <w:pPr>
        <w:pStyle w:val="3"/>
        <w:jc w:val="left"/>
      </w:pPr>
      <w:r>
        <w:rPr>
          <w:rFonts w:ascii="Times New Roman" w:hAnsi="Times New Roman" w:eastAsia="宋体"/>
          <w:b/>
          <w:sz w:val="24"/>
        </w:rPr>
        <w:t xml:space="preserve"> 码头作业安全</w:t>
      </w:r>
    </w:p>
    <w:p>
      <w:pPr>
        <w:spacing w:lineRule="auto" w:line="360" w:before="0" w:after="0"/>
        <w:ind w:firstLine="480"/>
      </w:pPr>
      <w:r>
        <w:rPr>
          <w:rFonts w:ascii="Times New Roman" w:hAnsi="Times New Roman" w:eastAsia="宋体"/>
          <w:sz w:val="24"/>
        </w:rPr>
        <w:t>码头前沿设置护轮坎、安全栏杆、救生设施和明显警示标识。卸船机运行范围设置限位、夹轨器、锚定装置和防风抗台设施，皮带机设置拉绳开关、防跑偏装置和防堵料保护。船舶靠离泊期间应由专人指挥，作业区域限制无关人员进入，台风、大风和能见度不足条件下按港区调度要求停止相关作业。</w:t>
      </w:r>
    </w:p>
    <w:p>
      <w:pPr>
        <w:pStyle w:val="3"/>
        <w:jc w:val="left"/>
      </w:pPr>
      <w:r>
        <w:rPr>
          <w:rFonts w:ascii="Times New Roman" w:hAnsi="Times New Roman" w:eastAsia="宋体"/>
          <w:b/>
          <w:sz w:val="24"/>
        </w:rPr>
        <w:t xml:space="preserve"> 消防与防爆措施</w:t>
      </w:r>
    </w:p>
    <w:p>
      <w:pPr>
        <w:spacing w:lineRule="auto" w:line="360" w:before="0" w:after="0"/>
        <w:ind w:firstLine="480"/>
      </w:pPr>
      <w:r>
        <w:rPr>
          <w:rFonts w:ascii="Times New Roman" w:hAnsi="Times New Roman" w:eastAsia="宋体"/>
          <w:sz w:val="24"/>
        </w:rPr>
        <w:t>煤炭堆场存在自燃和粉尘燃爆风险，应设置消防给水、室外消火栓、喷淋设施和温度监测。转运站、电气室和皮带机廊道应按防火分区布置，电气设备满足防尘、防潮和防爆要求。</w:t>
      </w:r>
    </w:p>
    <w:p>
      <w:pPr>
        <w:pStyle w:val="3"/>
        <w:jc w:val="left"/>
      </w:pPr>
      <w:r>
        <w:rPr>
          <w:rFonts w:ascii="Times New Roman" w:hAnsi="Times New Roman" w:eastAsia="宋体"/>
          <w:b/>
          <w:sz w:val="24"/>
        </w:rPr>
        <w:t xml:space="preserve"> 职业卫生措施</w:t>
      </w:r>
    </w:p>
    <w:p>
      <w:pPr>
        <w:spacing w:lineRule="auto" w:line="360" w:before="0" w:after="0"/>
        <w:ind w:firstLine="480"/>
      </w:pPr>
      <w:r>
        <w:rPr>
          <w:rFonts w:ascii="Times New Roman" w:hAnsi="Times New Roman" w:eastAsia="宋体"/>
          <w:sz w:val="24"/>
        </w:rPr>
        <w:t>对粉尘、噪声和高温作业岗位应配备个人防护用品，设置休息室和冲洗设施。各控制室和大型机械操作室应具有良好的密封、通风、降噪和温控条件，控制室应与高粉尘区域保持距离，并设置通风空调。定期开展职业健康监测和设备巡检，降低长期运行风险。</w:t>
      </w:r>
    </w:p>
    <w:p>
      <w:pPr>
        <w:pStyle w:val="2"/>
        <w:jc w:val="left"/>
      </w:pPr>
      <w:r>
        <w:rPr>
          <w:rFonts w:ascii="Times New Roman" w:hAnsi="Times New Roman" w:eastAsia="宋体"/>
          <w:b/>
          <w:sz w:val="24"/>
        </w:rPr>
        <w:t xml:space="preserve"> 设计成果汇总</w:t>
      </w:r>
    </w:p>
    <w:p>
      <w:pPr>
        <w:keepNext/>
        <w:pageBreakBefore/>
        <w:spacing w:lineRule="auto" w:line="300" w:before="0" w:after="120"/>
        <w:jc w:val="center"/>
      </w:pPr>
      <w:r>
        <w:rPr>
          <w:rFonts w:ascii="Times New Roman" w:hAnsi="Times New Roman" w:eastAsia="宋体"/>
          <w:b w:val="0"/>
          <w:sz w:val="20"/>
        </w:rPr>
        <w:t>表8-1 主要设计成果汇总</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448"/>
        <w:gridCol w:w="3744"/>
        <w:gridCol w:w="2160"/>
      </w:tblGrid>
      <w:tr>
        <w:trPr>
          <w:cantSplit/>
          <w:tblHeader w:val="true"/>
        </w:trPr>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设计成果</w:t>
            </w:r>
          </w:p>
        </w:tc>
        <w:tc>
          <w:tcPr>
            <w:tcW w:type="dxa" w:w="2770"/>
            <w:tcBorders>
              <w:bottom w:val="single" w:sz="6" w:space="0" w:color="000000"/>
            </w:tcBorders>
            <w:vAlign w:val="center"/>
          </w:tcPr>
          <w:p>
            <w:pPr>
              <w:keepLines/>
              <w:spacing w:lineRule="auto" w:line="276"/>
              <w:jc w:val="center"/>
            </w:pPr>
            <w:r>
              <w:rPr>
                <w:rFonts w:ascii="Times New Roman" w:hAnsi="Times New Roman" w:eastAsia="宋体"/>
                <w:b/>
                <w:sz w:val="18"/>
              </w:rPr>
              <w:t>备注</w:t>
            </w:r>
          </w:p>
        </w:tc>
      </w:tr>
      <w:tr>
        <w:trPr>
          <w:cantSplit/>
        </w:trPr>
        <w:tc>
          <w:tcPr>
            <w:tcW w:type="dxa" w:w="2448"/>
            <w:vAlign w:val="center"/>
          </w:tcPr>
          <w:p>
            <w:pPr>
              <w:keepLines/>
              <w:spacing w:lineRule="auto" w:line="276"/>
              <w:jc w:val="center"/>
            </w:pPr>
            <w:r>
              <w:rPr>
                <w:rFonts w:ascii="Times New Roman" w:hAnsi="Times New Roman" w:eastAsia="宋体"/>
                <w:b w:val="0"/>
                <w:sz w:val="18"/>
              </w:rPr>
              <w:t>设计船型</w:t>
            </w:r>
          </w:p>
        </w:tc>
        <w:tc>
          <w:tcPr>
            <w:tcW w:type="dxa" w:w="3744"/>
            <w:vAlign w:val="center"/>
          </w:tcPr>
          <w:p>
            <w:pPr>
              <w:keepLines/>
              <w:spacing w:lineRule="auto" w:line="276"/>
              <w:jc w:val="center"/>
            </w:pPr>
            <w:r>
              <w:rPr>
                <w:rFonts w:ascii="Times New Roman" w:hAnsi="Times New Roman" w:eastAsia="宋体"/>
                <w:b w:val="0"/>
                <w:sz w:val="18"/>
              </w:rPr>
              <w:t>5万DWT散货船</w:t>
            </w:r>
          </w:p>
        </w:tc>
        <w:tc>
          <w:tcPr>
            <w:tcW w:type="dxa" w:w="2160"/>
            <w:vAlign w:val="center"/>
          </w:tcPr>
          <w:p>
            <w:pPr>
              <w:keepLines/>
              <w:spacing w:lineRule="auto" w:line="276"/>
              <w:jc w:val="center"/>
            </w:pPr>
            <w:r>
              <w:rPr>
                <w:rFonts w:ascii="Times New Roman" w:hAnsi="Times New Roman" w:eastAsia="宋体"/>
                <w:b w:val="0"/>
                <w:sz w:val="18"/>
              </w:rPr>
              <w:t>L=223m，B=32.2m，T=12.0m</w:t>
            </w:r>
          </w:p>
        </w:tc>
      </w:tr>
      <w:tr>
        <w:trPr>
          <w:cantSplit/>
        </w:trPr>
        <w:tc>
          <w:tcPr>
            <w:tcW w:type="dxa" w:w="2448"/>
            <w:vAlign w:val="center"/>
          </w:tcPr>
          <w:p>
            <w:pPr>
              <w:keepLines/>
              <w:spacing w:lineRule="auto" w:line="276"/>
              <w:jc w:val="center"/>
            </w:pPr>
            <w:r>
              <w:rPr>
                <w:rFonts w:ascii="Times New Roman" w:hAnsi="Times New Roman" w:eastAsia="宋体"/>
                <w:b w:val="0"/>
                <w:sz w:val="18"/>
              </w:rPr>
              <w:t>泊位长度</w:t>
            </w:r>
          </w:p>
        </w:tc>
        <w:tc>
          <w:tcPr>
            <w:tcW w:type="dxa" w:w="3744"/>
            <w:vAlign w:val="center"/>
          </w:tcPr>
          <w:p>
            <w:pPr>
              <w:keepLines/>
              <w:spacing w:lineRule="auto" w:line="276"/>
              <w:jc w:val="center"/>
            </w:pPr>
            <w:r>
              <w:rPr>
                <w:rFonts w:ascii="Times New Roman" w:hAnsi="Times New Roman" w:eastAsia="宋体"/>
                <w:b w:val="0"/>
                <w:sz w:val="18"/>
              </w:rPr>
              <w:t>260m</w:t>
            </w:r>
          </w:p>
        </w:tc>
        <w:tc>
          <w:tcPr>
            <w:tcW w:type="dxa" w:w="2160"/>
            <w:vAlign w:val="center"/>
          </w:tcPr>
          <w:p>
            <w:pPr>
              <w:keepLines/>
              <w:spacing w:lineRule="auto" w:line="276"/>
              <w:jc w:val="center"/>
            </w:pPr>
            <w:r>
              <w:rPr>
                <w:rFonts w:ascii="Times New Roman" w:hAnsi="Times New Roman" w:eastAsia="宋体"/>
                <w:b w:val="0"/>
                <w:sz w:val="18"/>
              </w:rPr>
              <w:t>单泊位</w:t>
            </w:r>
          </w:p>
        </w:tc>
      </w:tr>
      <w:tr>
        <w:trPr>
          <w:cantSplit/>
        </w:trPr>
        <w:tc>
          <w:tcPr>
            <w:tcW w:type="dxa" w:w="2448"/>
            <w:vAlign w:val="center"/>
          </w:tcPr>
          <w:p>
            <w:pPr>
              <w:keepLines/>
              <w:spacing w:lineRule="auto" w:line="276"/>
              <w:jc w:val="center"/>
            </w:pPr>
            <w:r>
              <w:rPr>
                <w:rFonts w:ascii="Times New Roman" w:hAnsi="Times New Roman" w:eastAsia="宋体"/>
                <w:b w:val="0"/>
                <w:sz w:val="18"/>
              </w:rPr>
              <w:t>码头面高程</w:t>
            </w:r>
          </w:p>
        </w:tc>
        <w:tc>
          <w:tcPr>
            <w:tcW w:type="dxa" w:w="3744"/>
            <w:vAlign w:val="center"/>
          </w:tcPr>
          <w:p>
            <w:pPr>
              <w:keepLines/>
              <w:spacing w:lineRule="auto" w:line="276"/>
              <w:jc w:val="center"/>
            </w:pPr>
            <w:r>
              <w:rPr>
                <w:rFonts w:ascii="Times New Roman" w:hAnsi="Times New Roman" w:eastAsia="宋体"/>
                <w:b w:val="0"/>
                <w:sz w:val="18"/>
              </w:rPr>
              <w:t>3.60m</w:t>
            </w:r>
          </w:p>
        </w:tc>
        <w:tc>
          <w:tcPr>
            <w:tcW w:type="dxa" w:w="2160"/>
            <w:vAlign w:val="center"/>
          </w:tcPr>
          <w:p>
            <w:pPr>
              <w:keepLines/>
              <w:spacing w:lineRule="auto" w:line="276"/>
              <w:jc w:val="center"/>
            </w:pPr>
            <w:r>
              <w:rPr>
                <w:rFonts w:ascii="Times New Roman" w:hAnsi="Times New Roman" w:eastAsia="宋体"/>
                <w:b w:val="0"/>
                <w:sz w:val="18"/>
              </w:rPr>
              <w:t>按设计高水位加超高确定</w:t>
            </w:r>
          </w:p>
        </w:tc>
      </w:tr>
      <w:tr>
        <w:trPr>
          <w:cantSplit/>
        </w:trPr>
        <w:tc>
          <w:tcPr>
            <w:tcW w:type="dxa" w:w="2448"/>
            <w:vAlign w:val="center"/>
          </w:tcPr>
          <w:p>
            <w:pPr>
              <w:keepLines/>
              <w:spacing w:lineRule="auto" w:line="276"/>
              <w:jc w:val="center"/>
            </w:pPr>
            <w:r>
              <w:rPr>
                <w:rFonts w:ascii="Times New Roman" w:hAnsi="Times New Roman" w:eastAsia="宋体"/>
                <w:b w:val="0"/>
                <w:sz w:val="18"/>
              </w:rPr>
              <w:t>前沿水深</w:t>
            </w:r>
          </w:p>
        </w:tc>
        <w:tc>
          <w:tcPr>
            <w:tcW w:type="dxa" w:w="3744"/>
            <w:vAlign w:val="center"/>
          </w:tcPr>
          <w:p>
            <w:pPr>
              <w:keepLines/>
              <w:spacing w:lineRule="auto" w:line="276"/>
              <w:jc w:val="center"/>
            </w:pPr>
            <w:r>
              <w:rPr>
                <w:rFonts w:ascii="Times New Roman" w:hAnsi="Times New Roman" w:eastAsia="宋体"/>
                <w:b w:val="0"/>
                <w:sz w:val="18"/>
              </w:rPr>
              <w:t>12.50m</w:t>
            </w:r>
          </w:p>
        </w:tc>
        <w:tc>
          <w:tcPr>
            <w:tcW w:type="dxa" w:w="2160"/>
            <w:vAlign w:val="center"/>
          </w:tcPr>
          <w:p>
            <w:pPr>
              <w:keepLines/>
              <w:spacing w:lineRule="auto" w:line="276"/>
              <w:jc w:val="center"/>
            </w:pPr>
            <w:r>
              <w:rPr>
                <w:rFonts w:ascii="Times New Roman" w:hAnsi="Times New Roman" w:eastAsia="宋体"/>
                <w:b w:val="0"/>
                <w:sz w:val="18"/>
              </w:rPr>
              <w:t>满足满载靠泊</w:t>
            </w:r>
          </w:p>
        </w:tc>
      </w:tr>
      <w:tr>
        <w:trPr>
          <w:cantSplit/>
        </w:trPr>
        <w:tc>
          <w:tcPr>
            <w:tcW w:type="dxa" w:w="2448"/>
            <w:vAlign w:val="center"/>
          </w:tcPr>
          <w:p>
            <w:pPr>
              <w:keepLines/>
              <w:spacing w:lineRule="auto" w:line="276"/>
              <w:jc w:val="center"/>
            </w:pPr>
            <w:r>
              <w:rPr>
                <w:rFonts w:ascii="Times New Roman" w:hAnsi="Times New Roman" w:eastAsia="宋体"/>
                <w:b w:val="0"/>
                <w:sz w:val="18"/>
              </w:rPr>
              <w:t>回旋水域</w:t>
            </w:r>
          </w:p>
        </w:tc>
        <w:tc>
          <w:tcPr>
            <w:tcW w:type="dxa" w:w="3744"/>
            <w:vAlign w:val="center"/>
          </w:tcPr>
          <w:p>
            <w:pPr>
              <w:keepLines/>
              <w:spacing w:lineRule="auto" w:line="276"/>
              <w:jc w:val="center"/>
            </w:pPr>
            <w:r>
              <w:rPr>
                <w:rFonts w:ascii="Times New Roman" w:hAnsi="Times New Roman" w:eastAsia="宋体"/>
                <w:b w:val="0"/>
                <w:sz w:val="18"/>
              </w:rPr>
              <w:t>450m</w:t>
            </w:r>
          </w:p>
        </w:tc>
        <w:tc>
          <w:tcPr>
            <w:tcW w:type="dxa" w:w="2160"/>
            <w:vAlign w:val="center"/>
          </w:tcPr>
          <w:p>
            <w:pPr>
              <w:keepLines/>
              <w:spacing w:lineRule="auto" w:line="276"/>
              <w:jc w:val="center"/>
            </w:pPr>
            <w:r>
              <w:rPr>
                <w:rFonts w:ascii="Times New Roman" w:hAnsi="Times New Roman" w:eastAsia="宋体"/>
                <w:b w:val="0"/>
                <w:sz w:val="18"/>
              </w:rPr>
              <w:t>约2倍船长</w:t>
            </w:r>
          </w:p>
        </w:tc>
      </w:tr>
      <w:tr>
        <w:trPr>
          <w:cantSplit/>
        </w:trPr>
        <w:tc>
          <w:tcPr>
            <w:tcW w:type="dxa" w:w="2448"/>
            <w:vAlign w:val="center"/>
          </w:tcPr>
          <w:p>
            <w:pPr>
              <w:keepLines/>
              <w:spacing w:lineRule="auto" w:line="276"/>
              <w:jc w:val="center"/>
            </w:pPr>
            <w:r>
              <w:rPr>
                <w:rFonts w:ascii="Times New Roman" w:hAnsi="Times New Roman" w:eastAsia="宋体"/>
                <w:b w:val="0"/>
                <w:sz w:val="18"/>
              </w:rPr>
              <w:t>装卸工艺</w:t>
            </w:r>
          </w:p>
        </w:tc>
        <w:tc>
          <w:tcPr>
            <w:tcW w:type="dxa" w:w="3744"/>
            <w:vAlign w:val="center"/>
          </w:tcPr>
          <w:p>
            <w:pPr>
              <w:keepLines/>
              <w:spacing w:lineRule="auto" w:line="276"/>
              <w:jc w:val="center"/>
            </w:pPr>
            <w:r>
              <w:rPr>
                <w:rFonts w:ascii="Times New Roman" w:hAnsi="Times New Roman" w:eastAsia="宋体"/>
                <w:b w:val="0"/>
                <w:sz w:val="18"/>
              </w:rPr>
              <w:t>抓斗卸船机+皮带机+斗轮堆取料机</w:t>
            </w:r>
          </w:p>
        </w:tc>
        <w:tc>
          <w:tcPr>
            <w:tcW w:type="dxa" w:w="2160"/>
            <w:vAlign w:val="center"/>
          </w:tcPr>
          <w:p>
            <w:pPr>
              <w:keepLines/>
              <w:spacing w:lineRule="auto" w:line="276"/>
              <w:jc w:val="center"/>
            </w:pPr>
            <w:r>
              <w:rPr>
                <w:rFonts w:ascii="Times New Roman" w:hAnsi="Times New Roman" w:eastAsia="宋体"/>
                <w:b w:val="0"/>
                <w:sz w:val="18"/>
              </w:rPr>
              <w:t>连续化煤流</w:t>
            </w:r>
          </w:p>
        </w:tc>
      </w:tr>
      <w:tr>
        <w:trPr>
          <w:cantSplit/>
        </w:trPr>
        <w:tc>
          <w:tcPr>
            <w:tcW w:type="dxa" w:w="2448"/>
            <w:vAlign w:val="center"/>
          </w:tcPr>
          <w:p>
            <w:pPr>
              <w:keepLines/>
              <w:spacing w:lineRule="auto" w:line="276"/>
              <w:jc w:val="center"/>
            </w:pPr>
            <w:r>
              <w:rPr>
                <w:rFonts w:ascii="Times New Roman" w:hAnsi="Times New Roman" w:eastAsia="宋体"/>
                <w:b w:val="0"/>
                <w:sz w:val="18"/>
              </w:rPr>
              <w:t>堆场容量</w:t>
            </w:r>
          </w:p>
        </w:tc>
        <w:tc>
          <w:tcPr>
            <w:tcW w:type="dxa" w:w="3744"/>
            <w:vAlign w:val="center"/>
          </w:tcPr>
          <w:p>
            <w:pPr>
              <w:keepLines/>
              <w:spacing w:lineRule="auto" w:line="276"/>
              <w:jc w:val="center"/>
            </w:pPr>
            <w:r>
              <w:rPr>
                <w:rFonts w:ascii="Times New Roman" w:hAnsi="Times New Roman" w:eastAsia="宋体"/>
                <w:b w:val="0"/>
                <w:sz w:val="18"/>
              </w:rPr>
              <w:t>18万t</w:t>
            </w:r>
          </w:p>
        </w:tc>
        <w:tc>
          <w:tcPr>
            <w:tcW w:type="dxa" w:w="2160"/>
            <w:vAlign w:val="center"/>
          </w:tcPr>
          <w:p>
            <w:pPr>
              <w:keepLines/>
              <w:spacing w:lineRule="auto" w:line="276"/>
              <w:jc w:val="center"/>
            </w:pPr>
            <w:r>
              <w:rPr>
                <w:rFonts w:ascii="Times New Roman" w:hAnsi="Times New Roman" w:eastAsia="宋体"/>
                <w:b w:val="0"/>
                <w:sz w:val="18"/>
              </w:rPr>
              <w:t>约20d储备量</w:t>
            </w:r>
          </w:p>
        </w:tc>
      </w:tr>
      <w:tr>
        <w:trPr>
          <w:cantSplit/>
        </w:trPr>
        <w:tc>
          <w:tcPr>
            <w:tcW w:type="dxa" w:w="2448"/>
            <w:vAlign w:val="center"/>
          </w:tcPr>
          <w:p>
            <w:pPr>
              <w:keepLines/>
              <w:spacing w:lineRule="auto" w:line="276"/>
              <w:jc w:val="center"/>
            </w:pPr>
            <w:r>
              <w:rPr>
                <w:rFonts w:ascii="Times New Roman" w:hAnsi="Times New Roman" w:eastAsia="宋体"/>
                <w:b w:val="0"/>
                <w:sz w:val="18"/>
              </w:rPr>
              <w:t>结构型式</w:t>
            </w:r>
          </w:p>
        </w:tc>
        <w:tc>
          <w:tcPr>
            <w:tcW w:type="dxa" w:w="3744"/>
            <w:vAlign w:val="center"/>
          </w:tcPr>
          <w:p>
            <w:pPr>
              <w:keepLines/>
              <w:spacing w:lineRule="auto" w:line="276"/>
              <w:jc w:val="center"/>
            </w:pPr>
            <w:r>
              <w:rPr>
                <w:rFonts w:ascii="Times New Roman" w:hAnsi="Times New Roman" w:eastAsia="宋体"/>
                <w:b w:val="0"/>
                <w:sz w:val="18"/>
              </w:rPr>
              <w:t>高桩梁板式</w:t>
            </w:r>
          </w:p>
        </w:tc>
        <w:tc>
          <w:tcPr>
            <w:tcW w:type="dxa" w:w="2160"/>
            <w:vAlign w:val="center"/>
          </w:tcPr>
          <w:p>
            <w:pPr>
              <w:keepLines/>
              <w:spacing w:lineRule="auto" w:line="276"/>
              <w:jc w:val="center"/>
            </w:pPr>
            <w:r>
              <w:rPr>
                <w:rFonts w:ascii="Times New Roman" w:hAnsi="Times New Roman" w:eastAsia="宋体"/>
                <w:b w:val="0"/>
                <w:sz w:val="18"/>
              </w:rPr>
              <w:t>推荐方案</w:t>
            </w:r>
          </w:p>
        </w:tc>
      </w:tr>
      <w:tr>
        <w:trPr>
          <w:cantSplit/>
        </w:trPr>
        <w:tc>
          <w:tcPr>
            <w:tcW w:type="dxa" w:w="2448"/>
            <w:vAlign w:val="center"/>
          </w:tcPr>
          <w:p>
            <w:pPr>
              <w:keepLines/>
              <w:spacing w:lineRule="auto" w:line="276"/>
              <w:jc w:val="center"/>
            </w:pPr>
            <w:r>
              <w:rPr>
                <w:rFonts w:ascii="Times New Roman" w:hAnsi="Times New Roman" w:eastAsia="宋体"/>
                <w:b w:val="0"/>
                <w:sz w:val="18"/>
              </w:rPr>
              <w:t>桩基</w:t>
            </w:r>
          </w:p>
        </w:tc>
        <w:tc>
          <w:tcPr>
            <w:tcW w:type="dxa" w:w="3744"/>
            <w:vAlign w:val="center"/>
          </w:tcPr>
          <w:p>
            <w:pPr>
              <w:keepLines/>
              <w:spacing w:lineRule="auto" w:line="276"/>
              <w:jc w:val="center"/>
            </w:pPr>
            <w:r>
              <w:rPr>
                <w:rFonts w:ascii="Times New Roman" w:hAnsi="Times New Roman" w:eastAsia="宋体"/>
                <w:b w:val="0"/>
                <w:sz w:val="18"/>
              </w:rPr>
              <w:t>φ800mm PHC管桩，约132根</w:t>
            </w:r>
          </w:p>
        </w:tc>
        <w:tc>
          <w:tcPr>
            <w:tcW w:type="dxa" w:w="2160"/>
            <w:vAlign w:val="center"/>
          </w:tcPr>
          <w:p>
            <w:pPr>
              <w:keepLines/>
              <w:spacing w:lineRule="auto" w:line="276"/>
              <w:jc w:val="center"/>
            </w:pPr>
            <w:r>
              <w:rPr>
                <w:rFonts w:ascii="Times New Roman" w:hAnsi="Times New Roman" w:eastAsia="宋体"/>
                <w:b w:val="0"/>
                <w:sz w:val="18"/>
              </w:rPr>
              <w:t>桩长暂取32m</w:t>
            </w:r>
          </w:p>
        </w:tc>
      </w:tr>
      <w:tr>
        <w:trPr>
          <w:cantSplit/>
        </w:trPr>
        <w:tc>
          <w:tcPr>
            <w:tcW w:type="dxa" w:w="2448"/>
            <w:vAlign w:val="center"/>
          </w:tcPr>
          <w:p>
            <w:pPr>
              <w:keepLines/>
              <w:spacing w:lineRule="auto" w:line="276"/>
              <w:jc w:val="center"/>
            </w:pPr>
            <w:r>
              <w:rPr>
                <w:rFonts w:ascii="Times New Roman" w:hAnsi="Times New Roman" w:eastAsia="宋体"/>
                <w:b w:val="0"/>
                <w:sz w:val="18"/>
              </w:rPr>
              <w:t>总投资</w:t>
            </w:r>
          </w:p>
        </w:tc>
        <w:tc>
          <w:tcPr>
            <w:tcW w:type="dxa" w:w="3744"/>
            <w:vAlign w:val="center"/>
          </w:tcPr>
          <w:p>
            <w:pPr>
              <w:keepLines/>
              <w:spacing w:lineRule="auto" w:line="276"/>
              <w:jc w:val="center"/>
            </w:pPr>
            <w:r>
              <w:rPr>
                <w:rFonts w:ascii="Times New Roman" w:hAnsi="Times New Roman" w:eastAsia="宋体"/>
                <w:b w:val="0"/>
                <w:sz w:val="18"/>
              </w:rPr>
              <w:t>约1.25亿元</w:t>
            </w:r>
          </w:p>
        </w:tc>
        <w:tc>
          <w:tcPr>
            <w:tcW w:type="dxa" w:w="2160"/>
            <w:vAlign w:val="center"/>
          </w:tcPr>
          <w:p>
            <w:pPr>
              <w:keepLines/>
              <w:spacing w:lineRule="auto" w:line="276"/>
              <w:jc w:val="center"/>
            </w:pPr>
            <w:r>
              <w:rPr>
                <w:rFonts w:ascii="Times New Roman" w:hAnsi="Times New Roman" w:eastAsia="宋体"/>
                <w:b w:val="0"/>
                <w:sz w:val="18"/>
              </w:rPr>
              <w:t>初步估算</w:t>
            </w:r>
          </w:p>
        </w:tc>
      </w:tr>
    </w:tbl>
    <w:p/>
    <w:p>
      <w:pPr>
        <w:spacing w:lineRule="auto" w:line="360" w:before="0" w:after="0"/>
        <w:ind w:firstLine="480"/>
      </w:pPr>
      <w:r>
        <w:rPr>
          <w:rFonts w:ascii="Times New Roman" w:hAnsi="Times New Roman" w:eastAsia="宋体"/>
          <w:sz w:val="24"/>
        </w:rPr>
        <w:t>本次优化后，说明书与最终五张图纸形成对应关系：第三章对应总平面图，第四章对应煤流与环保控制流程，第五章对应高桩和沉箱两套方案图，第六章对应推荐高桩方案结构图和计算，第七章对应工程量与施工组织。</w:t>
      </w:r>
    </w:p>
    <w:p>
      <w:pPr>
        <w:spacing w:lineRule="auto" w:line="360" w:before="0" w:after="0"/>
        <w:ind w:firstLine="480"/>
      </w:pPr>
      <w:r>
        <w:rPr>
          <w:rFonts w:ascii="Times New Roman" w:hAnsi="Times New Roman" w:eastAsia="宋体"/>
          <w:sz w:val="24"/>
        </w:rPr>
        <w:t>高桩方案作为推荐方案，主要依据是软土地基适应性、施工可控性、结构传力明确和后期维护便利；沉箱方案作为比选方案，保留完整图纸说明，但因软基换填和沉降控制工作量较大，不作为本工程主方案。</w:t>
      </w:r>
    </w:p>
    <w:p>
      <w:pPr>
        <w:pStyle w:val="2"/>
        <w:jc w:val="left"/>
      </w:pPr>
      <w:r>
        <w:rPr>
          <w:rFonts w:ascii="Times New Roman" w:hAnsi="Times New Roman" w:eastAsia="宋体"/>
          <w:b/>
          <w:sz w:val="24"/>
        </w:rPr>
        <w:t xml:space="preserve"> 结论</w:t>
      </w:r>
    </w:p>
    <w:p>
      <w:pPr>
        <w:spacing w:lineRule="auto" w:line="360" w:before="0" w:after="0"/>
        <w:ind w:firstLine="480"/>
      </w:pPr>
      <w:r>
        <w:rPr>
          <w:rFonts w:ascii="Times New Roman" w:hAnsi="Times New Roman" w:eastAsia="宋体"/>
          <w:sz w:val="24"/>
        </w:rPr>
        <w:t>本设计围绕汕尾电厂燃料煤运输需求，完成了5万DWT配套煤码头的初步设计。通过工程资料整理和规范计算，确定了码头泊位长度260m、码头面高程3.60m、前沿水深12.50m、回旋水域直径450m、航道底宽90m。装卸工艺采用桥式抓斗卸船机、带式输送机和斗轮堆取料机组成连续化系统，堆场设计容量取18万t。</w:t>
      </w:r>
    </w:p>
    <w:p>
      <w:pPr>
        <w:spacing w:lineRule="auto" w:line="360" w:before="0" w:after="0"/>
        <w:ind w:firstLine="480"/>
      </w:pPr>
      <w:r>
        <w:rPr>
          <w:rFonts w:ascii="Times New Roman" w:hAnsi="Times New Roman" w:eastAsia="宋体"/>
          <w:sz w:val="24"/>
        </w:rPr>
        <w:t>结构方案比选表明，在浅部软弱土较厚、下部风化花岗岩承载力较高的场地条件下，高桩梁板式结构较重力式沉箱结构更适合本工程。推荐方案采用φ800mm PHC管桩、现浇横梁、预制纵梁和叠合面板组合体系，单桩竖向承载力、面板配筋、纵梁和横梁尺寸经初步验算满足要求。</w:t>
      </w:r>
    </w:p>
    <w:p>
      <w:pPr>
        <w:spacing w:lineRule="auto" w:line="360" w:before="0" w:after="0"/>
        <w:ind w:firstLine="480"/>
      </w:pPr>
      <w:r>
        <w:rPr>
          <w:rFonts w:ascii="Times New Roman" w:hAnsi="Times New Roman" w:eastAsia="宋体"/>
          <w:sz w:val="24"/>
        </w:rPr>
        <w:t>综合各章节分析，本设计推荐高桩梁板式结构并非只基于单项指标，而是由软土地基条件、煤码头连续工艺、施工可控性、图纸表达完整性和后期维护便利性共同决定。五张图纸与正文计算已形成相互支撑的设计成果体系。</w:t>
      </w:r>
    </w:p>
    <w:p>
      <w:pPr>
        <w:spacing w:lineRule="auto" w:line="360" w:before="0" w:after="0"/>
        <w:ind w:firstLine="480"/>
      </w:pPr>
      <w:r>
        <w:rPr>
          <w:rFonts w:ascii="Times New Roman" w:hAnsi="Times New Roman" w:eastAsia="宋体"/>
          <w:sz w:val="24"/>
        </w:rPr>
        <w:t>补充计算后可以进一步看出，高桩方案不仅在结构适应性上优于沉箱方案，在软基处理工程量、施工窗口和后期维护方面也更符合电厂配套煤码头的运行要求。沉箱方案作为比选方案保留，有助于说明推荐结论的技术边界。</w:t>
      </w:r>
    </w:p>
    <w:p>
      <w:pPr>
        <w:pStyle w:val="2"/>
        <w:jc w:val="left"/>
      </w:pPr>
      <w:r>
        <w:rPr>
          <w:rFonts w:ascii="Times New Roman" w:hAnsi="Times New Roman" w:eastAsia="宋体"/>
          <w:b/>
          <w:sz w:val="24"/>
        </w:rPr>
        <w:t xml:space="preserve"> 展望</w:t>
      </w:r>
    </w:p>
    <w:p>
      <w:pPr>
        <w:spacing w:lineRule="auto" w:line="360" w:before="0" w:after="0"/>
        <w:ind w:firstLine="480"/>
      </w:pPr>
      <w:r>
        <w:rPr>
          <w:rFonts w:ascii="Times New Roman" w:hAnsi="Times New Roman" w:eastAsia="宋体"/>
          <w:sz w:val="24"/>
        </w:rPr>
        <w:t>本设计为初步设计深度，后续施工图阶段还需进一步开展精细地质复核、桩基试桩、船舶荷载精算、结构有限元分析、耐久性细化和设备招标参数复核。港口设计还应持续关注绿色港口、智能调度和低碳装卸技术的发展方向；自动化煤炭矿石码头技术规范可为后续集中控制、设备联锁和智能调度深化提供参考</w:t>
      </w:r>
      <w:r>
        <w:rPr>
          <w:rFonts w:ascii="Times New Roman" w:hAnsi="Times New Roman" w:eastAsia="宋体"/>
          <w:sz w:val="24"/>
          <w:vertAlign w:val="superscript"/>
        </w:rPr>
        <w:t>[22]</w:t>
      </w:r>
      <w:r>
        <w:rPr>
          <w:rFonts w:ascii="Times New Roman" w:hAnsi="Times New Roman" w:eastAsia="宋体"/>
          <w:sz w:val="24"/>
        </w:rPr>
        <w:t>。国外港口设施技术标准中的综合设计理念也可作为后续方案优化参考</w:t>
      </w:r>
      <w:r>
        <w:rPr>
          <w:rFonts w:ascii="Times New Roman" w:hAnsi="Times New Roman" w:eastAsia="宋体"/>
          <w:sz w:val="24"/>
          <w:vertAlign w:val="superscript"/>
        </w:rPr>
        <w:t>[23]</w:t>
      </w:r>
      <w:r>
        <w:rPr>
          <w:rFonts w:ascii="Times New Roman" w:hAnsi="Times New Roman" w:eastAsia="宋体"/>
          <w:sz w:val="24"/>
        </w:rPr>
        <w:t>。</w:t>
      </w:r>
    </w:p>
    <w:p>
      <w:pPr>
        <w:pageBreakBefore/>
        <w:jc w:val="center"/>
      </w:pPr>
      <w:r>
        <w:rPr>
          <w:rFonts w:ascii="Times New Roman" w:hAnsi="Times New Roman" w:eastAsia="宋体"/>
          <w:b/>
          <w:sz w:val="30"/>
        </w:rPr>
        <w:t>参考文献</w:t>
      </w:r>
    </w:p>
    <w:p>
      <w:pPr>
        <w:keepLines/>
        <w:spacing w:lineRule="auto" w:line="300" w:before="0" w:after="0"/>
        <w:ind w:hanging="360" w:left="360"/>
      </w:pPr>
      <w:r>
        <w:rPr>
          <w:rFonts w:ascii="Times New Roman" w:hAnsi="Times New Roman" w:eastAsia="宋体"/>
          <w:sz w:val="20"/>
        </w:rPr>
        <w:t>[1] 中华人民共和国交通运输部. 海港总体设计规范: JTS 165-2025[S]. 北京: 人民交通出版社股份有限公司, 2025.</w:t>
      </w:r>
    </w:p>
    <w:p>
      <w:pPr>
        <w:keepLines/>
        <w:spacing w:lineRule="auto" w:line="300" w:before="0" w:after="0"/>
        <w:ind w:hanging="360" w:left="360"/>
      </w:pPr>
      <w:r>
        <w:rPr>
          <w:rFonts w:ascii="Times New Roman" w:hAnsi="Times New Roman" w:eastAsia="宋体"/>
          <w:sz w:val="20"/>
        </w:rPr>
        <w:t>[2] 中华人民共和国交通运输部. 码头结构设计规范: JTS 167-2018[S]. 北京: 人民交通出版社股份有限公司, 2018.</w:t>
      </w:r>
    </w:p>
    <w:p>
      <w:pPr>
        <w:keepLines/>
        <w:spacing w:lineRule="auto" w:line="300" w:before="0" w:after="0"/>
        <w:ind w:hanging="360" w:left="360"/>
      </w:pPr>
      <w:r>
        <w:rPr>
          <w:rFonts w:ascii="Times New Roman" w:hAnsi="Times New Roman" w:eastAsia="宋体"/>
          <w:sz w:val="20"/>
        </w:rPr>
        <w:t>[3] 中交第四航务工程勘察设计院. 汕尾电厂港口工程岩土工程地质勘察报告[R]. 广州: 中交第四航务工程勘察设计院, 2003.</w:t>
      </w:r>
    </w:p>
    <w:p>
      <w:pPr>
        <w:keepLines/>
        <w:spacing w:lineRule="auto" w:line="300" w:before="0" w:after="0"/>
        <w:ind w:hanging="360" w:left="360"/>
      </w:pPr>
      <w:r>
        <w:rPr>
          <w:rFonts w:ascii="Times New Roman" w:hAnsi="Times New Roman" w:eastAsia="宋体"/>
          <w:sz w:val="20"/>
        </w:rPr>
        <w:t>[4] 中华人民共和国交通运输部. 水运工程地基设计规范: JTS 147-2017[S]. 北京: 人民交通出版社股份有限公司, 2017.</w:t>
      </w:r>
    </w:p>
    <w:p>
      <w:pPr>
        <w:keepLines/>
        <w:spacing w:lineRule="auto" w:line="300" w:before="0" w:after="0"/>
        <w:ind w:hanging="360" w:left="360"/>
      </w:pPr>
      <w:r>
        <w:rPr>
          <w:rFonts w:ascii="Times New Roman" w:hAnsi="Times New Roman" w:eastAsia="宋体"/>
          <w:sz w:val="20"/>
        </w:rPr>
        <w:t>[5] 交通部第一航务工程勘察设计院. 海港工程设计手册: 上册[M]. 北京: 人民交通出版社, 1997.</w:t>
      </w:r>
    </w:p>
    <w:p>
      <w:pPr>
        <w:keepLines/>
        <w:spacing w:lineRule="auto" w:line="300" w:before="0" w:after="0"/>
        <w:ind w:hanging="360" w:left="360"/>
      </w:pPr>
      <w:r>
        <w:rPr>
          <w:rFonts w:ascii="Times New Roman" w:hAnsi="Times New Roman" w:eastAsia="宋体"/>
          <w:sz w:val="20"/>
        </w:rPr>
        <w:t>[6] 王元战. 港工建筑物[M]. 天津: 天津大学出版社, 2009.</w:t>
      </w:r>
    </w:p>
    <w:p>
      <w:pPr>
        <w:keepLines/>
        <w:spacing w:lineRule="auto" w:line="300" w:before="0" w:after="0"/>
        <w:ind w:hanging="360" w:left="360"/>
      </w:pPr>
      <w:r>
        <w:rPr>
          <w:rFonts w:ascii="Times New Roman" w:hAnsi="Times New Roman" w:eastAsia="宋体"/>
          <w:sz w:val="20"/>
        </w:rPr>
        <w:t>[7] Carl A. Thoresen. Port Designer's Handbook[M]. 3rd ed. London: ICE Publishing, 2014.</w:t>
      </w:r>
    </w:p>
    <w:p>
      <w:pPr>
        <w:keepLines/>
        <w:spacing w:lineRule="auto" w:line="300" w:before="0" w:after="0"/>
        <w:ind w:hanging="360" w:left="360"/>
      </w:pPr>
      <w:r>
        <w:rPr>
          <w:rFonts w:ascii="Times New Roman" w:hAnsi="Times New Roman" w:eastAsia="宋体"/>
          <w:sz w:val="20"/>
        </w:rPr>
        <w:t>[8] British Standards Institution. BS 6349-2:2019 Maritime works-Code of practice for the design of quay walls, jetties and dolphins[S]. London: BSI Standards Limited, 2019.</w:t>
      </w:r>
    </w:p>
    <w:p>
      <w:pPr>
        <w:keepLines/>
        <w:spacing w:lineRule="auto" w:line="300" w:before="0" w:after="0"/>
        <w:ind w:hanging="360" w:left="360"/>
      </w:pPr>
      <w:r>
        <w:rPr>
          <w:rFonts w:ascii="Times New Roman" w:hAnsi="Times New Roman" w:eastAsia="宋体"/>
          <w:sz w:val="20"/>
        </w:rPr>
        <w:t>[9] 严恺, 梁其荀, 谢世楞, 等. 海岸工程[M]. 北京: 人民交通出版社, 2003.</w:t>
      </w:r>
    </w:p>
    <w:p>
      <w:pPr>
        <w:keepLines/>
        <w:spacing w:lineRule="auto" w:line="300" w:before="0" w:after="0"/>
        <w:ind w:hanging="360" w:left="360"/>
      </w:pPr>
      <w:r>
        <w:rPr>
          <w:rFonts w:ascii="Times New Roman" w:hAnsi="Times New Roman" w:eastAsia="宋体"/>
          <w:sz w:val="20"/>
        </w:rPr>
        <w:t>[10] 交通部第一航务工程勘察设计院. 海港工程设计手册: 中册[M]. 北京: 人民交通出版社, 1997.</w:t>
      </w:r>
    </w:p>
    <w:p>
      <w:pPr>
        <w:keepLines/>
        <w:spacing w:lineRule="auto" w:line="300" w:before="0" w:after="0"/>
        <w:ind w:hanging="360" w:left="360"/>
      </w:pPr>
      <w:r>
        <w:rPr>
          <w:rFonts w:ascii="Times New Roman" w:hAnsi="Times New Roman" w:eastAsia="宋体"/>
          <w:sz w:val="20"/>
        </w:rPr>
        <w:t>[11] PIANC. Harbour Approach Channels Design Guidelines: Report No. 121[R]. Brussels: PIANC, 2014.</w:t>
      </w:r>
    </w:p>
    <w:p>
      <w:pPr>
        <w:keepLines/>
        <w:spacing w:lineRule="auto" w:line="300" w:before="0" w:after="0"/>
        <w:ind w:hanging="360" w:left="360"/>
      </w:pPr>
      <w:r>
        <w:rPr>
          <w:rFonts w:ascii="Times New Roman" w:hAnsi="Times New Roman" w:eastAsia="宋体"/>
          <w:sz w:val="20"/>
        </w:rPr>
        <w:t>[12] 交通部第一航务工程勘察设计院. 海港工程设计手册: 下册[M]. 北京: 人民交通出版社, 1997.</w:t>
      </w:r>
    </w:p>
    <w:p>
      <w:pPr>
        <w:keepLines/>
        <w:spacing w:lineRule="auto" w:line="300" w:before="0" w:after="0"/>
        <w:ind w:hanging="360" w:left="360"/>
      </w:pPr>
      <w:r>
        <w:rPr>
          <w:rFonts w:ascii="Times New Roman" w:hAnsi="Times New Roman" w:eastAsia="宋体"/>
          <w:sz w:val="20"/>
        </w:rPr>
        <w:t>[13] 中华人民共和国交通运输部. 煤炭矿石码头粉尘控制设计规范: JTS/T 156-2024[S]. 北京: 人民交通出版社股份有限公司, 2024.</w:t>
      </w:r>
    </w:p>
    <w:p>
      <w:pPr>
        <w:keepLines/>
        <w:spacing w:lineRule="auto" w:line="300" w:before="0" w:after="0"/>
        <w:ind w:hanging="360" w:left="360"/>
      </w:pPr>
      <w:r>
        <w:rPr>
          <w:rFonts w:ascii="Times New Roman" w:hAnsi="Times New Roman" w:eastAsia="宋体"/>
          <w:sz w:val="20"/>
        </w:rPr>
        <w:t>[14] 中华人民共和国交通运输部. 港口道路与堆场设计规范: JTS 168-2017[S]. 北京: 人民交通出版社股份有限公司, 2017.</w:t>
      </w:r>
    </w:p>
    <w:p>
      <w:pPr>
        <w:keepLines/>
        <w:spacing w:lineRule="auto" w:line="300" w:before="0" w:after="0"/>
        <w:ind w:hanging="360" w:left="360"/>
      </w:pPr>
      <w:r>
        <w:rPr>
          <w:rFonts w:ascii="Times New Roman" w:hAnsi="Times New Roman" w:eastAsia="宋体"/>
          <w:sz w:val="20"/>
        </w:rPr>
        <w:t>[15] 中华人民共和国交通运输部. 港口工程荷载规范: JTS 144-1-2010[S]. 北京: 人民交通出版社, 2010.</w:t>
      </w:r>
    </w:p>
    <w:p>
      <w:pPr>
        <w:keepLines/>
        <w:spacing w:lineRule="auto" w:line="300" w:before="0" w:after="0"/>
        <w:ind w:hanging="360" w:left="360"/>
      </w:pPr>
      <w:r>
        <w:rPr>
          <w:rFonts w:ascii="Times New Roman" w:hAnsi="Times New Roman" w:eastAsia="宋体"/>
          <w:sz w:val="20"/>
        </w:rPr>
        <w:t>[16] 中华人民共和国交通运输部. 水运工程混凝土结构设计规范: JTS 151-2011[S]. 北京: 人民交通出版社, 2011.</w:t>
      </w:r>
    </w:p>
    <w:p>
      <w:pPr>
        <w:keepLines/>
        <w:spacing w:lineRule="auto" w:line="300" w:before="0" w:after="0"/>
        <w:ind w:hanging="360" w:left="360"/>
      </w:pPr>
      <w:r>
        <w:rPr>
          <w:rFonts w:ascii="Times New Roman" w:hAnsi="Times New Roman" w:eastAsia="宋体"/>
          <w:sz w:val="20"/>
        </w:rPr>
        <w:t>[17] 中华人民共和国住房和城乡建设部. 中国地震动参数区划图: GB 18306-2015[S]. 北京: 中国标准出版社, 2015.</w:t>
      </w:r>
    </w:p>
    <w:p>
      <w:pPr>
        <w:keepLines/>
        <w:spacing w:lineRule="auto" w:line="300" w:before="0" w:after="0"/>
        <w:ind w:hanging="360" w:left="360"/>
      </w:pPr>
      <w:r>
        <w:rPr>
          <w:rFonts w:ascii="Times New Roman" w:hAnsi="Times New Roman" w:eastAsia="宋体"/>
          <w:sz w:val="20"/>
        </w:rPr>
        <w:t>[18] 中华人民共和国交通运输部. 水运工程抗震设计规范: JTS 146-2012[S]. 北京: 人民交通出版社, 2012.</w:t>
      </w:r>
    </w:p>
    <w:p>
      <w:pPr>
        <w:keepLines/>
        <w:spacing w:lineRule="auto" w:line="300" w:before="0" w:after="0"/>
        <w:ind w:hanging="360" w:left="360"/>
      </w:pPr>
      <w:r>
        <w:rPr>
          <w:rFonts w:ascii="Times New Roman" w:hAnsi="Times New Roman" w:eastAsia="宋体"/>
          <w:sz w:val="20"/>
        </w:rPr>
        <w:t>[19] 中华人民共和国交通运输部. 水运工程桩基设计规范: JTS 147-7-2022[S]. 北京: 人民交通出版社股份有限公司, 2022.</w:t>
      </w:r>
    </w:p>
    <w:p>
      <w:pPr>
        <w:keepLines/>
        <w:spacing w:lineRule="auto" w:line="300" w:before="0" w:after="0"/>
        <w:ind w:hanging="360" w:left="360"/>
      </w:pPr>
      <w:r>
        <w:rPr>
          <w:rFonts w:ascii="Times New Roman" w:hAnsi="Times New Roman" w:eastAsia="宋体"/>
          <w:sz w:val="20"/>
        </w:rPr>
        <w:t>[20] 中华人民共和国交通运输部. 水运工程结构耐久性设计标准: JTS 153-2015[S]. 北京: 人民交通出版社, 2015.</w:t>
      </w:r>
    </w:p>
    <w:p>
      <w:pPr>
        <w:keepLines/>
        <w:spacing w:lineRule="auto" w:line="300" w:before="0" w:after="0"/>
        <w:ind w:hanging="360" w:left="360"/>
      </w:pPr>
      <w:r>
        <w:rPr>
          <w:rFonts w:ascii="Times New Roman" w:hAnsi="Times New Roman" w:eastAsia="宋体"/>
          <w:sz w:val="20"/>
        </w:rPr>
        <w:t>[21] 中华人民共和国交通运输部. 水运工程环境保护设计规范: JTS 149-2018[S]. 北京: 人民交通出版社股份有限公司, 2018.</w:t>
      </w:r>
    </w:p>
    <w:p>
      <w:pPr>
        <w:keepLines/>
        <w:spacing w:lineRule="auto" w:line="300" w:before="0" w:after="0"/>
        <w:ind w:hanging="360" w:left="360"/>
      </w:pPr>
      <w:r>
        <w:rPr>
          <w:rFonts w:ascii="Times New Roman" w:hAnsi="Times New Roman" w:eastAsia="宋体"/>
          <w:sz w:val="20"/>
        </w:rPr>
        <w:t>[22] 中华人民共和国交通运输部. 自动化煤炭矿石码头技术规范: JTS/T 188-2022[S]. 北京: 人民交通出版社股份有限公司, 2022.</w:t>
      </w:r>
    </w:p>
    <w:p>
      <w:pPr>
        <w:keepLines/>
        <w:spacing w:lineRule="auto" w:line="300" w:before="0" w:after="0"/>
        <w:ind w:hanging="360" w:left="360"/>
      </w:pPr>
      <w:r>
        <w:rPr>
          <w:rFonts w:ascii="Times New Roman" w:hAnsi="Times New Roman" w:eastAsia="宋体"/>
          <w:sz w:val="20"/>
        </w:rPr>
        <w:t>[23] The Overseas Coastal Area Development Institute of Japan. Technical Standards and Commentaries for Port and Harbour Facilities in Japan[M]. Tokyo: OCDI, 2009.</w:t>
      </w:r>
    </w:p>
    <w:p>
      <w:pPr>
        <w:pageBreakBefore/>
        <w:jc w:val="center"/>
      </w:pPr>
      <w:r>
        <w:rPr>
          <w:rFonts w:ascii="Times New Roman" w:hAnsi="Times New Roman" w:eastAsia="宋体"/>
          <w:b/>
          <w:sz w:val="30"/>
        </w:rPr>
        <w:t>致 谢</w:t>
      </w:r>
    </w:p>
    <w:p>
      <w:pPr>
        <w:spacing w:lineRule="auto" w:line="360" w:before="0" w:after="0"/>
        <w:ind w:firstLine="480"/>
      </w:pPr>
      <w:r>
        <w:rPr>
          <w:rFonts w:ascii="Times New Roman" w:hAnsi="Times New Roman" w:eastAsia="宋体"/>
          <w:sz w:val="24"/>
        </w:rPr>
        <w:t>本毕业设计从选题、资料整理、规范查阅到方案计算和说明书成稿，得到了指导教师孙克俐老师的耐心指导。老师在码头总平面布置、装卸工艺选择、结构方案比选和计算书表达等方面提出了具体意见，使我能够逐步把课程知识转化为完整的工程设计成果，在此表示诚挚感谢。</w:t>
      </w:r>
    </w:p>
    <w:p>
      <w:pPr>
        <w:spacing w:lineRule="auto" w:line="360" w:before="0" w:after="0"/>
        <w:ind w:firstLine="480"/>
      </w:pPr>
      <w:r>
        <w:rPr>
          <w:rFonts w:ascii="Times New Roman" w:hAnsi="Times New Roman" w:eastAsia="宋体"/>
          <w:sz w:val="24"/>
        </w:rPr>
        <w:t>感谢建筑工程学院各位老师在本科阶段的教学与培养。港口航道与海岸工程专业课程为本次设计提供了必要的理论基础，也使我在查阅规范、分析工程资料、进行结构计算和编制设计说明书的过程中更加严谨。</w:t>
      </w:r>
    </w:p>
    <w:p>
      <w:pPr>
        <w:spacing w:lineRule="auto" w:line="360" w:before="0" w:after="0"/>
        <w:ind w:firstLine="480"/>
      </w:pPr>
      <w:r>
        <w:rPr>
          <w:rFonts w:ascii="Times New Roman" w:hAnsi="Times New Roman" w:eastAsia="宋体"/>
          <w:sz w:val="24"/>
        </w:rPr>
        <w:t>感谢家人和同学在毕业设计期间给予的理解、鼓励和帮助。由于本人专业水平有限，设计中仍可能存在不足，恳请各位老师批评指正。</w:t>
      </w:r>
    </w:p>
    <w:sectPr w:rsidR="00773978">
      <w:footerReference w:type="default" r:id="rId26"/>
      <w:headerReference w:type="default" r:id="rId31"/>
      <w:pgSz w:w="11906" w:h="16838"/>
      <w:pgMar w:top="1559" w:right="1571" w:bottom="1440" w:left="2024" w:header="851" w:footer="992" w:gutter="0"/>
      <w:cols w:space="425"/>
      <w:docGrid w:linePitch="312"/>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A6754" w14:textId="77777777" w:rsidR="004631C8" w:rsidRDefault="004631C8">
      <w:pPr>
        <w:spacing w:before="48" w:line="240" w:lineRule="auto"/>
        <w:ind w:firstLine="480"/>
      </w:pPr>
      <w:r>
        <w:separator/>
      </w:r>
    </w:p>
  </w:endnote>
  <w:endnote w:type="continuationSeparator" w:id="0">
    <w:p w14:paraId="45DB38AA" w14:textId="77777777" w:rsidR="004631C8" w:rsidRDefault="004631C8">
      <w:pPr>
        <w:spacing w:before="48"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9D8E" w14:textId="77777777" w:rsidR="00773978" w:rsidRDefault="007105B6">
    <w:pPr>
      <w:pStyle w:val="aa"/>
      <w:framePr w:wrap="around" w:vAnchor="text" w:hAnchor="margin" w:xAlign="center" w:y="1"/>
      <w:spacing w:before="48"/>
      <w:ind w:firstLine="360"/>
      <w:rPr>
        <w:rStyle w:val="af6"/>
      </w:rPr>
    </w:pPr>
    <w:r>
      <w:rPr>
        <w:rStyle w:val="af6"/>
      </w:rPr>
      <w:fldChar w:fldCharType="begin"/>
    </w:r>
    <w:r>
      <w:rPr>
        <w:rStyle w:val="af6"/>
      </w:rPr>
      <w:instrText xml:space="preserve">PAGE  </w:instrText>
    </w:r>
    <w:r>
      <w:rPr>
        <w:rStyle w:val="af6"/>
      </w:rPr>
      <w:fldChar w:fldCharType="end"/>
    </w:r>
  </w:p>
  <w:p w14:paraId="4D4418D1" w14:textId="77777777" w:rsidR="00773978" w:rsidRDefault="00773978">
    <w:pPr>
      <w:pStyle w:val="aa"/>
      <w:spacing w:before="4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C2126" w14:textId="77777777" w:rsidR="00773978" w:rsidRDefault="00773978">
    <w:pPr>
      <w:pStyle w:val="aa"/>
      <w:spacing w:before="48"/>
      <w:ind w:firstLine="360"/>
      <w:jc w:val="center"/>
    </w:pPr>
  </w:p>
  <w:p w14:paraId="26709815" w14:textId="77777777" w:rsidR="00773978" w:rsidRDefault="00773978">
    <w:pPr>
      <w:pStyle w:val="aa"/>
      <w:tabs>
        <w:tab w:val="clear" w:pos="8306"/>
        <w:tab w:val="left" w:pos="3300"/>
      </w:tabs>
      <w:spacing w:before="4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B8E6B" w14:textId="77777777" w:rsidR="00773978" w:rsidRDefault="00773978">
    <w:pPr>
      <w:pStyle w:val="aa"/>
      <w:spacing w:before="4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2C89" w14:textId="77777777" w:rsidR="00773978" w:rsidRDefault="00773978">
    <w:pPr>
      <w:pStyle w:val="aa"/>
      <w:spacing w:before="48"/>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793794"/>
    </w:sdtPr>
    <w:sdtContent>
      <w:p w14:paraId="0E407CF5" w14:textId="77777777" w:rsidR="00773978" w:rsidRDefault="007105B6">
        <w:pPr>
          <w:pStyle w:val="aa"/>
          <w:spacing w:before="48"/>
          <w:ind w:firstLine="360"/>
          <w:jc w:val="center"/>
        </w:pPr>
        <w:r>
          <w:fldChar w:fldCharType="begin"/>
        </w:r>
        <w:r>
          <w:instrText>PAGE   \* MERGEFORMAT</w:instrText>
        </w:r>
        <w:r>
          <w:fldChar w:fldCharType="separate"/>
        </w:r>
        <w:r>
          <w:rPr>
            <w:lang w:val="zh-CN"/>
          </w:rPr>
          <w:t>I</w:t>
        </w:r>
        <w:r>
          <w:fldChar w:fldCharType="end"/>
        </w:r>
      </w:p>
    </w:sdtContent>
  </w:sdt>
  <w:p w14:paraId="5B066CAA" w14:textId="77777777" w:rsidR="00773978" w:rsidRDefault="00773978">
    <w:pPr>
      <w:pStyle w:val="aa"/>
      <w:spacing w:before="48"/>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32C5" w14:textId="12826E31" w:rsidR="00773978" w:rsidRDefault="007105B6">
    <w:pPr>
      <w:pStyle w:val="aa"/>
      <w:spacing w:before="48"/>
      <w:ind w:firstLine="360"/>
      <w:jc w:val="center"/>
    </w:pPr>
    <w:r>
      <w:fldChar w:fldCharType="begin"/>
    </w:r>
    <w:r>
      <w:instrText xml:space="preserve"> </w:instrText>
    </w:r>
    <w:r>
      <w:rPr>
        <w:rFonts w:hint="eastAsia"/>
      </w:rPr>
      <w:instrText>= 2 \* ROMAN</w:instrText>
    </w:r>
    <w:r>
      <w:instrText xml:space="preserve"> </w:instrText>
    </w:r>
    <w:r>
      <w:fldChar w:fldCharType="separate"/>
    </w:r>
    <w:r w:rsidR="006C4BF1">
      <w:rPr>
        <w:noProof/>
      </w:rPr>
      <w:t>II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50DA" w14:textId="77777777" w:rsidR="00773978" w:rsidRDefault="007105B6">
    <w:pPr>
      <w:pStyle w:val="aa"/>
      <w:spacing w:before="48"/>
      <w:ind w:firstLineChars="0" w:firstLine="0"/>
      <w:jc w:val="center"/>
      <w:rPr>
        <w:color w:val="000000"/>
      </w:rPr>
    </w:pPr>
    <w:r>
      <w:rPr>
        <w:color w:val="000000"/>
      </w:rPr>
      <w:fldChar w:fldCharType="begin"/>
    </w:r>
    <w:r>
      <w:rPr>
        <w:color w:val="000000"/>
      </w:rPr>
      <w:instrText>PAGE  \* ROMAN  \* MERGEFORMAT</w:instrText>
    </w:r>
    <w:r>
      <w:rPr>
        <w:color w:val="000000"/>
      </w:rPr>
      <w:fldChar w:fldCharType="separate"/>
    </w:r>
    <w:r>
      <w:rPr>
        <w:color w:val="000000"/>
        <w:lang w:val="zh-CN"/>
      </w:rPr>
      <w:t>IV</w:t>
    </w:r>
    <w:r>
      <w:rPr>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9249" w14:textId="77777777" w:rsidR="00773978" w:rsidRDefault="007105B6">
    <w:pPr>
      <w:pStyle w:val="aa"/>
      <w:framePr w:wrap="around" w:vAnchor="text" w:hAnchor="margin" w:xAlign="center" w:y="1"/>
      <w:spacing w:before="48"/>
      <w:ind w:firstLineChars="0" w:firstLine="0"/>
      <w:rPr>
        <w:rStyle w:val="af6"/>
        <w:rFonts w:asciiTheme="minorEastAsia" w:eastAsiaTheme="minorEastAsia" w:hAnsiTheme="minorEastAsia" w:hint="eastAsia"/>
      </w:rPr>
    </w:pPr>
    <w:r>
      <w:rPr>
        <w:rStyle w:val="af6"/>
        <w:rFonts w:asciiTheme="minorEastAsia" w:eastAsiaTheme="minorEastAsia" w:hAnsiTheme="minorEastAsia"/>
      </w:rPr>
      <w:fldChar w:fldCharType="begin"/>
    </w:r>
    <w:r>
      <w:rPr>
        <w:rStyle w:val="af6"/>
        <w:rFonts w:asciiTheme="minorEastAsia" w:eastAsiaTheme="minorEastAsia" w:hAnsiTheme="minorEastAsia"/>
      </w:rPr>
      <w:instrText xml:space="preserve">PAGE  </w:instrText>
    </w:r>
    <w:r>
      <w:rPr>
        <w:rStyle w:val="af6"/>
        <w:rFonts w:asciiTheme="minorEastAsia" w:eastAsiaTheme="minorEastAsia" w:hAnsiTheme="minorEastAsia"/>
      </w:rPr>
      <w:fldChar w:fldCharType="separate"/>
    </w:r>
    <w:r>
      <w:rPr>
        <w:rStyle w:val="af6"/>
        <w:rFonts w:asciiTheme="minorEastAsia" w:eastAsiaTheme="minorEastAsia" w:hAnsiTheme="minorEastAsia"/>
      </w:rPr>
      <w:t>8</w:t>
    </w:r>
    <w:r>
      <w:rPr>
        <w:rStyle w:val="af6"/>
        <w:rFonts w:asciiTheme="minorEastAsia" w:eastAsiaTheme="minorEastAsia" w:hAnsiTheme="minorEastAsia"/>
      </w:rPr>
      <w:fldChar w:fldCharType="end"/>
    </w:r>
  </w:p>
  <w:p w14:paraId="76FABA48" w14:textId="77777777" w:rsidR="00773978" w:rsidRDefault="00773978">
    <w:pPr>
      <w:pStyle w:val="aa"/>
      <w:spacing w:before="48"/>
      <w:ind w:firstLineChars="0" w:firstLine="0"/>
      <w:rPr>
        <w:rFonts w:asciiTheme="minorEastAsia" w:eastAsiaTheme="minorEastAsia" w:hAnsiTheme="minorEastAsia" w:hint="eastAsia"/>
      </w:rP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4"/>
      </w:rP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4"/>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F02F6" w14:textId="77777777" w:rsidR="004631C8" w:rsidRDefault="004631C8">
      <w:pPr>
        <w:spacing w:before="48"/>
        <w:ind w:firstLine="480"/>
      </w:pPr>
      <w:r>
        <w:separator/>
      </w:r>
    </w:p>
  </w:footnote>
  <w:footnote w:type="continuationSeparator" w:id="0">
    <w:p w14:paraId="0854DA38" w14:textId="77777777" w:rsidR="004631C8" w:rsidRDefault="004631C8">
      <w:pPr>
        <w:spacing w:before="48"/>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92E1E" w14:textId="77777777" w:rsidR="00773978" w:rsidRDefault="00773978">
    <w:pPr>
      <w:pStyle w:val="ac"/>
      <w:pBdr>
        <w:bottom w:val="none" w:sz="0" w:space="0" w:color="auto"/>
      </w:pBdr>
      <w:spacing w:before="48"/>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3154B" w14:textId="77777777" w:rsidR="00773978" w:rsidRDefault="00773978">
    <w:pPr>
      <w:pStyle w:val="ac"/>
      <w:pBdr>
        <w:bottom w:val="none" w:sz="0" w:space="0" w:color="auto"/>
      </w:pBdr>
      <w:spacing w:before="48"/>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DCE8" w14:textId="77777777" w:rsidR="00773978" w:rsidRDefault="00773978">
    <w:pPr>
      <w:pStyle w:val="ac"/>
      <w:spacing w:before="48"/>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9434F" w14:textId="77777777" w:rsidR="00773978" w:rsidRDefault="007105B6">
    <w:pPr>
      <w:pStyle w:val="ac"/>
      <w:pBdr>
        <w:bottom w:val="single" w:sz="4" w:space="1" w:color="auto"/>
      </w:pBdr>
      <w:spacing w:before="48"/>
      <w:ind w:firstLine="480"/>
    </w:pPr>
    <w:r>
      <w:rPr>
        <w:rFonts w:hint="eastAsia"/>
        <w:szCs w:val="21"/>
      </w:rPr>
      <w:t>天津大学硕士学位论文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4C12D" w14:textId="77777777" w:rsidR="00773978" w:rsidRDefault="007105B6">
    <w:pPr>
      <w:pStyle w:val="ac"/>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Rule="auto" w:line="240" w:before="0" w:after="0"/>
      <w:jc w:val="center"/>
      <w:pBdr>
        <w:bottom w:val="single" w:sz="4" w:space="1" w:color="auto"/>
      </w:pBdr>
    </w:pPr>
    <w:r>
      <w:rPr>
        <w:rFonts w:ascii="Times New Roman" w:hAnsi="Times New Roman" w:eastAsia="宋体"/>
        <w:sz w:val="20"/>
      </w:rPr>
      <w:t>天津大学2026届本科生毕业设计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Rule="auto" w:line="240" w:before="0" w:after="0"/>
      <w:jc w:val="center"/>
      <w:pBdr>
        <w:bottom w:val="single" w:sz="4" w:space="1" w:color="auto"/>
      </w:pBdr>
    </w:pPr>
    <w:r>
      <w:rPr>
        <w:rFonts w:ascii="Times New Roman" w:hAnsi="Times New Roman" w:eastAsia="宋体"/>
        <w:sz w:val="20"/>
      </w:rPr>
      <w:t>天津大学2026届本科生毕业设计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Rule="auto" w:line="240" w:before="0" w:after="0"/>
      <w:jc w:val="center"/>
      <w:pBdr>
        <w:bottom w:val="single" w:sz="4" w:space="1" w:color="auto"/>
      </w:pBdr>
    </w:pPr>
    <w:r>
      <w:rPr>
        <w:rFonts w:ascii="Times New Roman" w:hAnsi="Times New Roman" w:eastAsia="宋体"/>
        <w:sz w:val="20"/>
      </w:rPr>
      <w:t>天津大学2026届本科生毕业设计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Rule="auto" w:line="240" w:before="0" w:after="0"/>
      <w:jc w:val="center"/>
      <w:pBdr>
        <w:bottom w:val="single" w:sz="4" w:space="1" w:color="auto"/>
      </w:pBdr>
    </w:pPr>
    <w:r>
      <w:rPr>
        <w:rFonts w:ascii="Times New Roman" w:hAnsi="Times New Roman" w:eastAsia="宋体"/>
        <w:sz w:val="20"/>
      </w:rPr>
      <w:t>天津大学2026届本科生毕业设计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Rule="auto" w:line="240" w:before="0" w:after="0"/>
      <w:jc w:val="center"/>
      <w:pBdr>
        <w:bottom w:val="single" w:sz="4" w:space="1" w:color="auto"/>
      </w:pBdr>
    </w:pPr>
    <w:r>
      <w:rPr>
        <w:rFonts w:ascii="Times New Roman" w:hAnsi="Times New Roman" w:eastAsia="宋体"/>
        <w:sz w:val="20"/>
      </w:rPr>
      <w:t>天津大学2026届本科生毕业设计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2BB"/>
    <w:multiLevelType w:val="hybridMultilevel"/>
    <w:tmpl w:val="B9E29CF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0827C26"/>
    <w:multiLevelType w:val="multilevel"/>
    <w:tmpl w:val="10827C26"/>
    <w:lvl w:ilvl="0">
      <w:start w:val="1"/>
      <w:numFmt w:val="decimal"/>
      <w:pStyle w:val="a"/>
      <w:lvlText w:val="%1.1.1"/>
      <w:lvlJc w:val="left"/>
      <w:pPr>
        <w:ind w:left="420" w:hanging="420"/>
      </w:pPr>
      <w:rPr>
        <w:rFonts w:ascii="黑体" w:eastAsia="黑体" w:hAnsi="黑体" w:hint="eastAsia"/>
      </w:rPr>
    </w:lvl>
    <w:lvl w:ilvl="1">
      <w:start w:val="1"/>
      <w:numFmt w:val="lowerLetter"/>
      <w:lvlText w:val="%2)"/>
      <w:lvlJc w:val="left"/>
      <w:pPr>
        <w:ind w:left="840" w:hanging="420"/>
      </w:pPr>
      <w:rPr>
        <w:rFonts w:hint="eastAsia"/>
      </w:rPr>
    </w:lvl>
    <w:lvl w:ilvl="2">
      <w:start w:val="1"/>
      <w:numFmt w:val="decimal"/>
      <w:lvlText w:val="%3.1.1"/>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1B955530"/>
    <w:multiLevelType w:val="hybridMultilevel"/>
    <w:tmpl w:val="971455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28591D13"/>
    <w:multiLevelType w:val="hybridMultilevel"/>
    <w:tmpl w:val="065EBB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DEA1748"/>
    <w:multiLevelType w:val="hybridMultilevel"/>
    <w:tmpl w:val="3A5AF8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ECA2683"/>
    <w:multiLevelType w:val="hybridMultilevel"/>
    <w:tmpl w:val="7362F39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9DA2F7C"/>
    <w:multiLevelType w:val="hybridMultilevel"/>
    <w:tmpl w:val="D18A3F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0F52F4D"/>
    <w:multiLevelType w:val="multilevel"/>
    <w:tmpl w:val="40F52F4D"/>
    <w:lvl w:ilvl="0">
      <w:start w:val="1"/>
      <w:numFmt w:val="chineseCountingThousand"/>
      <w:pStyle w:val="1"/>
      <w:suff w:val="nothing"/>
      <w:lvlText w:val="第%1章"/>
      <w:lvlJc w:val="center"/>
      <w:pPr>
        <w:ind w:left="2264" w:firstLine="288"/>
      </w:pPr>
      <w:rPr>
        <w:rFonts w:ascii="黑体" w:eastAsia="黑体" w:hAnsi="黑体" w:cs="Times New Roman" w:hint="default"/>
        <w:b w:val="0"/>
        <w:i w:val="0"/>
        <w:iCs w:val="0"/>
        <w:caps w:val="0"/>
        <w:smallCaps w:val="0"/>
        <w:strike w:val="0"/>
        <w:dstrike w:val="0"/>
        <w:vanish w:val="0"/>
        <w:color w:val="000000"/>
        <w:spacing w:val="0"/>
        <w:position w:val="0"/>
        <w:sz w:val="30"/>
        <w:szCs w:val="30"/>
        <w:u w:val="none"/>
        <w:vertAlign w:val="baseline"/>
      </w:rPr>
    </w:lvl>
    <w:lvl w:ilvl="1">
      <w:start w:val="1"/>
      <w:numFmt w:val="decimal"/>
      <w:pStyle w:val="2"/>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start w:val="1"/>
      <w:numFmt w:val="decimal"/>
      <w:pStyle w:val="3"/>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start w:val="1"/>
      <w:numFmt w:val="decimal"/>
      <w:lvlRestart w:val="0"/>
      <w:pStyle w:val="4"/>
      <w:isLgl/>
      <w:suff w:val="space"/>
      <w:lvlText w:val="%1.%2.%3.%4"/>
      <w:lvlJc w:val="left"/>
      <w:pPr>
        <w:ind w:left="0" w:firstLine="0"/>
      </w:pPr>
      <w:rPr>
        <w:rFonts w:ascii="Times New Roman" w:eastAsia="宋体" w:hAnsi="Times New Roman" w:hint="default"/>
        <w:b/>
        <w:i w:val="0"/>
        <w:sz w:val="24"/>
      </w:rPr>
    </w:lvl>
    <w:lvl w:ilvl="4">
      <w:start w:val="1"/>
      <w:numFmt w:val="decimal"/>
      <w:lvlRestart w:val="0"/>
      <w:pStyle w:val="5"/>
      <w:isLgl/>
      <w:suff w:val="space"/>
      <w:lvlText w:val="%1.%2.%3.%4.%5"/>
      <w:lvlJc w:val="left"/>
      <w:pPr>
        <w:ind w:left="0" w:firstLine="0"/>
      </w:pPr>
      <w:rPr>
        <w:rFonts w:hint="eastAsia"/>
        <w:b/>
        <w:i w:val="0"/>
        <w:sz w:val="24"/>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8" w15:restartNumberingAfterBreak="0">
    <w:nsid w:val="41D956DE"/>
    <w:multiLevelType w:val="multilevel"/>
    <w:tmpl w:val="41D956DE"/>
    <w:lvl w:ilvl="0">
      <w:start w:val="1"/>
      <w:numFmt w:val="decimal"/>
      <w:lvlText w:val="[%1]"/>
      <w:lvlJc w:val="left"/>
      <w:pPr>
        <w:ind w:left="420" w:hanging="420"/>
      </w:pPr>
      <w:rPr>
        <w:rFonts w:asciiTheme="minorEastAsia" w:eastAsiaTheme="minorEastAsia" w:hAnsiTheme="minorEastAsia"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67883476">
    <w:abstractNumId w:val="7"/>
  </w:num>
  <w:num w:numId="2" w16cid:durableId="224727747">
    <w:abstractNumId w:val="1"/>
  </w:num>
  <w:num w:numId="3" w16cid:durableId="515995357">
    <w:abstractNumId w:val="8"/>
  </w:num>
  <w:num w:numId="4" w16cid:durableId="1175615005">
    <w:abstractNumId w:val="0"/>
  </w:num>
  <w:num w:numId="5" w16cid:durableId="1935164427">
    <w:abstractNumId w:val="5"/>
  </w:num>
  <w:num w:numId="6" w16cid:durableId="899250317">
    <w:abstractNumId w:val="2"/>
  </w:num>
  <w:num w:numId="7" w16cid:durableId="298342189">
    <w:abstractNumId w:val="4"/>
  </w:num>
  <w:num w:numId="8" w16cid:durableId="1349137381">
    <w:abstractNumId w:val="3"/>
  </w:num>
  <w:num w:numId="9" w16cid:durableId="108670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7"/>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0C8C"/>
    <w:rsid w:val="000036D1"/>
    <w:rsid w:val="00005582"/>
    <w:rsid w:val="00005F59"/>
    <w:rsid w:val="00010485"/>
    <w:rsid w:val="0002136E"/>
    <w:rsid w:val="000232B7"/>
    <w:rsid w:val="0002603F"/>
    <w:rsid w:val="000263D5"/>
    <w:rsid w:val="00026E07"/>
    <w:rsid w:val="0004407E"/>
    <w:rsid w:val="000451D1"/>
    <w:rsid w:val="00045C48"/>
    <w:rsid w:val="00050E8A"/>
    <w:rsid w:val="00051E7E"/>
    <w:rsid w:val="00053485"/>
    <w:rsid w:val="0006112D"/>
    <w:rsid w:val="0006359B"/>
    <w:rsid w:val="00065973"/>
    <w:rsid w:val="00072B4C"/>
    <w:rsid w:val="000774CD"/>
    <w:rsid w:val="00084775"/>
    <w:rsid w:val="00084C4E"/>
    <w:rsid w:val="00091179"/>
    <w:rsid w:val="00091BED"/>
    <w:rsid w:val="000940E9"/>
    <w:rsid w:val="00096D1F"/>
    <w:rsid w:val="00097BEF"/>
    <w:rsid w:val="000A56F0"/>
    <w:rsid w:val="000A680D"/>
    <w:rsid w:val="000A7DEF"/>
    <w:rsid w:val="000B4319"/>
    <w:rsid w:val="000C30A7"/>
    <w:rsid w:val="000C4988"/>
    <w:rsid w:val="000D1624"/>
    <w:rsid w:val="000D6DFD"/>
    <w:rsid w:val="00104BCD"/>
    <w:rsid w:val="00107907"/>
    <w:rsid w:val="00107E24"/>
    <w:rsid w:val="00110B74"/>
    <w:rsid w:val="00114FAA"/>
    <w:rsid w:val="001247A4"/>
    <w:rsid w:val="00124F8C"/>
    <w:rsid w:val="00127955"/>
    <w:rsid w:val="0016652F"/>
    <w:rsid w:val="001747B9"/>
    <w:rsid w:val="00182670"/>
    <w:rsid w:val="00185EE0"/>
    <w:rsid w:val="00185FE3"/>
    <w:rsid w:val="001945D5"/>
    <w:rsid w:val="001B3731"/>
    <w:rsid w:val="001B3D4C"/>
    <w:rsid w:val="001B6B03"/>
    <w:rsid w:val="001B7F76"/>
    <w:rsid w:val="001C4B93"/>
    <w:rsid w:val="001C6CA8"/>
    <w:rsid w:val="001D3037"/>
    <w:rsid w:val="001D363A"/>
    <w:rsid w:val="001D7052"/>
    <w:rsid w:val="001E45F5"/>
    <w:rsid w:val="001E56FC"/>
    <w:rsid w:val="001E5D1E"/>
    <w:rsid w:val="001E6A84"/>
    <w:rsid w:val="001F25CD"/>
    <w:rsid w:val="001F2A54"/>
    <w:rsid w:val="0020443A"/>
    <w:rsid w:val="00217778"/>
    <w:rsid w:val="00222DC5"/>
    <w:rsid w:val="002231F2"/>
    <w:rsid w:val="002272CA"/>
    <w:rsid w:val="00230166"/>
    <w:rsid w:val="00232BEC"/>
    <w:rsid w:val="0024607F"/>
    <w:rsid w:val="00261835"/>
    <w:rsid w:val="0026251E"/>
    <w:rsid w:val="00266DCA"/>
    <w:rsid w:val="00267C40"/>
    <w:rsid w:val="00270B5C"/>
    <w:rsid w:val="00273D57"/>
    <w:rsid w:val="0028074C"/>
    <w:rsid w:val="00282035"/>
    <w:rsid w:val="00293B68"/>
    <w:rsid w:val="00293C74"/>
    <w:rsid w:val="00297136"/>
    <w:rsid w:val="002A39FE"/>
    <w:rsid w:val="002A6965"/>
    <w:rsid w:val="002B21D6"/>
    <w:rsid w:val="002C1A97"/>
    <w:rsid w:val="002C4678"/>
    <w:rsid w:val="002C56B8"/>
    <w:rsid w:val="002C5962"/>
    <w:rsid w:val="002D2255"/>
    <w:rsid w:val="002E055C"/>
    <w:rsid w:val="002E12D2"/>
    <w:rsid w:val="002E5921"/>
    <w:rsid w:val="002F2489"/>
    <w:rsid w:val="00300FE8"/>
    <w:rsid w:val="00302CBD"/>
    <w:rsid w:val="003039F3"/>
    <w:rsid w:val="00304AEE"/>
    <w:rsid w:val="00304F5C"/>
    <w:rsid w:val="00310027"/>
    <w:rsid w:val="0031784C"/>
    <w:rsid w:val="00326858"/>
    <w:rsid w:val="00326DB5"/>
    <w:rsid w:val="00326DEB"/>
    <w:rsid w:val="00333446"/>
    <w:rsid w:val="00335802"/>
    <w:rsid w:val="00341BD1"/>
    <w:rsid w:val="00341F0F"/>
    <w:rsid w:val="00344B3E"/>
    <w:rsid w:val="00347CC0"/>
    <w:rsid w:val="003501CC"/>
    <w:rsid w:val="00350287"/>
    <w:rsid w:val="00352431"/>
    <w:rsid w:val="00355665"/>
    <w:rsid w:val="00360842"/>
    <w:rsid w:val="0037231A"/>
    <w:rsid w:val="00381FDF"/>
    <w:rsid w:val="00384CA4"/>
    <w:rsid w:val="0038562E"/>
    <w:rsid w:val="00385881"/>
    <w:rsid w:val="00395AD4"/>
    <w:rsid w:val="003B2E76"/>
    <w:rsid w:val="003C00F3"/>
    <w:rsid w:val="003D1B6D"/>
    <w:rsid w:val="003D2EE7"/>
    <w:rsid w:val="003D763C"/>
    <w:rsid w:val="003E02F2"/>
    <w:rsid w:val="003E3D52"/>
    <w:rsid w:val="003E3F4D"/>
    <w:rsid w:val="003E4095"/>
    <w:rsid w:val="003F3C7B"/>
    <w:rsid w:val="003F654F"/>
    <w:rsid w:val="0040091F"/>
    <w:rsid w:val="004039A5"/>
    <w:rsid w:val="00411F2D"/>
    <w:rsid w:val="0041484E"/>
    <w:rsid w:val="0042164B"/>
    <w:rsid w:val="00421841"/>
    <w:rsid w:val="00421C49"/>
    <w:rsid w:val="004223B6"/>
    <w:rsid w:val="00424174"/>
    <w:rsid w:val="00440AAC"/>
    <w:rsid w:val="00442343"/>
    <w:rsid w:val="00454177"/>
    <w:rsid w:val="0045759A"/>
    <w:rsid w:val="004631C8"/>
    <w:rsid w:val="00463844"/>
    <w:rsid w:val="00471889"/>
    <w:rsid w:val="0048147A"/>
    <w:rsid w:val="004858EB"/>
    <w:rsid w:val="004876F4"/>
    <w:rsid w:val="00487E98"/>
    <w:rsid w:val="004955AA"/>
    <w:rsid w:val="004B1434"/>
    <w:rsid w:val="004C34EA"/>
    <w:rsid w:val="004C792C"/>
    <w:rsid w:val="004D5525"/>
    <w:rsid w:val="004E1E1B"/>
    <w:rsid w:val="004E53C4"/>
    <w:rsid w:val="004F1E12"/>
    <w:rsid w:val="004F4DEC"/>
    <w:rsid w:val="004F67EB"/>
    <w:rsid w:val="005024FE"/>
    <w:rsid w:val="005025C1"/>
    <w:rsid w:val="005043F1"/>
    <w:rsid w:val="00507BA3"/>
    <w:rsid w:val="00511D70"/>
    <w:rsid w:val="00511F3B"/>
    <w:rsid w:val="00514933"/>
    <w:rsid w:val="00521593"/>
    <w:rsid w:val="00524B41"/>
    <w:rsid w:val="0052568A"/>
    <w:rsid w:val="005307C1"/>
    <w:rsid w:val="00531F0A"/>
    <w:rsid w:val="00534702"/>
    <w:rsid w:val="00546F44"/>
    <w:rsid w:val="0055157A"/>
    <w:rsid w:val="00552BFB"/>
    <w:rsid w:val="00556DC3"/>
    <w:rsid w:val="00561228"/>
    <w:rsid w:val="0056422F"/>
    <w:rsid w:val="00565C48"/>
    <w:rsid w:val="00566EC2"/>
    <w:rsid w:val="00574860"/>
    <w:rsid w:val="00576942"/>
    <w:rsid w:val="00576DB0"/>
    <w:rsid w:val="00582BE3"/>
    <w:rsid w:val="0059086A"/>
    <w:rsid w:val="00597003"/>
    <w:rsid w:val="005A3037"/>
    <w:rsid w:val="005A4D16"/>
    <w:rsid w:val="005B2412"/>
    <w:rsid w:val="005B3BB7"/>
    <w:rsid w:val="005C1516"/>
    <w:rsid w:val="005C6F9A"/>
    <w:rsid w:val="005D32F8"/>
    <w:rsid w:val="005E19FE"/>
    <w:rsid w:val="005E2F78"/>
    <w:rsid w:val="005E7C5B"/>
    <w:rsid w:val="005F15F4"/>
    <w:rsid w:val="005F1DB2"/>
    <w:rsid w:val="00624F9C"/>
    <w:rsid w:val="0063620F"/>
    <w:rsid w:val="00636A2B"/>
    <w:rsid w:val="006512E0"/>
    <w:rsid w:val="006542E9"/>
    <w:rsid w:val="00656003"/>
    <w:rsid w:val="00664B07"/>
    <w:rsid w:val="006729F8"/>
    <w:rsid w:val="0067578D"/>
    <w:rsid w:val="00677D96"/>
    <w:rsid w:val="00682F8B"/>
    <w:rsid w:val="0068528E"/>
    <w:rsid w:val="006913B0"/>
    <w:rsid w:val="00693948"/>
    <w:rsid w:val="00694971"/>
    <w:rsid w:val="00694AC8"/>
    <w:rsid w:val="006965BC"/>
    <w:rsid w:val="00696FF7"/>
    <w:rsid w:val="006A3810"/>
    <w:rsid w:val="006A3C41"/>
    <w:rsid w:val="006B57E2"/>
    <w:rsid w:val="006C4BF1"/>
    <w:rsid w:val="006C6A22"/>
    <w:rsid w:val="006D246D"/>
    <w:rsid w:val="006D578B"/>
    <w:rsid w:val="006E1DBA"/>
    <w:rsid w:val="006E5CE4"/>
    <w:rsid w:val="006F2B06"/>
    <w:rsid w:val="006F3B34"/>
    <w:rsid w:val="006F7C8C"/>
    <w:rsid w:val="006F7D3A"/>
    <w:rsid w:val="00702D2A"/>
    <w:rsid w:val="007105B6"/>
    <w:rsid w:val="00712140"/>
    <w:rsid w:val="007148A7"/>
    <w:rsid w:val="007152F3"/>
    <w:rsid w:val="00724FC8"/>
    <w:rsid w:val="00725B9F"/>
    <w:rsid w:val="007271F3"/>
    <w:rsid w:val="00730558"/>
    <w:rsid w:val="00732777"/>
    <w:rsid w:val="00736F5F"/>
    <w:rsid w:val="00737A94"/>
    <w:rsid w:val="00747534"/>
    <w:rsid w:val="007552E9"/>
    <w:rsid w:val="007610EC"/>
    <w:rsid w:val="00773616"/>
    <w:rsid w:val="00773978"/>
    <w:rsid w:val="00774CF3"/>
    <w:rsid w:val="00781245"/>
    <w:rsid w:val="0078271A"/>
    <w:rsid w:val="00783716"/>
    <w:rsid w:val="00783F6D"/>
    <w:rsid w:val="00787B8C"/>
    <w:rsid w:val="00793053"/>
    <w:rsid w:val="00794A34"/>
    <w:rsid w:val="007A22EC"/>
    <w:rsid w:val="007A37A1"/>
    <w:rsid w:val="007A7331"/>
    <w:rsid w:val="007A7721"/>
    <w:rsid w:val="007B170C"/>
    <w:rsid w:val="007B4E31"/>
    <w:rsid w:val="007C3CBB"/>
    <w:rsid w:val="007C46F1"/>
    <w:rsid w:val="007C4F08"/>
    <w:rsid w:val="007D7DA0"/>
    <w:rsid w:val="007E34BF"/>
    <w:rsid w:val="007F29B1"/>
    <w:rsid w:val="007F6BB9"/>
    <w:rsid w:val="007F7DDC"/>
    <w:rsid w:val="00810724"/>
    <w:rsid w:val="0081708A"/>
    <w:rsid w:val="00823E61"/>
    <w:rsid w:val="0082790F"/>
    <w:rsid w:val="0083496F"/>
    <w:rsid w:val="0084158E"/>
    <w:rsid w:val="00842011"/>
    <w:rsid w:val="008450A4"/>
    <w:rsid w:val="0085223F"/>
    <w:rsid w:val="00852DEA"/>
    <w:rsid w:val="00863389"/>
    <w:rsid w:val="0086387A"/>
    <w:rsid w:val="0086511C"/>
    <w:rsid w:val="00867970"/>
    <w:rsid w:val="0089189C"/>
    <w:rsid w:val="00891A45"/>
    <w:rsid w:val="00897347"/>
    <w:rsid w:val="008B443C"/>
    <w:rsid w:val="008C4E98"/>
    <w:rsid w:val="008D1370"/>
    <w:rsid w:val="008D30DF"/>
    <w:rsid w:val="008D35BD"/>
    <w:rsid w:val="008D4718"/>
    <w:rsid w:val="008E0C95"/>
    <w:rsid w:val="008E43E5"/>
    <w:rsid w:val="008E4D5A"/>
    <w:rsid w:val="008F3FF7"/>
    <w:rsid w:val="008F505D"/>
    <w:rsid w:val="008F51A8"/>
    <w:rsid w:val="00902920"/>
    <w:rsid w:val="00920362"/>
    <w:rsid w:val="00922B74"/>
    <w:rsid w:val="00922EB2"/>
    <w:rsid w:val="00925BEF"/>
    <w:rsid w:val="00926163"/>
    <w:rsid w:val="009270B7"/>
    <w:rsid w:val="009274E8"/>
    <w:rsid w:val="00930FBA"/>
    <w:rsid w:val="0093188C"/>
    <w:rsid w:val="00933434"/>
    <w:rsid w:val="0093447F"/>
    <w:rsid w:val="00936112"/>
    <w:rsid w:val="0093755E"/>
    <w:rsid w:val="00940518"/>
    <w:rsid w:val="00947CF1"/>
    <w:rsid w:val="009509AD"/>
    <w:rsid w:val="00956341"/>
    <w:rsid w:val="00967F03"/>
    <w:rsid w:val="0097241A"/>
    <w:rsid w:val="00974136"/>
    <w:rsid w:val="00974A63"/>
    <w:rsid w:val="009772C9"/>
    <w:rsid w:val="00981F3F"/>
    <w:rsid w:val="00983508"/>
    <w:rsid w:val="009847D6"/>
    <w:rsid w:val="0098543F"/>
    <w:rsid w:val="0099168D"/>
    <w:rsid w:val="00993DEF"/>
    <w:rsid w:val="009946EF"/>
    <w:rsid w:val="00997774"/>
    <w:rsid w:val="009B55C7"/>
    <w:rsid w:val="009B5C89"/>
    <w:rsid w:val="009C092C"/>
    <w:rsid w:val="009C0A4B"/>
    <w:rsid w:val="009C4E7C"/>
    <w:rsid w:val="009E3097"/>
    <w:rsid w:val="009E428F"/>
    <w:rsid w:val="009E7308"/>
    <w:rsid w:val="009E77DB"/>
    <w:rsid w:val="009F083B"/>
    <w:rsid w:val="009F5921"/>
    <w:rsid w:val="00A0024B"/>
    <w:rsid w:val="00A01D00"/>
    <w:rsid w:val="00A0407C"/>
    <w:rsid w:val="00A06243"/>
    <w:rsid w:val="00A127FE"/>
    <w:rsid w:val="00A12843"/>
    <w:rsid w:val="00A212E9"/>
    <w:rsid w:val="00A24300"/>
    <w:rsid w:val="00A24A2F"/>
    <w:rsid w:val="00A307BA"/>
    <w:rsid w:val="00A442E8"/>
    <w:rsid w:val="00A5049C"/>
    <w:rsid w:val="00A52383"/>
    <w:rsid w:val="00A5442B"/>
    <w:rsid w:val="00A60DF8"/>
    <w:rsid w:val="00A70E6F"/>
    <w:rsid w:val="00A70F41"/>
    <w:rsid w:val="00A8367A"/>
    <w:rsid w:val="00A86654"/>
    <w:rsid w:val="00A90027"/>
    <w:rsid w:val="00A92907"/>
    <w:rsid w:val="00A94BB4"/>
    <w:rsid w:val="00A96604"/>
    <w:rsid w:val="00A97386"/>
    <w:rsid w:val="00AA13D5"/>
    <w:rsid w:val="00AA4056"/>
    <w:rsid w:val="00AB0AF5"/>
    <w:rsid w:val="00AB717C"/>
    <w:rsid w:val="00AC05CE"/>
    <w:rsid w:val="00AC4A45"/>
    <w:rsid w:val="00AC5373"/>
    <w:rsid w:val="00AC6030"/>
    <w:rsid w:val="00AC676F"/>
    <w:rsid w:val="00AD1303"/>
    <w:rsid w:val="00AD3390"/>
    <w:rsid w:val="00AD701D"/>
    <w:rsid w:val="00AD7B51"/>
    <w:rsid w:val="00AE517B"/>
    <w:rsid w:val="00AE5420"/>
    <w:rsid w:val="00AF0E5F"/>
    <w:rsid w:val="00AF376F"/>
    <w:rsid w:val="00AF74F8"/>
    <w:rsid w:val="00B002C7"/>
    <w:rsid w:val="00B00D55"/>
    <w:rsid w:val="00B10260"/>
    <w:rsid w:val="00B14257"/>
    <w:rsid w:val="00B14B15"/>
    <w:rsid w:val="00B1766F"/>
    <w:rsid w:val="00B208A8"/>
    <w:rsid w:val="00B248B8"/>
    <w:rsid w:val="00B27769"/>
    <w:rsid w:val="00B309A4"/>
    <w:rsid w:val="00B309DE"/>
    <w:rsid w:val="00B40C8C"/>
    <w:rsid w:val="00B4177E"/>
    <w:rsid w:val="00B4719D"/>
    <w:rsid w:val="00B47B79"/>
    <w:rsid w:val="00B47EA8"/>
    <w:rsid w:val="00B53350"/>
    <w:rsid w:val="00B537D5"/>
    <w:rsid w:val="00B64853"/>
    <w:rsid w:val="00B66568"/>
    <w:rsid w:val="00B66D6B"/>
    <w:rsid w:val="00B7017E"/>
    <w:rsid w:val="00B746A4"/>
    <w:rsid w:val="00B74F65"/>
    <w:rsid w:val="00B76CD2"/>
    <w:rsid w:val="00B81C3B"/>
    <w:rsid w:val="00B83121"/>
    <w:rsid w:val="00B91760"/>
    <w:rsid w:val="00B94D27"/>
    <w:rsid w:val="00B96013"/>
    <w:rsid w:val="00B965E5"/>
    <w:rsid w:val="00BA78A9"/>
    <w:rsid w:val="00BB4E65"/>
    <w:rsid w:val="00BB685D"/>
    <w:rsid w:val="00BC2520"/>
    <w:rsid w:val="00BC507E"/>
    <w:rsid w:val="00BD54A8"/>
    <w:rsid w:val="00BD6284"/>
    <w:rsid w:val="00BE4CBC"/>
    <w:rsid w:val="00BE7BE7"/>
    <w:rsid w:val="00BE7C8A"/>
    <w:rsid w:val="00C021AB"/>
    <w:rsid w:val="00C02A47"/>
    <w:rsid w:val="00C05C57"/>
    <w:rsid w:val="00C10C3E"/>
    <w:rsid w:val="00C14F89"/>
    <w:rsid w:val="00C15896"/>
    <w:rsid w:val="00C17600"/>
    <w:rsid w:val="00C20556"/>
    <w:rsid w:val="00C23DB2"/>
    <w:rsid w:val="00C24653"/>
    <w:rsid w:val="00C25081"/>
    <w:rsid w:val="00C27521"/>
    <w:rsid w:val="00C33C27"/>
    <w:rsid w:val="00C40E0D"/>
    <w:rsid w:val="00C41FBA"/>
    <w:rsid w:val="00C421DE"/>
    <w:rsid w:val="00C46B0A"/>
    <w:rsid w:val="00C470CD"/>
    <w:rsid w:val="00C47E07"/>
    <w:rsid w:val="00C57F9A"/>
    <w:rsid w:val="00C6011E"/>
    <w:rsid w:val="00C61FB5"/>
    <w:rsid w:val="00C6204C"/>
    <w:rsid w:val="00C7342F"/>
    <w:rsid w:val="00C81C12"/>
    <w:rsid w:val="00C827B7"/>
    <w:rsid w:val="00C90959"/>
    <w:rsid w:val="00C910B5"/>
    <w:rsid w:val="00C9179D"/>
    <w:rsid w:val="00C935A9"/>
    <w:rsid w:val="00CB2AC1"/>
    <w:rsid w:val="00CB4FA8"/>
    <w:rsid w:val="00CC59ED"/>
    <w:rsid w:val="00CD0AC1"/>
    <w:rsid w:val="00CD5265"/>
    <w:rsid w:val="00CD7548"/>
    <w:rsid w:val="00CE2C47"/>
    <w:rsid w:val="00CE2CDD"/>
    <w:rsid w:val="00CF0C55"/>
    <w:rsid w:val="00CF1391"/>
    <w:rsid w:val="00CF6750"/>
    <w:rsid w:val="00D1413C"/>
    <w:rsid w:val="00D1526F"/>
    <w:rsid w:val="00D257DD"/>
    <w:rsid w:val="00D27CD9"/>
    <w:rsid w:val="00D33F65"/>
    <w:rsid w:val="00D34F91"/>
    <w:rsid w:val="00D41A7B"/>
    <w:rsid w:val="00D5158E"/>
    <w:rsid w:val="00D634B6"/>
    <w:rsid w:val="00D72275"/>
    <w:rsid w:val="00D75002"/>
    <w:rsid w:val="00D930C6"/>
    <w:rsid w:val="00D93C57"/>
    <w:rsid w:val="00DA3CBD"/>
    <w:rsid w:val="00DA4934"/>
    <w:rsid w:val="00DA55CC"/>
    <w:rsid w:val="00DA59E7"/>
    <w:rsid w:val="00DA6AF6"/>
    <w:rsid w:val="00DB1A07"/>
    <w:rsid w:val="00DB2C36"/>
    <w:rsid w:val="00DC1917"/>
    <w:rsid w:val="00DC2AD4"/>
    <w:rsid w:val="00DC2C88"/>
    <w:rsid w:val="00DC793B"/>
    <w:rsid w:val="00DD7469"/>
    <w:rsid w:val="00DE5E3A"/>
    <w:rsid w:val="00DE68BB"/>
    <w:rsid w:val="00E03984"/>
    <w:rsid w:val="00E061F5"/>
    <w:rsid w:val="00E07EEB"/>
    <w:rsid w:val="00E215E6"/>
    <w:rsid w:val="00E22D18"/>
    <w:rsid w:val="00E23BD2"/>
    <w:rsid w:val="00E338F7"/>
    <w:rsid w:val="00E45031"/>
    <w:rsid w:val="00E452C2"/>
    <w:rsid w:val="00E50415"/>
    <w:rsid w:val="00E51089"/>
    <w:rsid w:val="00E54F6E"/>
    <w:rsid w:val="00E65381"/>
    <w:rsid w:val="00E67F4F"/>
    <w:rsid w:val="00E71A43"/>
    <w:rsid w:val="00E81E76"/>
    <w:rsid w:val="00E84898"/>
    <w:rsid w:val="00E940DA"/>
    <w:rsid w:val="00E96122"/>
    <w:rsid w:val="00EA0AD7"/>
    <w:rsid w:val="00EA322C"/>
    <w:rsid w:val="00EA4F41"/>
    <w:rsid w:val="00EA521E"/>
    <w:rsid w:val="00EA59AE"/>
    <w:rsid w:val="00EB078D"/>
    <w:rsid w:val="00EC7F4A"/>
    <w:rsid w:val="00ED3573"/>
    <w:rsid w:val="00ED7B6E"/>
    <w:rsid w:val="00EE06F5"/>
    <w:rsid w:val="00EE0740"/>
    <w:rsid w:val="00EE1190"/>
    <w:rsid w:val="00EF1B82"/>
    <w:rsid w:val="00EF451F"/>
    <w:rsid w:val="00F10909"/>
    <w:rsid w:val="00F10A22"/>
    <w:rsid w:val="00F22587"/>
    <w:rsid w:val="00F24BD6"/>
    <w:rsid w:val="00F24C51"/>
    <w:rsid w:val="00F26F05"/>
    <w:rsid w:val="00F31E5F"/>
    <w:rsid w:val="00F35DF8"/>
    <w:rsid w:val="00F36820"/>
    <w:rsid w:val="00F41917"/>
    <w:rsid w:val="00F436FD"/>
    <w:rsid w:val="00F5188E"/>
    <w:rsid w:val="00F54286"/>
    <w:rsid w:val="00F552DF"/>
    <w:rsid w:val="00F60DAE"/>
    <w:rsid w:val="00F6177A"/>
    <w:rsid w:val="00F6598F"/>
    <w:rsid w:val="00F708C4"/>
    <w:rsid w:val="00F71F84"/>
    <w:rsid w:val="00F72935"/>
    <w:rsid w:val="00F731BE"/>
    <w:rsid w:val="00F73AC8"/>
    <w:rsid w:val="00F9689E"/>
    <w:rsid w:val="00FB0198"/>
    <w:rsid w:val="00FB06FF"/>
    <w:rsid w:val="00FB1685"/>
    <w:rsid w:val="00FC1EAC"/>
    <w:rsid w:val="00FD47E3"/>
    <w:rsid w:val="00FD5061"/>
    <w:rsid w:val="00FD6383"/>
    <w:rsid w:val="00FD6900"/>
    <w:rsid w:val="00FE1F6E"/>
    <w:rsid w:val="00FE41E0"/>
    <w:rsid w:val="00FF22D4"/>
    <w:rsid w:val="00FF54DF"/>
    <w:rsid w:val="00FF589A"/>
    <w:rsid w:val="01E305A8"/>
    <w:rsid w:val="023A1BDC"/>
    <w:rsid w:val="056D55C5"/>
    <w:rsid w:val="0E9F38A6"/>
    <w:rsid w:val="10107C46"/>
    <w:rsid w:val="10E8177A"/>
    <w:rsid w:val="14AA4261"/>
    <w:rsid w:val="154B1FF4"/>
    <w:rsid w:val="19021C74"/>
    <w:rsid w:val="1AA64A2F"/>
    <w:rsid w:val="21043F24"/>
    <w:rsid w:val="218F4597"/>
    <w:rsid w:val="25056619"/>
    <w:rsid w:val="26DD40FB"/>
    <w:rsid w:val="28C8754C"/>
    <w:rsid w:val="2CC4081B"/>
    <w:rsid w:val="31F0060F"/>
    <w:rsid w:val="38C2729B"/>
    <w:rsid w:val="39B326F1"/>
    <w:rsid w:val="3B075CE3"/>
    <w:rsid w:val="3BC81B0D"/>
    <w:rsid w:val="4FD04FBE"/>
    <w:rsid w:val="5398317F"/>
    <w:rsid w:val="5E15753D"/>
    <w:rsid w:val="5F1272D9"/>
    <w:rsid w:val="61BC278D"/>
    <w:rsid w:val="699543DD"/>
    <w:rsid w:val="77D867A4"/>
    <w:rsid w:val="7A3C4287"/>
    <w:rsid w:val="7AB4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EC28F9"/>
  <w15:docId w15:val="{F52504C5-B8D8-43BE-9593-66EA0164AB3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qFormat="1"/>
    <w:lsdException w:name="header" w:uiPriority="99" w:qFormat="1"/>
    <w:lsdException w:name="footer" w:uiPriority="99" w:qFormat="1"/>
    <w:lsdException w:name="index heading" w:semiHidden="1" w:unhideWhenUsed="1"/>
    <w:lsdException w:name="caption" w:uiPriority="99" w:unhideWhenUsed="1" w:qFormat="1"/>
    <w:lsdException w:name="table of figures" w:uiPriority="99" w:qFormat="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spacing w:beforeLines="20" w:line="300" w:lineRule="auto"/>
      <w:ind w:firstLineChars="200" w:firstLine="200"/>
      <w:jc w:val="both"/>
    </w:pPr>
    <w:rPr>
      <w:kern w:val="2"/>
      <w:sz w:val="24"/>
      <w:szCs w:val="24"/>
    </w:rPr>
  </w:style>
  <w:style w:type="paragraph" w:styleId="1">
    <w:name w:val="heading 1"/>
    <w:next w:val="a0"/>
    <w:qFormat/>
    <w:pPr>
      <w:keepNext/>
      <w:keepLines/>
      <w:numPr>
        <w:numId w:val="1"/>
      </w:numPr>
      <w:snapToGrid w:val="0"/>
      <w:spacing w:before="48" w:after="360"/>
      <w:jc w:val="center"/>
      <w:outlineLvl w:val="0"/>
    </w:pPr>
    <w:rPr>
      <w:rFonts w:eastAsia="黑体"/>
      <w:bCs/>
      <w:sz w:val="32"/>
      <w:szCs w:val="44"/>
    </w:rPr>
  </w:style>
  <w:style w:type="paragraph" w:styleId="2">
    <w:name w:val="heading 2"/>
    <w:basedOn w:val="a0"/>
    <w:next w:val="a0"/>
    <w:qFormat/>
    <w:pPr>
      <w:keepNext/>
      <w:keepLines/>
      <w:numPr>
        <w:ilvl w:val="1"/>
        <w:numId w:val="1"/>
      </w:numPr>
      <w:snapToGrid w:val="0"/>
      <w:spacing w:beforeLines="0" w:line="240" w:lineRule="auto"/>
      <w:ind w:firstLineChars="0"/>
      <w:jc w:val="left"/>
      <w:outlineLvl w:val="1"/>
    </w:pPr>
    <w:rPr>
      <w:rFonts w:eastAsia="黑体"/>
      <w:bCs/>
      <w:sz w:val="28"/>
      <w:szCs w:val="32"/>
    </w:rPr>
  </w:style>
  <w:style w:type="paragraph" w:styleId="3">
    <w:name w:val="heading 3"/>
    <w:basedOn w:val="a0"/>
    <w:next w:val="a0"/>
    <w:link w:val="30"/>
    <w:qFormat/>
    <w:pPr>
      <w:keepNext/>
      <w:keepLines/>
      <w:numPr>
        <w:ilvl w:val="2"/>
        <w:numId w:val="1"/>
      </w:numPr>
      <w:spacing w:beforeLines="0" w:line="240" w:lineRule="auto"/>
      <w:ind w:firstLineChars="0"/>
      <w:jc w:val="left"/>
      <w:outlineLvl w:val="2"/>
    </w:pPr>
    <w:rPr>
      <w:rFonts w:eastAsia="黑体"/>
      <w:bCs/>
      <w:sz w:val="28"/>
    </w:rPr>
  </w:style>
  <w:style w:type="paragraph" w:styleId="4">
    <w:name w:val="heading 4"/>
    <w:basedOn w:val="a0"/>
    <w:next w:val="a0"/>
    <w:qFormat/>
    <w:pPr>
      <w:keepNext/>
      <w:keepLines/>
      <w:numPr>
        <w:ilvl w:val="3"/>
        <w:numId w:val="1"/>
      </w:numPr>
      <w:snapToGrid w:val="0"/>
      <w:spacing w:beforeLines="0" w:line="240" w:lineRule="auto"/>
      <w:ind w:firstLineChars="0"/>
      <w:outlineLvl w:val="3"/>
    </w:pPr>
    <w:rPr>
      <w:rFonts w:eastAsiaTheme="minorEastAsia"/>
      <w:b/>
      <w:bCs/>
      <w:szCs w:val="28"/>
    </w:rPr>
  </w:style>
  <w:style w:type="paragraph" w:styleId="5">
    <w:name w:val="heading 5"/>
    <w:basedOn w:val="a0"/>
    <w:next w:val="a0"/>
    <w:qFormat/>
    <w:pPr>
      <w:keepNext/>
      <w:keepLines/>
      <w:numPr>
        <w:ilvl w:val="4"/>
        <w:numId w:val="1"/>
      </w:numPr>
      <w:snapToGrid w:val="0"/>
      <w:spacing w:before="120" w:after="120"/>
      <w:outlineLvl w:val="4"/>
    </w:pPr>
    <w:rPr>
      <w:rFonts w:eastAsia="黑体"/>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qFormat/>
    <w:pPr>
      <w:spacing w:line="240" w:lineRule="auto"/>
      <w:ind w:leftChars="1200" w:left="2520"/>
    </w:pPr>
    <w:rPr>
      <w:rFonts w:ascii="Calibri" w:hAnsi="Calibri"/>
      <w:szCs w:val="22"/>
    </w:rPr>
  </w:style>
  <w:style w:type="paragraph" w:styleId="a4">
    <w:name w:val="caption"/>
    <w:basedOn w:val="a0"/>
    <w:next w:val="a0"/>
    <w:uiPriority w:val="99"/>
    <w:unhideWhenUsed/>
    <w:qFormat/>
    <w:pPr>
      <w:jc w:val="center"/>
    </w:pPr>
    <w:rPr>
      <w:rFonts w:ascii="Cambria" w:eastAsia="黑体" w:hAnsi="Cambria"/>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pPr>
      <w:jc w:val="left"/>
    </w:pPr>
  </w:style>
  <w:style w:type="paragraph" w:styleId="31">
    <w:name w:val="Body Text 3"/>
    <w:basedOn w:val="a0"/>
    <w:qFormat/>
    <w:pPr>
      <w:jc w:val="center"/>
    </w:pPr>
    <w:rPr>
      <w:b/>
      <w:sz w:val="44"/>
      <w:szCs w:val="44"/>
    </w:rPr>
  </w:style>
  <w:style w:type="paragraph" w:styleId="TOC5">
    <w:name w:val="toc 5"/>
    <w:basedOn w:val="a0"/>
    <w:next w:val="a0"/>
    <w:uiPriority w:val="39"/>
    <w:unhideWhenUsed/>
    <w:qFormat/>
    <w:pPr>
      <w:spacing w:line="240" w:lineRule="auto"/>
      <w:ind w:leftChars="800" w:left="1680"/>
    </w:pPr>
    <w:rPr>
      <w:rFonts w:ascii="Calibri" w:hAnsi="Calibri"/>
      <w:szCs w:val="22"/>
    </w:rPr>
  </w:style>
  <w:style w:type="paragraph" w:styleId="TOC3">
    <w:name w:val="toc 3"/>
    <w:basedOn w:val="a0"/>
    <w:next w:val="a0"/>
    <w:uiPriority w:val="39"/>
    <w:qFormat/>
    <w:pPr>
      <w:tabs>
        <w:tab w:val="right" w:leader="dot" w:pos="8301"/>
      </w:tabs>
      <w:snapToGrid w:val="0"/>
      <w:ind w:leftChars="300" w:left="300"/>
    </w:pPr>
  </w:style>
  <w:style w:type="paragraph" w:styleId="TOC8">
    <w:name w:val="toc 8"/>
    <w:basedOn w:val="a0"/>
    <w:next w:val="a0"/>
    <w:uiPriority w:val="39"/>
    <w:unhideWhenUsed/>
    <w:qFormat/>
    <w:pPr>
      <w:spacing w:line="240" w:lineRule="auto"/>
      <w:ind w:leftChars="1400" w:left="2940"/>
    </w:pPr>
    <w:rPr>
      <w:rFonts w:ascii="Calibri" w:hAnsi="Calibri"/>
      <w:szCs w:val="22"/>
    </w:rPr>
  </w:style>
  <w:style w:type="paragraph" w:styleId="20">
    <w:name w:val="Body Text Indent 2"/>
    <w:basedOn w:val="a0"/>
    <w:link w:val="21"/>
    <w:semiHidden/>
    <w:unhideWhenUsed/>
    <w:qFormat/>
    <w:pPr>
      <w:spacing w:after="120" w:line="480" w:lineRule="auto"/>
      <w:ind w:leftChars="200" w:left="420"/>
    </w:pPr>
  </w:style>
  <w:style w:type="paragraph" w:styleId="a8">
    <w:name w:val="Balloon Text"/>
    <w:basedOn w:val="a0"/>
    <w:link w:val="a9"/>
    <w:qFormat/>
    <w:pPr>
      <w:spacing w:line="240" w:lineRule="auto"/>
    </w:pPr>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Cs w:val="18"/>
    </w:rPr>
  </w:style>
  <w:style w:type="paragraph" w:styleId="TOC1">
    <w:name w:val="toc 1"/>
    <w:basedOn w:val="a0"/>
    <w:next w:val="a0"/>
    <w:link w:val="TOC10"/>
    <w:uiPriority w:val="39"/>
    <w:qFormat/>
    <w:pPr>
      <w:tabs>
        <w:tab w:val="right" w:leader="dot" w:pos="8301"/>
      </w:tabs>
      <w:jc w:val="right"/>
    </w:pPr>
    <w:rPr>
      <w:kern w:val="24"/>
    </w:rPr>
  </w:style>
  <w:style w:type="paragraph" w:styleId="TOC4">
    <w:name w:val="toc 4"/>
    <w:basedOn w:val="a0"/>
    <w:next w:val="a0"/>
    <w:uiPriority w:val="39"/>
    <w:unhideWhenUsed/>
    <w:qFormat/>
    <w:pPr>
      <w:spacing w:line="240" w:lineRule="auto"/>
      <w:ind w:leftChars="600" w:left="1260"/>
    </w:pPr>
    <w:rPr>
      <w:rFonts w:ascii="Calibri" w:hAnsi="Calibri"/>
      <w:szCs w:val="22"/>
    </w:rPr>
  </w:style>
  <w:style w:type="paragraph" w:styleId="ae">
    <w:name w:val="footnote text"/>
    <w:basedOn w:val="a0"/>
    <w:link w:val="af"/>
    <w:semiHidden/>
    <w:unhideWhenUsed/>
    <w:qFormat/>
    <w:pPr>
      <w:snapToGrid w:val="0"/>
      <w:jc w:val="left"/>
    </w:pPr>
    <w:rPr>
      <w:sz w:val="18"/>
      <w:szCs w:val="18"/>
    </w:rPr>
  </w:style>
  <w:style w:type="paragraph" w:styleId="TOC6">
    <w:name w:val="toc 6"/>
    <w:basedOn w:val="a0"/>
    <w:next w:val="a0"/>
    <w:uiPriority w:val="39"/>
    <w:unhideWhenUsed/>
    <w:qFormat/>
    <w:pPr>
      <w:spacing w:line="240" w:lineRule="auto"/>
      <w:ind w:leftChars="1000" w:left="2100"/>
    </w:pPr>
    <w:rPr>
      <w:rFonts w:ascii="Calibri" w:hAnsi="Calibri"/>
      <w:szCs w:val="22"/>
    </w:rPr>
  </w:style>
  <w:style w:type="paragraph" w:styleId="af0">
    <w:name w:val="table of figures"/>
    <w:basedOn w:val="a0"/>
    <w:next w:val="a0"/>
    <w:uiPriority w:val="99"/>
    <w:qFormat/>
    <w:pPr>
      <w:tabs>
        <w:tab w:val="right" w:leader="dot" w:pos="7797"/>
      </w:tabs>
      <w:spacing w:before="48"/>
      <w:ind w:left="797" w:hangingChars="332" w:hanging="797"/>
      <w:jc w:val="center"/>
    </w:pPr>
    <w:rPr>
      <w:szCs w:val="21"/>
    </w:rPr>
  </w:style>
  <w:style w:type="paragraph" w:styleId="TOC2">
    <w:name w:val="toc 2"/>
    <w:basedOn w:val="a0"/>
    <w:next w:val="a0"/>
    <w:uiPriority w:val="39"/>
    <w:qFormat/>
    <w:pPr>
      <w:tabs>
        <w:tab w:val="right" w:leader="dot" w:pos="8301"/>
      </w:tabs>
      <w:snapToGrid w:val="0"/>
      <w:ind w:leftChars="150" w:left="150"/>
      <w:jc w:val="left"/>
    </w:pPr>
    <w:rPr>
      <w:bCs/>
      <w:szCs w:val="26"/>
    </w:rPr>
  </w:style>
  <w:style w:type="paragraph" w:styleId="TOC9">
    <w:name w:val="toc 9"/>
    <w:basedOn w:val="a0"/>
    <w:next w:val="a0"/>
    <w:uiPriority w:val="39"/>
    <w:unhideWhenUsed/>
    <w:qFormat/>
    <w:pPr>
      <w:spacing w:line="240" w:lineRule="auto"/>
      <w:ind w:leftChars="1600" w:left="3360"/>
    </w:pPr>
    <w:rPr>
      <w:rFonts w:ascii="Calibri" w:hAnsi="Calibri"/>
      <w:szCs w:val="22"/>
    </w:rPr>
  </w:style>
  <w:style w:type="paragraph" w:styleId="af1">
    <w:name w:val="Normal (Web)"/>
    <w:basedOn w:val="a0"/>
    <w:qFormat/>
    <w:pPr>
      <w:widowControl/>
      <w:snapToGrid w:val="0"/>
      <w:spacing w:before="100" w:beforeAutospacing="1" w:after="100" w:afterAutospacing="1"/>
      <w:jc w:val="left"/>
    </w:pPr>
    <w:rPr>
      <w:rFonts w:cs="Arial"/>
      <w:kern w:val="0"/>
    </w:rPr>
  </w:style>
  <w:style w:type="paragraph" w:styleId="af2">
    <w:name w:val="Title"/>
    <w:basedOn w:val="a0"/>
    <w:next w:val="a0"/>
    <w:link w:val="af3"/>
    <w:uiPriority w:val="10"/>
    <w:qFormat/>
    <w:pPr>
      <w:keepNext/>
      <w:keepLines/>
      <w:snapToGrid w:val="0"/>
      <w:spacing w:before="48" w:after="360"/>
      <w:ind w:firstLineChars="0" w:firstLine="0"/>
      <w:jc w:val="center"/>
      <w:outlineLvl w:val="0"/>
    </w:pPr>
    <w:rPr>
      <w:rFonts w:eastAsiaTheme="majorEastAsia"/>
      <w:b/>
      <w:kern w:val="44"/>
      <w:sz w:val="44"/>
      <w:szCs w:val="44"/>
    </w:rPr>
  </w:style>
  <w:style w:type="paragraph" w:styleId="af4">
    <w:name w:val="annotation subject"/>
    <w:basedOn w:val="a6"/>
    <w:next w:val="a6"/>
    <w:link w:val="af5"/>
    <w:qFormat/>
    <w:rPr>
      <w:b/>
      <w:bCs/>
    </w:rPr>
  </w:style>
  <w:style w:type="character" w:styleId="af6">
    <w:name w:val="page number"/>
    <w:basedOn w:val="a1"/>
    <w:qFormat/>
  </w:style>
  <w:style w:type="character" w:styleId="af7">
    <w:name w:val="Hyperlink"/>
    <w:uiPriority w:val="99"/>
    <w:qFormat/>
    <w:rPr>
      <w:color w:val="0000FF"/>
      <w:u w:val="single"/>
    </w:rPr>
  </w:style>
  <w:style w:type="character" w:styleId="af8">
    <w:name w:val="annotation reference"/>
    <w:basedOn w:val="a1"/>
    <w:qFormat/>
    <w:rPr>
      <w:sz w:val="21"/>
      <w:szCs w:val="21"/>
    </w:rPr>
  </w:style>
  <w:style w:type="character" w:styleId="af9">
    <w:name w:val="footnote reference"/>
    <w:basedOn w:val="a1"/>
    <w:semiHidden/>
    <w:unhideWhenUsed/>
    <w:qFormat/>
    <w:rPr>
      <w:vertAlign w:val="superscript"/>
    </w:rPr>
  </w:style>
  <w:style w:type="paragraph" w:customStyle="1" w:styleId="afa">
    <w:name w:val="论文标题"/>
    <w:basedOn w:val="a0"/>
    <w:qFormat/>
    <w:pPr>
      <w:jc w:val="center"/>
    </w:pPr>
    <w:rPr>
      <w:rFonts w:cs="宋体"/>
      <w:b/>
      <w:bCs/>
      <w:sz w:val="44"/>
      <w:szCs w:val="20"/>
    </w:rPr>
  </w:style>
  <w:style w:type="paragraph" w:customStyle="1" w:styleId="afb">
    <w:name w:val="标题一（无序号）"/>
    <w:basedOn w:val="a0"/>
    <w:qFormat/>
    <w:pPr>
      <w:keepNext/>
      <w:keepLines/>
      <w:snapToGrid w:val="0"/>
      <w:spacing w:before="600" w:after="720" w:line="400" w:lineRule="atLeast"/>
      <w:jc w:val="center"/>
      <w:outlineLvl w:val="0"/>
    </w:pPr>
    <w:rPr>
      <w:rFonts w:ascii="黑体" w:eastAsia="黑体" w:hAnsi="宋体" w:cs="宋体"/>
      <w:bCs/>
      <w:kern w:val="44"/>
      <w:sz w:val="30"/>
      <w:szCs w:val="20"/>
    </w:rPr>
  </w:style>
  <w:style w:type="paragraph" w:customStyle="1" w:styleId="afc">
    <w:name w:val="大标题"/>
    <w:basedOn w:val="1"/>
    <w:qFormat/>
    <w:pPr>
      <w:spacing w:before="600" w:after="720"/>
      <w:ind w:firstLine="289"/>
    </w:pPr>
  </w:style>
  <w:style w:type="paragraph" w:customStyle="1" w:styleId="afd">
    <w:name w:val="二级标题"/>
    <w:basedOn w:val="2"/>
    <w:qFormat/>
    <w:pPr>
      <w:spacing w:line="300" w:lineRule="auto"/>
    </w:pPr>
  </w:style>
  <w:style w:type="paragraph" w:customStyle="1" w:styleId="a">
    <w:name w:val="三级标题"/>
    <w:basedOn w:val="3"/>
    <w:qFormat/>
    <w:pPr>
      <w:numPr>
        <w:ilvl w:val="0"/>
        <w:numId w:val="2"/>
      </w:numPr>
    </w:pPr>
  </w:style>
  <w:style w:type="paragraph" w:customStyle="1" w:styleId="10">
    <w:name w:val="正文1"/>
    <w:qFormat/>
    <w:pPr>
      <w:spacing w:line="400" w:lineRule="atLeast"/>
      <w:ind w:firstLineChars="200" w:firstLine="200"/>
    </w:pPr>
    <w:rPr>
      <w:rFonts w:cs="宋体"/>
      <w:sz w:val="24"/>
    </w:rPr>
  </w:style>
  <w:style w:type="paragraph" w:customStyle="1" w:styleId="TOC11">
    <w:name w:val="TOC 标题1"/>
    <w:basedOn w:val="1"/>
    <w:next w:val="a0"/>
    <w:uiPriority w:val="39"/>
    <w:unhideWhenUsed/>
    <w:qFormat/>
    <w:pPr>
      <w:numPr>
        <w:numId w:val="0"/>
      </w:numPr>
      <w:snapToGrid/>
      <w:spacing w:after="0" w:line="259" w:lineRule="auto"/>
      <w:jc w:val="left"/>
      <w:outlineLvl w:val="9"/>
    </w:pPr>
    <w:rPr>
      <w:rFonts w:ascii="Calibri Light" w:hAnsi="Calibri Light"/>
      <w:bCs w:val="0"/>
      <w:color w:val="2E74B5"/>
      <w:szCs w:val="32"/>
    </w:rPr>
  </w:style>
  <w:style w:type="character" w:customStyle="1" w:styleId="TOC10">
    <w:name w:val="TOC 1 字符"/>
    <w:link w:val="TOC1"/>
    <w:uiPriority w:val="39"/>
    <w:qFormat/>
    <w:rPr>
      <w:kern w:val="24"/>
      <w:sz w:val="24"/>
      <w:szCs w:val="24"/>
    </w:rPr>
  </w:style>
  <w:style w:type="character" w:customStyle="1" w:styleId="30">
    <w:name w:val="标题 3 字符"/>
    <w:link w:val="3"/>
    <w:qFormat/>
    <w:rPr>
      <w:rFonts w:eastAsia="黑体"/>
      <w:bCs/>
      <w:kern w:val="2"/>
      <w:sz w:val="28"/>
      <w:szCs w:val="24"/>
    </w:rPr>
  </w:style>
  <w:style w:type="paragraph" w:styleId="afe">
    <w:name w:val="List Paragraph"/>
    <w:basedOn w:val="a0"/>
    <w:uiPriority w:val="34"/>
    <w:qFormat/>
    <w:pPr>
      <w:widowControl/>
      <w:snapToGrid w:val="0"/>
      <w:ind w:firstLine="420"/>
      <w:jc w:val="left"/>
    </w:pPr>
    <w:rPr>
      <w:rFonts w:cs="宋体"/>
      <w:kern w:val="0"/>
      <w:szCs w:val="20"/>
    </w:rPr>
  </w:style>
  <w:style w:type="character" w:customStyle="1" w:styleId="af3">
    <w:name w:val="标题 字符"/>
    <w:link w:val="af2"/>
    <w:uiPriority w:val="10"/>
    <w:qFormat/>
    <w:rPr>
      <w:rFonts w:eastAsiaTheme="majorEastAsia"/>
      <w:b/>
      <w:kern w:val="44"/>
      <w:sz w:val="44"/>
      <w:szCs w:val="44"/>
    </w:rPr>
  </w:style>
  <w:style w:type="paragraph" w:customStyle="1" w:styleId="aff">
    <w:name w:val="字母注释表"/>
    <w:basedOn w:val="a0"/>
    <w:qFormat/>
    <w:pPr>
      <w:snapToGrid w:val="0"/>
      <w:spacing w:beforeLines="15" w:afterLines="15" w:line="240" w:lineRule="atLeast"/>
      <w:jc w:val="center"/>
    </w:pPr>
  </w:style>
  <w:style w:type="paragraph" w:customStyle="1" w:styleId="aff0">
    <w:name w:val="图/表清单"/>
    <w:basedOn w:val="a0"/>
    <w:qFormat/>
    <w:pPr>
      <w:tabs>
        <w:tab w:val="right" w:leader="dot" w:pos="8301"/>
      </w:tabs>
    </w:pPr>
    <w:rPr>
      <w:szCs w:val="21"/>
    </w:rPr>
  </w:style>
  <w:style w:type="character" w:styleId="aff1">
    <w:name w:val="Placeholder Text"/>
    <w:uiPriority w:val="99"/>
    <w:semiHidden/>
    <w:qFormat/>
    <w:rPr>
      <w:color w:val="808080"/>
    </w:rPr>
  </w:style>
  <w:style w:type="paragraph" w:customStyle="1" w:styleId="aff2">
    <w:name w:val="表内容"/>
    <w:basedOn w:val="a0"/>
    <w:qFormat/>
    <w:pPr>
      <w:jc w:val="center"/>
    </w:pPr>
    <w:rPr>
      <w:szCs w:val="21"/>
    </w:rPr>
  </w:style>
  <w:style w:type="paragraph" w:customStyle="1" w:styleId="aff3">
    <w:name w:val="图格式"/>
    <w:basedOn w:val="a0"/>
    <w:qFormat/>
    <w:pPr>
      <w:snapToGrid w:val="0"/>
      <w:jc w:val="center"/>
    </w:pPr>
    <w:rPr>
      <w:szCs w:val="21"/>
    </w:rPr>
  </w:style>
  <w:style w:type="character" w:customStyle="1" w:styleId="ad">
    <w:name w:val="页眉 字符"/>
    <w:link w:val="ac"/>
    <w:uiPriority w:val="99"/>
    <w:qFormat/>
    <w:rPr>
      <w:kern w:val="2"/>
      <w:sz w:val="21"/>
      <w:szCs w:val="18"/>
    </w:rPr>
  </w:style>
  <w:style w:type="paragraph" w:customStyle="1" w:styleId="aff4">
    <w:name w:val="英文无编号章标题"/>
    <w:basedOn w:val="af2"/>
    <w:link w:val="aff5"/>
    <w:qFormat/>
  </w:style>
  <w:style w:type="character" w:customStyle="1" w:styleId="aff5">
    <w:name w:val="英文无编号章标题 字符"/>
    <w:basedOn w:val="af3"/>
    <w:link w:val="aff4"/>
    <w:qFormat/>
    <w:rPr>
      <w:rFonts w:eastAsia="黑体"/>
      <w:b/>
      <w:kern w:val="44"/>
      <w:sz w:val="32"/>
      <w:szCs w:val="32"/>
    </w:rPr>
  </w:style>
  <w:style w:type="character" w:customStyle="1" w:styleId="a9">
    <w:name w:val="批注框文本 字符"/>
    <w:basedOn w:val="a1"/>
    <w:link w:val="a8"/>
    <w:qFormat/>
    <w:rPr>
      <w:kern w:val="2"/>
      <w:sz w:val="18"/>
      <w:szCs w:val="18"/>
    </w:rPr>
  </w:style>
  <w:style w:type="paragraph" w:customStyle="1" w:styleId="aff6">
    <w:name w:val="公式"/>
    <w:basedOn w:val="a0"/>
    <w:next w:val="a0"/>
    <w:qFormat/>
    <w:pPr>
      <w:wordWrap w:val="0"/>
      <w:spacing w:before="48"/>
      <w:jc w:val="right"/>
    </w:pPr>
    <w:rPr>
      <w:rFonts w:eastAsia="Times New Roman"/>
    </w:rPr>
  </w:style>
  <w:style w:type="character" w:customStyle="1" w:styleId="a7">
    <w:name w:val="批注文字 字符"/>
    <w:basedOn w:val="a1"/>
    <w:link w:val="a6"/>
    <w:qFormat/>
    <w:rPr>
      <w:kern w:val="2"/>
      <w:sz w:val="21"/>
      <w:szCs w:val="24"/>
    </w:rPr>
  </w:style>
  <w:style w:type="character" w:customStyle="1" w:styleId="af5">
    <w:name w:val="批注主题 字符"/>
    <w:basedOn w:val="a7"/>
    <w:link w:val="af4"/>
    <w:qFormat/>
    <w:rPr>
      <w:b/>
      <w:bCs/>
      <w:kern w:val="2"/>
      <w:sz w:val="21"/>
      <w:szCs w:val="24"/>
    </w:rPr>
  </w:style>
  <w:style w:type="paragraph" w:customStyle="1" w:styleId="11">
    <w:name w:val="修订1"/>
    <w:hidden/>
    <w:uiPriority w:val="99"/>
    <w:semiHidden/>
    <w:qFormat/>
    <w:rPr>
      <w:kern w:val="2"/>
      <w:sz w:val="21"/>
      <w:szCs w:val="24"/>
    </w:rPr>
  </w:style>
  <w:style w:type="character" w:customStyle="1" w:styleId="ab">
    <w:name w:val="页脚 字符"/>
    <w:link w:val="aa"/>
    <w:uiPriority w:val="99"/>
    <w:qFormat/>
    <w:rPr>
      <w:kern w:val="2"/>
      <w:sz w:val="18"/>
      <w:szCs w:val="18"/>
    </w:rPr>
  </w:style>
  <w:style w:type="paragraph" w:customStyle="1" w:styleId="Char">
    <w:name w:val="Char"/>
    <w:basedOn w:val="a0"/>
    <w:qFormat/>
    <w:pPr>
      <w:widowControl/>
      <w:adjustRightInd/>
      <w:spacing w:beforeLines="0" w:after="160" w:line="240" w:lineRule="exact"/>
      <w:ind w:firstLineChars="0" w:firstLine="0"/>
      <w:jc w:val="left"/>
    </w:pPr>
    <w:rPr>
      <w:rFonts w:ascii="Verdana" w:eastAsia="仿宋_GB2312" w:hAnsi="Verdana"/>
      <w:kern w:val="0"/>
      <w:sz w:val="30"/>
      <w:szCs w:val="30"/>
      <w:lang w:eastAsia="en-US"/>
    </w:rPr>
  </w:style>
  <w:style w:type="paragraph" w:customStyle="1" w:styleId="TOC20">
    <w:name w:val="TOC 标题2"/>
    <w:basedOn w:val="1"/>
    <w:next w:val="a0"/>
    <w:uiPriority w:val="39"/>
    <w:unhideWhenUsed/>
    <w:qFormat/>
    <w:pPr>
      <w:numPr>
        <w:numId w:val="0"/>
      </w:numPr>
      <w:snapToGrid/>
      <w:spacing w:before="480" w:after="0" w:line="276" w:lineRule="auto"/>
      <w:jc w:val="left"/>
      <w:outlineLvl w:val="9"/>
    </w:pPr>
    <w:rPr>
      <w:rFonts w:asciiTheme="majorHAnsi" w:eastAsiaTheme="majorEastAsia" w:hAnsiTheme="majorHAnsi" w:cstheme="majorBidi"/>
      <w:b/>
      <w:color w:val="2E74B5" w:themeColor="accent1" w:themeShade="BF"/>
      <w:sz w:val="28"/>
      <w:szCs w:val="28"/>
    </w:rPr>
  </w:style>
  <w:style w:type="character" w:customStyle="1" w:styleId="af">
    <w:name w:val="脚注文本 字符"/>
    <w:basedOn w:val="a1"/>
    <w:link w:val="ae"/>
    <w:semiHidden/>
    <w:qFormat/>
    <w:rPr>
      <w:kern w:val="2"/>
      <w:sz w:val="18"/>
      <w:szCs w:val="18"/>
    </w:rPr>
  </w:style>
  <w:style w:type="character" w:customStyle="1" w:styleId="21">
    <w:name w:val="正文文本缩进 2 字符"/>
    <w:basedOn w:val="a1"/>
    <w:link w:val="20"/>
    <w:semiHidden/>
    <w:qFormat/>
    <w:rPr>
      <w:kern w:val="2"/>
      <w:sz w:val="24"/>
      <w:szCs w:val="24"/>
    </w:rPr>
  </w:style>
  <w:style w:type="character" w:styleId="aff7">
    <w:name w:val="Strong"/>
    <w:basedOn w:val="a1"/>
    <w:uiPriority w:val="22"/>
    <w:qFormat/>
    <w:rsid w:val="00566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5.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6.xml"/><Relationship Id="rId28" Type="http://schemas.openxmlformats.org/officeDocument/2006/relationships/header" Target="header7.xml"/><Relationship Id="rId29" Type="http://schemas.openxmlformats.org/officeDocument/2006/relationships/header" Target="header8.xml"/><Relationship Id="rId30" Type="http://schemas.openxmlformats.org/officeDocument/2006/relationships/header" Target="header9.xml"/><Relationship Id="rId31" Type="http://schemas.openxmlformats.org/officeDocument/2006/relationships/header" Target="header10.xml"/><Relationship Id="rId32" Type="http://schemas.openxmlformats.org/officeDocument/2006/relationships/image" Target="media/image3.png"/><Relationship Id="rId33" Type="http://schemas.openxmlformats.org/officeDocument/2006/relationships/image" Target="media/image4.png"/><Relationship Id="rId34" Type="http://schemas.openxmlformats.org/officeDocument/2006/relationships/image" Target="media/image5.png"/><Relationship Id="rId35" Type="http://schemas.openxmlformats.org/officeDocument/2006/relationships/image" Target="media/image6.png"/><Relationship Id="rId36" Type="http://schemas.openxmlformats.org/officeDocument/2006/relationships/image" Target="media/image7.png"/><Relationship Id="rId37" Type="http://schemas.openxmlformats.org/officeDocument/2006/relationships/image" Target="media/image8.png"/><Relationship Id="rId38" Type="http://schemas.openxmlformats.org/officeDocument/2006/relationships/image" Target="media/image9.png"/><Relationship Id="rId39" Type="http://schemas.openxmlformats.org/officeDocument/2006/relationships/image" Target="media/image10.png"/><Relationship Id="rId40" Type="http://schemas.openxmlformats.org/officeDocument/2006/relationships/image" Target="media/image11.png"/><Relationship Id="rId41" Type="http://schemas.openxmlformats.org/officeDocument/2006/relationships/image" Target="media/image12.png"/><Relationship Id="rId42"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27F27646-2B4D-49FF-8A62-38027193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1145</TotalTime>
  <Pages>1</Pages>
  <Words>7840</Words>
  <Characters>8624</Characters>
  <Application>Microsoft Office Word</Application>
  <DocSecurity>0</DocSecurity>
  <Lines>392</Lines>
  <Paragraphs>365</Paragraphs>
  <ScaleCrop>false</ScaleCrop>
  <Company>TJU</Company>
  <LinksUpToDate>false</LinksUpToDate>
  <CharactersWithSpaces>16099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天津大学本科生毕业设计（论文）模版</dc:title>
  <dc:subject/>
  <dc:creator>lenovo</dc:creator>
  <cp:keywords/>
  <dc:description/>
  <cp:lastModifiedBy>欣 潘</cp:lastModifiedBy>
  <cp:revision>13</cp:revision>
  <cp:lastPrinted>2020-10-27T03:48:00Z</cp:lastPrinted>
  <dcterms:created xsi:type="dcterms:W3CDTF">2020-10-15T13:41:00Z</dcterms:created>
  <dcterms:modified xsi:type="dcterms:W3CDTF">2026-05-07T14:03:00Z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7AC53805C0564151862295C9E40A2774</vt:lpwstr>
  </property>
  <property fmtid="{D5CDD505-2E9C-101B-9397-08002B2CF9AE}" pid="4" name="KSOTemplateDocerSaveRecord">
    <vt:lpwstr>eyJoZGlkIjoiMjVmZWIyN2M2NmY5ZTQ4NDdkYjcwZjIzMGVmYWYxMjYiLCJ1c2VySWQiOiIxNjg4MTMxNTk0In0=</vt:lpwstr>
  </property>
</Properties>
</file>