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毕业设计（论文）任务书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960"/>
      </w:pPr>
      <w:r>
        <w:rPr>
          <w:rFonts w:ascii="Times New Roman" w:hAnsi="Times New Roman" w:cs="Times New Roman"/>
          <w:sz w:val="32"/>
          <w:sz-cs w:val="32"/>
        </w:rPr>
        <w:t xml:space="preserve">题目：汕尾电厂配套煤码头工程初步设计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2249"/>
      </w:pPr>
      <w:r>
        <w:rPr>
          <w:rFonts w:ascii="Times New Roman" w:hAnsi="Times New Roman" w:cs="Times New Roman"/>
          <w:sz w:val="32"/>
          <w:sz-cs w:val="32"/>
          <w:b/>
        </w:rPr>
        <w:t xml:space="preserve">学生姓名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         </w:t>
      </w:r>
    </w:p>
    <w:p>
      <w:pPr>
        <w:jc w:val="both"/>
        <w:ind w:first-line="2249"/>
      </w:pPr>
      <w:r>
        <w:rPr>
          <w:rFonts w:ascii="Times New Roman" w:hAnsi="Times New Roman" w:cs="Times New Roman"/>
          <w:sz w:val="32"/>
          <w:sz-cs w:val="32"/>
          <w:b/>
        </w:rPr>
        <w:t xml:space="preserve">学院名称</w:t>
      </w:r>
      <w:r>
        <w:rPr>
          <w:rFonts w:ascii="Times New Roman" w:hAnsi="Times New Roman" w:cs="Times New Roman"/>
          <w:sz w:val="32"/>
          <w:sz-cs w:val="32"/>
          <w:b/>
          <w:u w:val="thick"/>
        </w:rPr>
        <w:t xml:space="preserve">                  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/>
      </w:r>
    </w:p>
    <w:p>
      <w:pPr>
        <w:jc w:val="both"/>
        <w:ind w:first-line="2249"/>
      </w:pPr>
      <w:r>
        <w:rPr>
          <w:rFonts w:ascii="Times New Roman" w:hAnsi="Times New Roman" w:cs="Times New Roman"/>
          <w:sz w:val="32"/>
          <w:sz-cs w:val="32"/>
          <w:b/>
        </w:rPr>
        <w:t xml:space="preserve">专    业</w:t>
      </w:r>
      <w:r>
        <w:rPr>
          <w:rFonts w:ascii="Times New Roman" w:hAnsi="Times New Roman" w:cs="Times New Roman"/>
          <w:sz w:val="32"/>
          <w:sz-cs w:val="32"/>
          <w:b/>
          <w:u w:val="thick"/>
        </w:rPr>
        <w:t xml:space="preserve">港口航道与海岸工程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/>
      </w:r>
    </w:p>
    <w:p>
      <w:pPr>
        <w:jc w:val="both"/>
        <w:ind w:first-line="2249"/>
      </w:pPr>
      <w:r>
        <w:rPr>
          <w:rFonts w:ascii="Times New Roman" w:hAnsi="Times New Roman" w:cs="Times New Roman"/>
          <w:sz w:val="32"/>
          <w:sz-cs w:val="32"/>
          <w:b/>
        </w:rPr>
        <w:t xml:space="preserve">学    号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             </w:t>
      </w: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2249"/>
      </w:pPr>
      <w:r>
        <w:rPr>
          <w:rFonts w:ascii="Times New Roman" w:hAnsi="Times New Roman" w:cs="Times New Roman"/>
          <w:sz w:val="32"/>
          <w:sz-cs w:val="32"/>
          <w:b/>
        </w:rPr>
        <w:t xml:space="preserve">指导教师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孙克俐      </w:t>
      </w:r>
    </w:p>
    <w:p>
      <w:pPr>
        <w:jc w:val="both"/>
        <w:ind w:first-line="2249"/>
      </w:pPr>
      <w:r>
        <w:rPr>
          <w:rFonts w:ascii="Times New Roman" w:hAnsi="Times New Roman" w:cs="Times New Roman"/>
          <w:sz w:val="32"/>
          <w:sz-cs w:val="32"/>
          <w:b/>
        </w:rPr>
        <w:t xml:space="preserve">职    称</w:t>
      </w: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>      副教授      </w:t>
      </w:r>
    </w:p>
    <w:p>
      <w:pPr>
        <w:jc w:val="both"/>
        <w:ind w:first-line="321"/>
      </w:pPr>
      <w:r>
        <w:rPr>
          <w:rFonts w:ascii="Times New Roman" w:hAnsi="Times New Roman" w:cs="Times New Roman"/>
          <w:sz w:val="32"/>
          <w:sz-cs w:val="32"/>
          <w:b/>
          <w:u w:val="single"/>
        </w:rPr>
        <w:t xml:space="preserve"/>
      </w:r>
    </w:p>
    <w:p>
      <w:pPr>
        <w:jc w:val="both"/>
        <w:ind w:first-line="321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  <w:ind w:first-line="560"/>
      </w:pPr>
      <w:r>
        <w:rPr>
          <w:rFonts w:ascii="Times New Roman" w:hAnsi="Times New Roman" w:cs="Times New Roman"/>
          <w:sz w:val="28"/>
          <w:sz-cs w:val="28"/>
        </w:rPr>
        <w:t xml:space="preserve">一、原始依据（包括设计或论文的工作基础、研究条件、应用环境、工作目的等。）</w:t>
      </w:r>
    </w:p>
    <w:p>
      <w:pPr>
        <w:jc w:val="both"/>
        <w:ind w:left="425" w:first-line="-425"/>
        <w:spacing w:before="120"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主要任务</w:t>
      </w:r>
    </w:p>
    <w:p>
      <w:pPr>
        <w:jc w:val="both"/>
        <w:ind w:first-line="540"/>
      </w:pPr>
      <w:r>
        <w:rPr>
          <w:rFonts w:ascii="Times New Roman" w:hAnsi="Times New Roman" w:cs="Times New Roman"/>
          <w:sz w:val="24"/>
          <w:sz-cs w:val="24"/>
        </w:rPr>
        <w:t xml:space="preserve">按照汕尾电厂燃料煤运输需求，依据汕尾电厂配套港口工程条件，完成汕尾电厂配套煤码头工程初步设计设计工作，主要包括：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按照使用要求，完成码头平面规划，选择装卸工艺流程，进行装卸设备选型，确定库（场）容量、面积；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根据工程条件选择可行结构方案，确定结构设计参数，选用适当规范完成结构方案设计及相关计算，绘制结构设计图；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采用满足安全性与经济型要求的合理设计参数，估算工程量，应用基本定额进行工程概预算。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从技术与经济两方面进行方案比选，确定结构设计推荐方案；</w:t>
      </w:r>
    </w:p>
    <w:p>
      <w:pPr>
        <w:jc w:val="both"/>
        <w:ind w:left="425" w:first-line="-425"/>
        <w:spacing w:before="120"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设计依据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泊位为进口燃料煤码头，为汕尾电厂专用配套工程；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设计船型5万DWT；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码头年工作321天，每天纯作业时间21小时；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设计风力9级，9级以上风船舶锚地避风，不设风暴系船柱；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设计高水位：1.91m；设计低水位：0.22m；极端高水位：3.56m；极端低水位：-0.35m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处于由掩护海域，设计波高&lt;1m，可不考虑波浪影响。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地震：设计烈度7度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工程地质条件见附件；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结构物安全等级：二级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采用现行港工规范进行设计。</w:t>
      </w:r>
    </w:p>
    <w:p>
      <w:pPr>
        <w:jc w:val="both"/>
        <w:ind w:first-line="560"/>
      </w:pPr>
      <w:r>
        <w:rPr>
          <w:rFonts w:ascii="Times New Roman" w:hAnsi="Times New Roman" w:cs="Times New Roman"/>
          <w:sz w:val="28"/>
          <w:sz-cs w:val="28"/>
        </w:rPr>
        <w:t xml:space="preserve">二、参考文献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563" w:first-line="-420"/>
      </w:pPr>
      <w:r>
        <w:rPr>
          <w:rFonts w:ascii="Times New Roman" w:hAnsi="Times New Roman" w:cs="Times New Roman"/>
          <w:sz w:val="24"/>
          <w:sz-cs w:val="24"/>
        </w:rPr>
        <w:t xml:space="preserve">[1] 王元战．港工建筑物[M]．天津大学出版社，2009．</w:t>
      </w:r>
    </w:p>
    <w:p>
      <w:pPr>
        <w:jc w:val="both"/>
        <w:ind w:left="563" w:first-line="-420"/>
      </w:pPr>
      <w:r>
        <w:rPr>
          <w:rFonts w:ascii="Times New Roman" w:hAnsi="Times New Roman" w:cs="Times New Roman"/>
          <w:sz w:val="24"/>
          <w:sz-cs w:val="24"/>
        </w:rPr>
        <w:t xml:space="preserve">[2] 严恺，梁其荀，谢世楞等．海岸工程[M]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4"/>
          <w:sz-cs w:val="24"/>
        </w:rPr>
        <w:t xml:space="preserve">北京：人民交通出版社，2003．</w:t>
      </w:r>
    </w:p>
    <w:p>
      <w:pPr>
        <w:jc w:val="both"/>
        <w:ind w:left="563" w:first-line="-420"/>
      </w:pPr>
      <w:r>
        <w:rPr>
          <w:rFonts w:ascii="Times New Roman" w:hAnsi="Times New Roman" w:cs="Times New Roman"/>
          <w:sz w:val="24"/>
          <w:sz-cs w:val="24"/>
        </w:rPr>
        <w:t xml:space="preserve">[3] 交通部第一航务工程勘查设计院．海港工程设计手册（上册）[M]．北京：人民交通出版社，1997．</w:t>
      </w:r>
    </w:p>
    <w:p>
      <w:pPr>
        <w:jc w:val="both"/>
        <w:ind w:left="563" w:first-line="-420"/>
      </w:pPr>
      <w:r>
        <w:rPr>
          <w:rFonts w:ascii="Times New Roman" w:hAnsi="Times New Roman" w:cs="Times New Roman"/>
          <w:sz w:val="24"/>
          <w:sz-cs w:val="24"/>
        </w:rPr>
        <w:t xml:space="preserve">[4] 交通部第一航务工程勘查设计院．海港工程设计手册（中册）[M]．北京：人民交通出版社，1997．</w:t>
      </w:r>
    </w:p>
    <w:p>
      <w:pPr>
        <w:jc w:val="both"/>
        <w:ind w:left="563" w:first-line="-420"/>
      </w:pPr>
      <w:r>
        <w:rPr>
          <w:rFonts w:ascii="Times New Roman" w:hAnsi="Times New Roman" w:cs="Times New Roman"/>
          <w:sz w:val="24"/>
          <w:sz-cs w:val="24"/>
        </w:rPr>
        <w:t xml:space="preserve">[5] 交通部第一航务工程勘查设计院．海港工程设计手册（下册）[M]．北京：人民交通出版社，1997．</w:t>
      </w:r>
    </w:p>
    <w:p>
      <w:pPr>
        <w:jc w:val="both"/>
        <w:ind w:first-line="560"/>
      </w:pPr>
      <w:r>
        <w:rPr>
          <w:rFonts w:ascii="Times New Roman" w:hAnsi="Times New Roman" w:cs="Times New Roman"/>
          <w:sz w:val="28"/>
          <w:sz-cs w:val="28"/>
        </w:rPr>
        <w:t xml:space="preserve">三、设计（研究）内容和要求（包括设计或研究内容、主要指标与技术参数，并根据课题性质对学生提出具体要求。）</w:t>
      </w:r>
    </w:p>
    <w:p>
      <w:pPr>
        <w:jc w:val="both"/>
        <w:ind w:first-line="510"/>
      </w:pPr>
      <w:r>
        <w:rPr>
          <w:rFonts w:ascii="Times New Roman" w:hAnsi="Times New Roman" w:cs="Times New Roman"/>
          <w:sz w:val="24"/>
          <w:sz-cs w:val="24"/>
        </w:rPr>
        <w:t xml:space="preserve">毕业论文要在掌握码头设计规范的基础上，依据设计要求，充分考虑煤码头安全需求，进行码头平面规划设计，选择合理装卸机械，确定装卸工艺，选定库场容量。选定两种结构形式进行结构设计，通过结构整体稳定性验算以确定合理设计参数。依据现有资料完成工程概预算，结合技术、经济比选确定推荐结构方案。</w:t>
      </w:r>
    </w:p>
    <w:p>
      <w:pPr>
        <w:jc w:val="both"/>
        <w:spacing w:before="240"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毕业论文工作应包括以下内容：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熟悉港口工程规范内容，掌握码头结构设计计算方法。掌握科技文献检索方法，检索并收集本课题近期研究文献。翻译有关资料。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进行泊位平面布置，选择装卸机械，确定装卸工艺，计算库场参数。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完成两种结构方案设计，进行结构稳定性验算，确定合理设计参数。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进行结构方案比选，从经济和技术上论证所选方案的合理性，了解工程造价估算基本原则。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完成毕业设计说明书与计算书，文本应符合科技论文写作规范，计算应正确。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完成毕业论文的同时绘制图纸四张。</w:t>
      </w:r>
    </w:p>
    <w:p>
      <w:pPr>
        <w:jc w:val="both"/>
        <w:spacing w:before="120"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毕业设计要求：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了解课题工作的内容、意义、目标，完成开题报告。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集中精力投入毕业设计，遵守学校有关考勤规定。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工作有计划、有目标、有检查，要求学生做每日工作纪录，每周课题组开一次进度报告会。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设计文本与图纸符合学校要求。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800"/>
      </w:pPr>
      <w:r>
        <w:rPr>
          <w:rFonts w:ascii="Times New Roman" w:hAnsi="Times New Roman" w:cs="Times New Roman"/>
          <w:sz w:val="24"/>
          <w:sz-cs w:val="24"/>
        </w:rPr>
        <w:t xml:space="preserve">指导教师（签字）</w:t>
      </w:r>
    </w:p>
    <w:p>
      <w:pPr>
        <w:jc w:val="both"/>
        <w:ind w:first-line="6240"/>
      </w:pPr>
      <w:r>
        <w:rPr>
          <w:rFonts w:ascii="Times New Roman" w:hAnsi="Times New Roman" w:cs="Times New Roman"/>
          <w:sz w:val="24"/>
          <w:sz-cs w:val="24"/>
        </w:rPr>
        <w:t xml:space="preserve">年   月   日</w:t>
      </w:r>
    </w:p>
    <w:p>
      <w:pPr>
        <w:jc w:val="both"/>
        <w:ind w:first-line="48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320"/>
      </w:pPr>
      <w:r>
        <w:rPr>
          <w:rFonts w:ascii="Times New Roman" w:hAnsi="Times New Roman" w:cs="Times New Roman"/>
          <w:sz w:val="24"/>
          <w:sz-cs w:val="24"/>
        </w:rPr>
        <w:t xml:space="preserve">审题小组组长（签字）</w:t>
      </w:r>
    </w:p>
    <w:p>
      <w:pPr>
        <w:jc w:val="both"/>
        <w:ind w:first-line="6240"/>
      </w:pPr>
      <w:r>
        <w:rPr>
          <w:rFonts w:ascii="Times New Roman" w:hAnsi="Times New Roman" w:cs="Times New Roman"/>
          <w:sz w:val="24"/>
          <w:sz-cs w:val="24"/>
        </w:rPr>
        <w:t xml:space="preserve">年   月   日</w:t>
      </w:r>
    </w:p>
    <w:p>
      <w:pPr>
        <w:jc w:val="center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/>
        <w:br w:type="page"/>
        <w:t xml:space="preserve">附件：</w:t>
      </w:r>
      <w:r>
        <w:rPr>
          <w:rFonts w:ascii="Times New Roman" w:hAnsi="Times New Roman" w:cs="Times New Roman"/>
          <w:sz w:val="24"/>
          <w:sz-cs w:val="24"/>
          <w:b/>
        </w:rPr>
        <w:t xml:space="preserve">汕尾电厂配套煤码头工程设计原始依据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1地理位置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港址位于碣石湾的西部、汕尾市遮浪镇以北、施公寮半岛以西的白沙湖内，距汕尾市区达20km多。目前港址基本上处于天然状态，港址周围陆域地形平坦、宽阔，且多为荒地。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2气象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2.1气温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多年平均气温：21.8℃；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多年最高气温：36.5℃；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多年最低气温：2.8℃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2.2降水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本地区雨量充沛，每年4月至10月为雨季，降水量占全年的89.5%，但年内雨量分配不均。其主要特征值如下：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多年平均年降水量：1589.4mm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年最大降水量：2496.0mm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年最少降水量：815.4mm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年平均降水日数：117.7天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年最多降水日数：148天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年最少降水日数：89天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年平均降水量≥25.0mm的日数：20.0天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年平均降水量≥50.0mm的日数：8.1天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年平均降水量≥100.0mm的日数：2.1天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2.3风况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2.3.1一般风况</w:t>
      </w:r>
    </w:p>
    <w:p>
      <w:pPr>
        <w:jc w:val="center"/>
        <w:ind w:first-line="493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风玫瑰图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年常风向为ENE，频率为22.2%，次常风向为E，频率为19.5%。年风速及风向的季节性变化比较明显。春、秋、冬季多吹ENE风，夏季多吹SW风。全年最大风速为40.0m/s，风向为NNE。风玫瑰图见图。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2.3.2台风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西太平洋和南海生成的台风每年6月至10月对港区的影响较大。1949年至1980年共32年间，对本港区有影响的台风有16次，在港附近（惠阳至汕头）登陆的台风有27次（强台风15次，台风12次），平均每年0.9次，最多3次，其中惠来登陆的台风有9次（强台风6次，风3次），海丰登陆的台风有6次（强台风4次，台风2次），79年在汕头登陆的7908号台风极大风速为60.4m/s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2.3.3大风日数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本港区全年各级大风日数具体如下表：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风力（级）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≥6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≥7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≥8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天数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98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33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7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2.4雾况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多年平均雾日数为17.9天。雾多出现于1月至5月份，占全年雾日总数的94.4%。能见度小于1km的多年平均雾日数为8天。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2.5湿度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多年平均相对温度为80.7%；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多年最小相对湿度为14.0%；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多年平均绝对湿度为22.3hpa；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多年最大绝对湿度为38.4hpa；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多年最小绝对湿度为2.5hpa。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3月至8月份湿度较大，其相对湿度为85.7%，9月份至次年2月份，湿度较小，相对湿度平均为75.7%。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3水文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3.1潮汐、水位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3.1.1基准面及换算</w:t>
      </w:r>
    </w:p>
    <w:p>
      <w:pPr>
        <w:jc w:val="center"/>
        <w:ind w:first-line="370"/>
      </w:pPr>
      <w:r>
        <w:rPr>
          <w:rFonts w:ascii="Times New Roman" w:hAnsi="Times New Roman" w:cs="Times New Roman"/>
          <w:sz w:val="21"/>
          <w:sz-cs w:val="21"/>
        </w:rPr>
        <w:t xml:space="preserve"> EMBED AutoCAD.Drawing.14  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本工程理论深度基准面与黄海基准面、珠江基准面及平均海平面的换算关系如图所示：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3.1.2潮型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根据调和分析结果，本港区属不规则日潮混合潮。其主要特征是潮差主要随月球赤纬变化，而与月相的变化关系不大。在回归潮期间，潮差最大。且日潮不等现象非常明显。高潮发生时间约在月中大后20小时，低潮发生时间除大潮外约在月中天后5小时，大潮期间的低潮发生时间约在月中天后1.4小时。回归潮期间潮差最大，比平均状态的潮差大约38cm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3.1.3潮位特征值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本工程海区主要潮位特征值如下：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多年平均海面：1.00m（当地理论最低潮面起算，下同）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平均高高潮位：1.60m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平均低低潮位：0.50m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最高高潮位：3.15m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最低低潮位：-0.21m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最高天文潮位：2.15m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最低天文潮位：-0.07m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平均潮差：0.84m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平均大潮差：1.09m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最大潮差：2.94m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最小潮差：0.75m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3.1.4设计水位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本工程有关的设计水位如下：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设计高水位：1.91m（当地理论最低潮面起算，下同）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设计低水位：0.22m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极端高水位：3.56m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极端低水位：-0.35m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3.1.5乘潮水位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1小时90%乘潮水位：0.85m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3小时90%乘潮水位：0.75m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3.1.6台风增减水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根据分析，台风过境时引起本工程海域较大的增水。但由于每次台风登陆的路径及强度均不同，故由此所引起的海区的增水大小也不同，并且差异较大。本海区在台风过境时恰遇天文大潮的情况比较少。根据1957~1992年共30年的台风资料统计，本工程海域较大增水只有2次，本工程几个特定重现期的极端增减水值详见表。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重现期（年）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增减水值（m）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增水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100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1.83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50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1.67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减水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100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-0.74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33</w:t>
      </w:r>
    </w:p>
    <w:p>
      <w:pPr>
        <w:jc w:val="center"/>
        <w:ind w:first-line="370"/>
      </w:pPr>
      <w:r>
        <w:rPr>
          <w:rFonts w:ascii="Times" w:hAnsi="Times" w:cs="Times"/>
          <w:sz w:val="21"/>
          <w:sz-cs w:val="21"/>
        </w:rPr>
        <w:t xml:space="preserve">-0.67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3.2海流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本工程海域地处碣石湾内的海流主要包括三种成因的海水流动，即潮流、南海沿岸流以及风海流，而潮流是海流中的主要成分。根据现场实测及分析结果，本工程海区的海流有如下特点：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（1）该海域属不正规日潮混合潮流性质；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（2）碣石湾内、外涨落潮流海水交换大致为气旋式环流，涨潮流时以湾口东侧进水为主，湾口西侧有少量潮量流出。落潮流时情况则刚好相反；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（3）潮流运动形式以旋转流为止，则潮流流向不稳定，往复流性质不明显，流态比较紊乱。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（4）涨落潮历时不等。白沙半岛以南近岸的涨潮流历时大于落潮流历时。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（5）最大流速出现在表、中层，而底层流速最小，符合潮流垂向结构的一般规律。实测的最大流速为0.38m/s。由调和分析结果计算得到的最大可能流速为0.40m/s，故总的来说，本海区潮流流速较小。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（6）南海沿岸流在本海区的流速较小，一般不超过0.10m/s，大部分流速在5cm/s以下。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（7）风海流影响比较明显，在余流场中起支配作用。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（8）余流流速较小，流势比较一致。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4地质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根据中交第四航务工程勘察设计院2003年10月出版的《汕尾电厂港口工程岩土工程地质勘察报告》，拟建工程区的土层分别为：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第一层，灰色淤泥～淤泥质土：灰色，饱和，流塑～软塑，手捏滑腻，局部粘性较好；含少量粉细砂、贝壳碎和腐植物，局部含较多粉细砂、贝壳碎和腐植物，局部表层为细砂，局部间夹薄层粉细砂，具臭味。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第二层, 灰黄色～灰色粘土：以灰黄色为主，局部灰色，湿～很湿，软可塑，局部软塑和硬可塑。手捏滑腻，刀切面光滑，粘性好，含少量粉细砂。局部含少量粘土结核、砂团和铁质氧化胶结物颗粒，局部含少量贝壳碎和较多的铁质氧化物胶结颗粒，局部含较多粉细砂和间夹薄层粉细砂，呈粉质粘土状。胶结物颗粒、砂团一般手捏易散，局部较硬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第三层, 灰色～深灰色淤泥～淤泥质土：以灰色为主，局部深灰色，饱和，局部很湿，流塑～软塑，局部软可塑，手捏滑腻，局部粘性较好，呈粉质粘土状。含少量粉细砂、贝壳碎和腐植物，局部含较多粉细砂和间夹薄层粉细砂，具臭味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第四层, 浅灰色～黄褐色粘土～粉质粘土:以浅灰色～黄褐色为主，杂色次之，湿～稍湿，软可塑～硬塑，局部软塑，刀切面稍光滑～光滑，粘性较好～好，以粘土为主，粉质粘土次之，局部含少量～多量砂，呈粘性土混砂～砂混粘性土状或粉土状。局部含少量贝壳碎和较多的腐木。局部间夹薄层粉细砂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第五层, 灰色～灰黄色粗砾砂：以灰黄色为主，灰色次之，饱和，中密～密实，局部松散，极密实，以粗砾砂为主，分选较好，磨圆度较好，局部含少量中砂、贝壳碎和粘性土。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第六层, 花岗岩残积土：杂色，湿，硬可塑～硬塑，局部软可塑，以粘性土、粉细砂和粗砾砂为主，呈粉质粘土、砂混粘性土、粉土、砾质粘性土和砾质粉土状等，手捏易散，遇水软水、崩解，湿水后粘性一般稍大。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第七层, 全风化花岗岩：稍湿，坚硬土状，原岩矿物成分基本风化，结构、构造已破坏，但尚可辩认，多以粘性土、粉细砂和粗砾砂为主，呈砾质粉土、粉土、砾质粘性土和粉质粘土状，局部呈砂混粘性土和粘性土混砂状，一般手捏易散，浸水易崩解，湿水后粘性稍大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第八层, 强风化花岗岩：稍湿，坚硬土状，局部半岩半土状和夹中等风化岩碎块，原岩矿物多已风化，结构、构造大部分已破坏，可清晰辩认，呈粗粒花岗结构，风化裂隙和浸染锈斑一般较发育，局部极发育，岩芯以粉细砂、粘性土和粗砾砂为主，呈砾质粉土、砾质粘性土、粉土、粉质粘土为主，局部呈砂混粘性土和粘性土混砂状，一般手捏易散，浸水易崩解、软化，局部湿水粘性较大，局部呈半岩半土状，但手折易断，局部夹中等风化岩碎块，接近中等风化岩状，岩块较硬，锤击较难断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第九层, 中等风化花岗岩：坚硬，岩质较新鲜，岩芯较完整，呈短柱状、碎块状，风化裂隙和浸染诱斑较发育，局部裂隙面风化强烈，粗粒花岗结构，块状构造，岩芯锤击声较脆、难断，RQD指标一般70～75％，局部较低。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>第十层, 微风化花岗岩：坚硬，岩质新鲜，岩芯完整，岩芯呈柱状、短柱状，局部呈长柱状，一般风化裂隙不发育,局部风化裂隙发育，粗粒花岗结构，块状构造，矿物成分以石英、长石、云母等为主，锤击声脆、难断，岩芯采取率高，RQD＞90％。</w:t>
      </w:r>
    </w:p>
    <w:p>
      <w:pPr>
        <w:jc w:val="both"/>
        <w:ind w:first-line="422"/>
      </w:pPr>
      <w:r>
        <w:rPr>
          <w:rFonts w:ascii="Times" w:hAnsi="Times" w:cs="Times"/>
          <w:sz w:val="24"/>
          <w:sz-cs w:val="24"/>
        </w:rPr>
        <w:t xml:space="preserve">各土层主要力学指标一览表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序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岩土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名称</w:t>
      </w:r>
    </w:p>
    <w:p>
      <w:pPr>
        <w:jc w:val="center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抗剪强度参数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十字板剪力实验抗剪强度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标准贯入击数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天然地基允许承载力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桩侧极限摩阻力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直接快剪固结快剪原状重塑灵敏度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CφCφCuCu’St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Kpa度Kpa度KpaKpa击KpaKpa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①淤泥~淤泥质土</w:t>
      </w:r>
      <w:r>
        <w:rPr>
          <w:rFonts w:ascii="Times New Roman" w:hAnsi="Times New Roman" w:cs="Times New Roman"/>
          <w:sz w:val="21"/>
          <w:sz-cs w:val="21"/>
        </w:rPr>
        <w:t xml:space="preserve">9.282.06.3518.310.84.3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3.20.36010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细砂</w:t>
      </w:r>
      <w:r>
        <w:rPr>
          <w:rFonts w:ascii="Times New Roman" w:hAnsi="Times New Roman" w:cs="Times New Roman"/>
          <w:sz w:val="21"/>
          <w:sz-cs w:val="21"/>
        </w:rPr>
        <w:t xml:space="preserve">5.4229.0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2.97045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②粘土</w:t>
      </w:r>
      <w:r>
        <w:rPr>
          <w:rFonts w:ascii="Times New Roman" w:hAnsi="Times New Roman" w:cs="Times New Roman"/>
          <w:sz w:val="21"/>
          <w:sz-cs w:val="21"/>
        </w:rPr>
        <w:t xml:space="preserve">45.719.635.1514.7294.3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6.76.213050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粉质粘土</w:t>
      </w:r>
      <w:r>
        <w:rPr>
          <w:rFonts w:ascii="Times New Roman" w:hAnsi="Times New Roman" w:cs="Times New Roman"/>
          <w:sz w:val="21"/>
          <w:sz-cs w:val="21"/>
        </w:rPr>
        <w:t xml:space="preserve">27.77.66.6919.1395.1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7.75.815045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③淤泥~淤泥质土</w:t>
      </w:r>
      <w:r>
        <w:rPr>
          <w:rFonts w:ascii="Times New Roman" w:hAnsi="Times New Roman" w:cs="Times New Roman"/>
          <w:sz w:val="21"/>
          <w:sz-cs w:val="21"/>
        </w:rPr>
        <w:t xml:space="preserve">17.951.920.7213.926.75.4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5.63.16050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淤泥混砂</w:t>
      </w:r>
      <w:r>
        <w:rPr>
          <w:rFonts w:ascii="Times New Roman" w:hAnsi="Times New Roman" w:cs="Times New Roman"/>
          <w:sz w:val="21"/>
          <w:sz-cs w:val="21"/>
        </w:rPr>
        <w:t xml:space="preserve">2.1825.6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27555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④粘土~粉质粘土</w:t>
      </w:r>
      <w:r>
        <w:rPr>
          <w:rFonts w:ascii="Times New Roman" w:hAnsi="Times New Roman" w:cs="Times New Roman"/>
          <w:sz w:val="21"/>
          <w:sz-cs w:val="21"/>
        </w:rPr>
        <w:t xml:space="preserve">31.027.118.7616.7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6.615052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粘性土混砂</w:t>
      </w:r>
      <w:r>
        <w:rPr>
          <w:rFonts w:ascii="Times New Roman" w:hAnsi="Times New Roman" w:cs="Times New Roman"/>
          <w:sz w:val="21"/>
          <w:sz-cs w:val="21"/>
        </w:rPr>
        <w:t xml:space="preserve">38.613.733.7529.0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7.116060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砂混粘性土</w:t>
      </w:r>
      <w:r>
        <w:rPr>
          <w:rFonts w:ascii="Times New Roman" w:hAnsi="Times New Roman" w:cs="Times New Roman"/>
          <w:sz w:val="21"/>
          <w:sz-cs w:val="21"/>
        </w:rPr>
        <w:t xml:space="preserve">37.514.228.9928.4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8.415015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淤泥质土</w:t>
      </w:r>
      <w:r>
        <w:rPr>
          <w:rFonts w:ascii="Times New Roman" w:hAnsi="Times New Roman" w:cs="Times New Roman"/>
          <w:sz w:val="21"/>
          <w:sz-cs w:val="21"/>
        </w:rPr>
        <w:t xml:space="preserve">22.933.316.112.6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2.97550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粘性土混砂</w:t>
      </w:r>
      <w:r>
        <w:rPr>
          <w:rFonts w:ascii="Times New Roman" w:hAnsi="Times New Roman" w:cs="Times New Roman"/>
          <w:sz w:val="21"/>
          <w:sz-cs w:val="21"/>
        </w:rPr>
        <w:t xml:space="preserve">29.717.9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1220055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⑥花岗岩残积土</w:t>
      </w:r>
      <w:r>
        <w:rPr>
          <w:rFonts w:ascii="Times New Roman" w:hAnsi="Times New Roman" w:cs="Times New Roman"/>
          <w:sz w:val="21"/>
          <w:sz-cs w:val="21"/>
        </w:rPr>
        <w:t xml:space="preserve">28.9418.525.9326.617.324032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⑦  全风化花岗岩</w:t>
      </w:r>
      <w:r>
        <w:rPr>
          <w:rFonts w:ascii="Times New Roman" w:hAnsi="Times New Roman" w:cs="Times New Roman"/>
          <w:sz w:val="21"/>
          <w:sz-cs w:val="21"/>
        </w:rPr>
        <w:t xml:space="preserve">33.0120.531.9426.138.530045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⑧强风化花岗岩</w:t>
      </w:r>
      <w:r>
        <w:rPr>
          <w:rFonts w:ascii="Times New Roman" w:hAnsi="Times New Roman" w:cs="Times New Roman"/>
          <w:sz w:val="21"/>
          <w:sz-cs w:val="21"/>
        </w:rPr>
        <w:t xml:space="preserve">35.121.031.2926.9</w:t>
      </w:r>
      <w:r>
        <w:rPr>
          <w:rFonts w:ascii="Symbol" w:hAnsi="Symbol" w:cs="Symbol"/>
          <w:sz w:val="21"/>
          <w:sz-cs w:val="21"/>
        </w:rPr>
        <w:t xml:space="preserve">≥</w:t>
      </w:r>
      <w:r>
        <w:rPr>
          <w:rFonts w:ascii="Times New Roman" w:hAnsi="Times New Roman" w:cs="Times New Roman"/>
          <w:sz w:val="21"/>
          <w:sz-cs w:val="21"/>
        </w:rPr>
        <w:t xml:space="preserve">5060035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⑨中风化花岗岗岩</w:t>
      </w:r>
      <w:r>
        <w:rPr>
          <w:rFonts w:ascii="Times New Roman" w:hAnsi="Times New Roman" w:cs="Times New Roman"/>
          <w:sz w:val="21"/>
          <w:sz-cs w:val="21"/>
        </w:rPr>
        <w:t xml:space="preserve">200050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>5地震荷载</w:t>
      </w:r>
    </w:p>
    <w:p>
      <w:pPr>
        <w:jc w:val="both"/>
        <w:ind w:left="899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left="901" w:first-line="480"/>
      </w:pPr>
      <w:r>
        <w:rPr>
          <w:rFonts w:ascii="Times New Roman" w:hAnsi="Times New Roman" w:cs="Times New Roman"/>
          <w:sz w:val="24"/>
          <w:sz-cs w:val="24"/>
        </w:rPr>
        <w:t xml:space="preserve">根据中国地震动参数区划图(GB 18306-2001)，工程所在地的地震基本裂度为7度，地震动力系数为0.1g。</w:t>
      </w:r>
    </w:p>
    <w:p>
      <w:pPr>
        <w:jc w:val="both"/>
        <w:ind w:first-line="42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MSPhotoEd.3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jwc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论文模板</dc:title>
  <dc:subject/>
  <dc:creator>guyu</dc:creator>
  <cp:keywords/>
  <dc:description/>
  <cp:lastModifiedBy>欣 潘</cp:lastModifiedBy>
  <dcterms:created>2022-03-21T00:00:00Z</dcterms:created>
  <dcterms:modified>2022-03-21T00:00:00Z</dcterms:modified>
</cp:coreProperties>
</file>

<file path=docProps/meta.xml><?xml version="1.0" encoding="utf-8"?>
<meta xmlns="http://schemas.apple.com/cocoa/2006/metadata">
  <generator>CocoaOOXMLWriter/2575.6</generator>
</meta>
</file>