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9275">
      <w:pPr>
        <w:tabs>
          <w:tab w:val="left" w:pos="3600"/>
        </w:tabs>
        <w:spacing w:line="360" w:lineRule="auto"/>
        <w:ind w:firstLine="560"/>
        <w:rPr>
          <w:rFonts w:ascii="Times New Roman" w:hAnsi="Times New Roman" w:eastAsia="黑体" w:cs="Times New Roman"/>
          <w:b/>
          <w:bCs/>
          <w:sz w:val="28"/>
          <w:szCs w:val="28"/>
        </w:rPr>
      </w:pPr>
    </w:p>
    <w:p w14:paraId="22E2EAED">
      <w:pPr>
        <w:ind w:firstLine="420"/>
        <w:rPr>
          <w:rFonts w:ascii="Times New Roman" w:hAnsi="Times New Roman" w:cs="Times New Roman"/>
          <w:b/>
          <w:bCs/>
        </w:rPr>
      </w:pPr>
    </w:p>
    <w:p w14:paraId="263424D3">
      <w:pPr>
        <w:ind w:firstLine="420"/>
        <w:rPr>
          <w:rFonts w:ascii="Times New Roman" w:hAnsi="Times New Roman" w:cs="Times New Roman"/>
          <w:b/>
          <w:bCs/>
        </w:rPr>
      </w:pPr>
    </w:p>
    <w:p w14:paraId="46E0C414">
      <w:pPr>
        <w:ind w:firstLine="4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drawing>
          <wp:inline distT="0" distB="0" distL="114300" distR="114300">
            <wp:extent cx="3536950" cy="533400"/>
            <wp:effectExtent l="0" t="0" r="13970" b="0"/>
            <wp:docPr id="7" name="图片 4" descr="文理矢量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文理矢量标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3DC7">
      <w:pPr>
        <w:spacing w:before="120" w:beforeLines="50"/>
        <w:ind w:firstLine="1446"/>
        <w:jc w:val="center"/>
        <w:rPr>
          <w:rFonts w:ascii="Times New Roman" w:hAnsi="Times New Roman" w:cs="Times New Roman"/>
          <w:b/>
          <w:bCs/>
          <w:sz w:val="72"/>
          <w:szCs w:val="44"/>
        </w:rPr>
      </w:pPr>
      <w:r>
        <w:rPr>
          <w:rFonts w:ascii="Times New Roman" w:hAnsi="Times New Roman" w:cs="Times New Roman"/>
          <w:b/>
          <w:bCs/>
          <w:sz w:val="72"/>
          <w:szCs w:val="44"/>
        </w:rPr>
        <w:t>本科生毕业论文（设计）</w:t>
      </w:r>
    </w:p>
    <w:p w14:paraId="4E16AA7D">
      <w:pPr>
        <w:spacing w:before="120" w:beforeLines="50"/>
        <w:ind w:firstLine="1446"/>
        <w:jc w:val="center"/>
        <w:rPr>
          <w:rFonts w:ascii="Times New Roman" w:hAnsi="Times New Roman" w:cs="Times New Roman"/>
          <w:b/>
          <w:bCs/>
          <w:sz w:val="72"/>
          <w:szCs w:val="44"/>
        </w:rPr>
      </w:pPr>
      <w:r>
        <w:rPr>
          <w:rFonts w:ascii="Times New Roman" w:hAnsi="Times New Roman" w:cs="Times New Roman"/>
          <w:b/>
          <w:bCs/>
          <w:sz w:val="72"/>
          <w:szCs w:val="44"/>
        </w:rPr>
        <w:t>开题报告书</w:t>
      </w:r>
    </w:p>
    <w:p w14:paraId="13328A83">
      <w:pPr>
        <w:ind w:firstLine="1040"/>
        <w:jc w:val="center"/>
        <w:rPr>
          <w:rFonts w:ascii="Times New Roman" w:hAnsi="Times New Roman" w:cs="Times New Roman"/>
          <w:b/>
          <w:bCs/>
          <w:sz w:val="52"/>
        </w:rPr>
      </w:pPr>
    </w:p>
    <w:p w14:paraId="3441E021">
      <w:pPr>
        <w:ind w:firstLin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52C8B">
      <w:pPr>
        <w:adjustRightInd w:val="0"/>
        <w:snapToGrid w:val="0"/>
        <w:spacing w:line="456" w:lineRule="auto"/>
        <w:ind w:left="3843" w:leftChars="912" w:hanging="1928" w:hangingChars="600"/>
        <w:rPr>
          <w:rFonts w:hint="eastAsia"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b/>
          <w:bCs/>
          <w:sz w:val="32"/>
        </w:rPr>
        <w:t>题    目：</w:t>
      </w:r>
      <w:r>
        <w:rPr>
          <w:rFonts w:hint="eastAsia" w:ascii="Times New Roman" w:hAnsi="Times New Roman" w:cs="Times New Roman"/>
          <w:b/>
          <w:bCs/>
          <w:sz w:val="32"/>
          <w:u w:val="single"/>
        </w:rPr>
        <w:t>基于SPWM的375Hz与900Hz双频高质量发射优化设计</w:t>
      </w:r>
    </w:p>
    <w:p w14:paraId="073DB472">
      <w:pPr>
        <w:adjustRightInd w:val="0"/>
        <w:snapToGrid w:val="0"/>
        <w:spacing w:line="456" w:lineRule="auto"/>
        <w:ind w:firstLine="1928" w:firstLineChars="600"/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b/>
          <w:bCs/>
          <w:sz w:val="32"/>
        </w:rPr>
        <w:t>学生姓名：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    </w:t>
      </w:r>
      <w:r>
        <w:rPr>
          <w:rFonts w:hint="eastAsia" w:ascii="Times New Roman" w:hAnsi="Times New Roman" w:cs="Times New Roman"/>
          <w:b/>
          <w:bCs/>
          <w:sz w:val="32"/>
          <w:u w:val="single"/>
          <w:lang w:val="en-US" w:eastAsia="zh-CN"/>
        </w:rPr>
        <w:t>王翔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 </w:t>
      </w:r>
    </w:p>
    <w:p w14:paraId="03B433CA">
      <w:pPr>
        <w:adjustRightInd w:val="0"/>
        <w:snapToGrid w:val="0"/>
        <w:spacing w:line="456" w:lineRule="auto"/>
        <w:ind w:firstLine="1928" w:firstLineChars="600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学    号：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bCs/>
          <w:sz w:val="32"/>
          <w:u w:val="single"/>
          <w:lang w:val="en-US" w:eastAsia="zh-CN"/>
        </w:rPr>
        <w:t>202214010124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</w:t>
      </w:r>
    </w:p>
    <w:p w14:paraId="1F80E3E4">
      <w:pPr>
        <w:adjustRightInd w:val="0"/>
        <w:snapToGrid w:val="0"/>
        <w:spacing w:line="456" w:lineRule="auto"/>
        <w:ind w:firstLine="1928" w:firstLineChars="600"/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b/>
          <w:bCs/>
          <w:sz w:val="32"/>
        </w:rPr>
        <w:t>专业班级：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  自动化2</w:t>
      </w:r>
      <w:r>
        <w:rPr>
          <w:rFonts w:hint="eastAsia" w:ascii="Times New Roman" w:hAnsi="Times New Roman" w:cs="Times New Roman"/>
          <w:b/>
          <w:bCs/>
          <w:sz w:val="32"/>
          <w:u w:val="single"/>
          <w:lang w:val="en-US" w:eastAsia="zh-CN"/>
        </w:rPr>
        <w:t>2101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</w:t>
      </w:r>
    </w:p>
    <w:p w14:paraId="54A3DFEE">
      <w:pPr>
        <w:adjustRightInd w:val="0"/>
        <w:snapToGrid w:val="0"/>
        <w:spacing w:line="456" w:lineRule="auto"/>
        <w:ind w:firstLine="1928" w:firstLineChars="600"/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b/>
          <w:bCs/>
          <w:sz w:val="32"/>
        </w:rPr>
        <w:t>指导教师：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     </w:t>
      </w:r>
      <w:r>
        <w:rPr>
          <w:rFonts w:hint="eastAsia" w:ascii="Times New Roman" w:hAnsi="Times New Roman" w:cs="Times New Roman"/>
          <w:b/>
          <w:bCs/>
          <w:sz w:val="32"/>
          <w:u w:val="single"/>
          <w:lang w:val="en-US" w:eastAsia="zh-CN"/>
        </w:rPr>
        <w:t>孙一书</w:t>
      </w:r>
      <w:r>
        <w:rPr>
          <w:rFonts w:ascii="Times New Roman" w:hAnsi="Times New Roman" w:cs="Times New Roman"/>
          <w:b/>
          <w:bCs/>
          <w:sz w:val="32"/>
          <w:u w:val="single"/>
        </w:rPr>
        <w:t xml:space="preserve">           </w:t>
      </w:r>
    </w:p>
    <w:p w14:paraId="504F5C4B">
      <w:pPr>
        <w:adjustRightInd w:val="0"/>
        <w:snapToGrid w:val="0"/>
        <w:spacing w:line="720" w:lineRule="exact"/>
        <w:ind w:firstLine="1687" w:firstLineChars="800"/>
        <w:rPr>
          <w:rFonts w:ascii="Times New Roman" w:hAnsi="Times New Roman" w:cs="Times New Roman"/>
          <w:b/>
          <w:bCs/>
        </w:rPr>
      </w:pPr>
    </w:p>
    <w:p w14:paraId="61363A2D">
      <w:pPr>
        <w:spacing w:line="360" w:lineRule="auto"/>
        <w:ind w:firstLine="1767" w:firstLineChars="800"/>
        <w:rPr>
          <w:rFonts w:ascii="Times New Roman" w:hAnsi="Times New Roman" w:cs="Times New Roman"/>
          <w:b/>
          <w:bCs/>
          <w:sz w:val="22"/>
        </w:rPr>
      </w:pPr>
    </w:p>
    <w:p w14:paraId="512A8B05">
      <w:pPr>
        <w:spacing w:line="360" w:lineRule="auto"/>
        <w:ind w:firstLine="1767" w:firstLineChars="800"/>
        <w:rPr>
          <w:rFonts w:ascii="Times New Roman" w:hAnsi="Times New Roman" w:cs="Times New Roman"/>
          <w:b/>
          <w:bCs/>
          <w:sz w:val="22"/>
        </w:rPr>
      </w:pPr>
    </w:p>
    <w:p w14:paraId="72D070CB">
      <w:pPr>
        <w:spacing w:line="360" w:lineRule="auto"/>
        <w:ind w:firstLine="1767" w:firstLineChars="800"/>
        <w:rPr>
          <w:rFonts w:ascii="Times New Roman" w:hAnsi="Times New Roman" w:cs="Times New Roman"/>
          <w:b/>
          <w:bCs/>
          <w:sz w:val="22"/>
        </w:rPr>
      </w:pPr>
    </w:p>
    <w:p w14:paraId="47AD4132">
      <w:pPr>
        <w:spacing w:line="360" w:lineRule="auto"/>
        <w:ind w:firstLine="1767" w:firstLineChars="800"/>
        <w:rPr>
          <w:rFonts w:ascii="Times New Roman" w:hAnsi="Times New Roman" w:cs="Times New Roman"/>
          <w:b/>
          <w:bCs/>
          <w:sz w:val="22"/>
        </w:rPr>
      </w:pPr>
    </w:p>
    <w:p w14:paraId="5CD803D5">
      <w:pPr>
        <w:adjustRightInd w:val="0"/>
        <w:snapToGrid w:val="0"/>
        <w:spacing w:line="456" w:lineRule="auto"/>
        <w:ind w:firstLine="643"/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202</w:t>
      </w:r>
      <w:r>
        <w:rPr>
          <w:rFonts w:hint="eastAsia" w:ascii="Times New Roman" w:hAnsi="Times New Roman" w:cs="Times New Roman"/>
          <w:b/>
          <w:bCs/>
          <w:sz w:val="32"/>
          <w:lang w:val="en-US" w:eastAsia="zh-CN"/>
        </w:rPr>
        <w:t>5</w:t>
      </w:r>
      <w:r>
        <w:rPr>
          <w:rFonts w:ascii="Times New Roman" w:hAnsi="Times New Roman" w:cs="Times New Roman"/>
          <w:b/>
          <w:bCs/>
          <w:sz w:val="32"/>
        </w:rPr>
        <w:t>年12月 28 日</w:t>
      </w:r>
    </w:p>
    <w:p w14:paraId="77AE8F3B">
      <w:pPr>
        <w:adjustRightInd w:val="0"/>
        <w:snapToGrid w:val="0"/>
        <w:spacing w:line="456" w:lineRule="auto"/>
        <w:ind w:firstLine="640"/>
        <w:jc w:val="center"/>
        <w:rPr>
          <w:rFonts w:ascii="Times New Roman" w:hAnsi="Times New Roman" w:cs="Times New Roman"/>
          <w:b/>
          <w:bCs/>
          <w:sz w:val="32"/>
        </w:rPr>
      </w:pPr>
    </w:p>
    <w:p w14:paraId="33FC3641">
      <w:pPr>
        <w:adjustRightInd w:val="0"/>
        <w:snapToGrid w:val="0"/>
        <w:spacing w:line="456" w:lineRule="auto"/>
        <w:ind w:firstLine="640"/>
        <w:jc w:val="center"/>
        <w:rPr>
          <w:rFonts w:ascii="Times New Roman" w:hAnsi="Times New Roman" w:cs="Times New Roman"/>
          <w:b/>
          <w:bCs/>
          <w:sz w:val="32"/>
        </w:rPr>
      </w:pPr>
    </w:p>
    <w:p w14:paraId="3E8ED4B6">
      <w:pPr>
        <w:ind w:firstLine="1767" w:firstLineChars="800"/>
        <w:jc w:val="center"/>
        <w:rPr>
          <w:rFonts w:ascii="Times New Roman" w:hAnsi="Times New Roman" w:cs="Times New Roman"/>
          <w:b/>
          <w:bCs/>
          <w:sz w:val="22"/>
        </w:rPr>
      </w:pPr>
    </w:p>
    <w:tbl>
      <w:tblPr>
        <w:tblStyle w:val="11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591"/>
        <w:gridCol w:w="406"/>
        <w:gridCol w:w="960"/>
        <w:gridCol w:w="998"/>
        <w:gridCol w:w="1181"/>
        <w:gridCol w:w="442"/>
        <w:gridCol w:w="1041"/>
        <w:gridCol w:w="1743"/>
      </w:tblGrid>
      <w:tr w14:paraId="5D05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07" w:type="dxa"/>
            <w:gridSpan w:val="3"/>
            <w:vAlign w:val="center"/>
          </w:tcPr>
          <w:p w14:paraId="3BFC3BFF">
            <w:pPr>
              <w:ind w:firstLine="422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论文（设计）题目</w:t>
            </w:r>
          </w:p>
        </w:tc>
        <w:tc>
          <w:tcPr>
            <w:tcW w:w="6365" w:type="dxa"/>
            <w:gridSpan w:val="6"/>
            <w:vAlign w:val="center"/>
          </w:tcPr>
          <w:p w14:paraId="00ECE44A">
            <w:pPr>
              <w:ind w:firstLine="422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  <w:t>基于SPWM的375Hz与900Hz双频高质量发射优化设计</w:t>
            </w:r>
          </w:p>
        </w:tc>
      </w:tr>
      <w:tr w14:paraId="14FF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9072" w:type="dxa"/>
            <w:gridSpan w:val="9"/>
          </w:tcPr>
          <w:p w14:paraId="2920E9AA">
            <w:pPr>
              <w:spacing w:before="120" w:beforeLines="50" w:line="360" w:lineRule="auto"/>
              <w:ind w:firstLine="422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课题目的、意义及相关研究动态：</w:t>
            </w:r>
          </w:p>
          <w:p w14:paraId="359C565F">
            <w:pPr>
              <w:numPr>
                <w:ilvl w:val="0"/>
                <w:numId w:val="1"/>
              </w:numPr>
              <w:spacing w:line="360" w:lineRule="auto"/>
              <w:ind w:firstLine="422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目的</w:t>
            </w:r>
          </w:p>
          <w:p w14:paraId="127DFC2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本研究旨在针对375Hz与900Hz宽频率差双频发射场景的技术瓶颈，通过SPWM调制算法、系统拓扑结构及控制策略的协同优化，解决双频信号叠加畸变、谐波干扰严重、能量转换效率偏低及系统稳定性不足等核心问题。依托理论建模、仿真模拟与硬件实验相结合的方式，研发出适配该频率组合的高质量双频发射系统，实现波形质量、能量效率与运行稳定性的协同提升，填补宽频率差双频SPWM发射专项优化设计的空白。同时，为双频及多频SPWM发射技术在感应加热、无线充电等领域的工程化应用提供可靠的技术方案与理论支撑，推动相关技术的国产化落地与规模化普及，降低应用成本，提升行业技术水平。</w:t>
            </w:r>
          </w:p>
          <w:p w14:paraId="647239B9">
            <w:pPr>
              <w:numPr>
                <w:ilvl w:val="0"/>
                <w:numId w:val="1"/>
              </w:numPr>
              <w:spacing w:line="360" w:lineRule="auto"/>
              <w:ind w:firstLine="422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意义</w:t>
            </w:r>
          </w:p>
          <w:p w14:paraId="08C6F144">
            <w:pPr>
              <w:spacing w:line="360" w:lineRule="auto"/>
              <w:ind w:firstLine="422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</w:rPr>
              <w:t>理论意义</w:t>
            </w:r>
          </w:p>
          <w:p w14:paraId="110F49B9">
            <w:pPr>
              <w:spacing w:line="360" w:lineRule="auto"/>
              <w:ind w:firstLine="422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完善双频 SPWM 调制策略体系</w:t>
            </w:r>
          </w:p>
          <w:p w14:paraId="10EF3A34">
            <w:pPr>
              <w:spacing w:line="360" w:lineRule="auto"/>
              <w:ind w:firstLine="422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本研究提出的分段自适应载波策略与相位同步软切换算法，突破了固定载波频率下双频载波比不匹配的瓶颈，明确了双频系统中载波比选择、谐波分布规律与损耗平衡的量化关系，为非整数倍双频 SPWM 调制提供了理论参考，丰富了多频 SPWM 调制的理论体系。</w:t>
            </w:r>
          </w:p>
          <w:p w14:paraId="206F5896">
            <w:pPr>
              <w:spacing w:line="360" w:lineRule="auto"/>
              <w:ind w:firstLine="422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工程实践意义</w:t>
            </w:r>
          </w:p>
          <w:p w14:paraId="1AF0C123">
            <w:pPr>
              <w:spacing w:line="360" w:lineRule="auto"/>
              <w:ind w:firstLine="422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提升双频发射系统的可靠性与适应性</w:t>
            </w:r>
          </w:p>
          <w:p w14:paraId="34EF48F3">
            <w:pPr>
              <w:spacing w:line="360" w:lineRule="auto"/>
              <w:ind w:firstLine="422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传统双频 SPWM 系统在负载波动或频率切换时，易出现电流冲击、器件过热等问题，限制了其在工业现场的应用。本研究集成的过流、过温保护机制与负载自适应调整策略，使系统可适应 20%-100% 的负载波动，器件结温控制在 80℃以内，显著提升了系统的可靠性与环境适应性，为双频发射系统的工业化应用提供了技术保障。</w:t>
            </w:r>
          </w:p>
          <w:p w14:paraId="7F35B921">
            <w:pPr>
              <w:spacing w:line="360" w:lineRule="auto"/>
              <w:ind w:firstLine="422"/>
              <w:jc w:val="lef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1C37DE7">
            <w:pPr>
              <w:numPr>
                <w:ilvl w:val="0"/>
                <w:numId w:val="1"/>
              </w:numPr>
              <w:spacing w:line="360" w:lineRule="auto"/>
              <w:ind w:firstLine="422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 xml:space="preserve">相关研究动态    </w:t>
            </w:r>
          </w:p>
          <w:p w14:paraId="5717386E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（一）调制算法创新动态</w:t>
            </w:r>
          </w:p>
          <w:p w14:paraId="0C533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双频调制算法领域，可变开关频率策略成为突破传统固定频率局限的重要方向。最新研究提出载波包络线为反相正弦曲线的无源可变开关频率SPWM技术，通过无需额外硬件的无源设计，在适当扩频范围内可显著降低电感电流与输出电流的总谐波畸变率（THD），同时将系统效率提升1%以上，为双频场景下谐波抑制与损耗优化提供了新路径。此外，基于双分频带的新型随机开关频率SVPWM策略应运而生，以中心开关频率为中点划分局部分频带，结合开关周期的分频带自适应判断，在保证高次谐波分散效果的同时，有效降低电流环脉动与输出转矩波动，适配高端电驱动系统的高精度需求。这些算法创新为宽频率差双频调制提供了可借鉴的技术思路，但针对375Hz与900Hz特定频率组合的适配性优化仍处于探索阶段。</w:t>
            </w:r>
          </w:p>
          <w:p w14:paraId="105C30F8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（二）控制架构与硬件实现动态</w:t>
            </w:r>
          </w:p>
          <w:p w14:paraId="2138E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P+FPGA双核心架构凭借并行处理与高速响应优势，成为双频发射系统控制硬件的主流趋势。最新专利技术采用FPGA+DSP分布式架构，通过FPGA实现双波段信号的并行预处理，DSP负责数据融合与控制指令生成，同时基于Emif总线与SRIO总线的高低速接口分工，实现指令信息与基带数据的高效传输，解决了双频系统实时性与数据吞吐量的矛盾。国内研究进一步推进核心硬件国产化，基于国产DSP与FPGA芯片搭建双频SPWM信号发生器，通过硬件逻辑优化实现双频信号的同步生成与动态调节，降低了系统设计成本，推动技术工程化落地。但现有架构多针对特定频率范围设计，宽频率差场景下的接口协同与时序同步技术仍需完善。</w:t>
            </w:r>
          </w:p>
          <w:p w14:paraId="5E103E14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（三）谐波抑制与效率优化动态</w:t>
            </w:r>
          </w:p>
          <w:p w14:paraId="27A60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谐波抑制与能量效率的协同优化是当前研究的重点与难点。一方面，改进型SHEPWM技术持续迭代，通过精准计算开关时刻实现低次谐波定向抑制，结合宽频带滤波网络设计，可有效降低双频叠加产生的交叉谐波。另一方面，软开关技术与SPWM调制的融合应用不断深化，通过优化开关管驱动策略实现零电压/零电流切换，配合可变开关频率算法，在减少开关损耗的同时避免谐波集中。最新实验数据表明，融合可变开关频率与软开关技术的方案，可使系统效率提升至94.75%，输出电流THD降至3.01%，为双频系统性能均衡提升提供了实践支撑。</w:t>
            </w:r>
          </w:p>
          <w:p w14:paraId="16E0B241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（四）应用领域拓展动态</w:t>
            </w:r>
          </w:p>
          <w:p w14:paraId="52A38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WM双频技术的应用场景从传统感应加热向新能源、无线通信等领域延伸。在电动汽车充电领域，SPWM技术通过精准控制电压电流波形，提升充电效率与电网兼容性，双频方案可适配不同功率等级电动汽车的充电需求，实现快慢充模式的灵活切换。在无线能量传输领域，双频系统凭借不同频率的穿透能力与传输精度优势，适配多设备、多距离的供电场景，成为智能物联网终端供电的核心技术之一。这些应用需求反过来推动技术向宽频率适配、高稳定性、低成本方向升级，为本研究针对375Hz与900Hz宽频率差场景的优化设计提供了明确的应用导向。</w:t>
            </w:r>
          </w:p>
          <w:p w14:paraId="636FDF58">
            <w:pPr>
              <w:spacing w:after="120" w:afterLines="50" w:line="360" w:lineRule="auto"/>
              <w:ind w:firstLine="422" w:firstLineChars="200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14:paraId="617F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8" w:hRule="atLeast"/>
          <w:jc w:val="center"/>
        </w:trPr>
        <w:tc>
          <w:tcPr>
            <w:tcW w:w="9072" w:type="dxa"/>
            <w:gridSpan w:val="9"/>
          </w:tcPr>
          <w:p w14:paraId="784ACE89">
            <w:pPr>
              <w:spacing w:before="120" w:beforeLines="50"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课题的主要内容（观点）、创新之处：</w:t>
            </w:r>
          </w:p>
          <w:p w14:paraId="2F234239">
            <w:pPr>
              <w:numPr>
                <w:ilvl w:val="0"/>
                <w:numId w:val="2"/>
              </w:numPr>
              <w:spacing w:before="120" w:beforeLines="50"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主要内容</w:t>
            </w:r>
          </w:p>
          <w:p w14:paraId="6DCEDD04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一、 双频 SPWM 调制策略优化研究</w:t>
            </w:r>
          </w:p>
          <w:p w14:paraId="0728A37F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1、双频载波比匹配机制研究</w:t>
            </w:r>
          </w:p>
          <w:p w14:paraId="5EDE5EA0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2、双频切换相位同步算法研究</w:t>
            </w:r>
          </w:p>
          <w:p w14:paraId="1E57DE75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二、 双频发射系统硬件电路设计与优化</w:t>
            </w:r>
          </w:p>
          <w:p w14:paraId="1E03396C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1、高效功率电路拓扑与器件选型</w:t>
            </w:r>
          </w:p>
          <w:p w14:paraId="4341B821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2、高性能滤波与散热系统设计</w:t>
            </w:r>
          </w:p>
          <w:p w14:paraId="1B60B39B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三、 双频发射系统闭环控制算法研究</w:t>
            </w:r>
          </w:p>
          <w:p w14:paraId="42CEE3D1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1、谐波闭环抑制策略研究</w:t>
            </w:r>
          </w:p>
          <w:p w14:paraId="52D04686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2、负载自适应调整机制研究</w:t>
            </w:r>
          </w:p>
          <w:p w14:paraId="04782520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四、 系统仿真建模与实验验证研究</w:t>
            </w:r>
          </w:p>
          <w:p w14:paraId="1A656292">
            <w:pPr>
              <w:numPr>
                <w:numId w:val="0"/>
              </w:numPr>
              <w:spacing w:before="120" w:beforeLines="50" w:after="120" w:afterLine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1、MATLAB/Simulink 仿真建模与分析</w:t>
            </w:r>
          </w:p>
          <w:p w14:paraId="362E686A">
            <w:pPr>
              <w:numPr>
                <w:numId w:val="0"/>
              </w:numPr>
              <w:spacing w:before="120" w:beforeLines="50"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2、硬件实验平台搭建与性能测试</w:t>
            </w:r>
          </w:p>
          <w:p w14:paraId="4347BA79">
            <w:pPr>
              <w:numPr>
                <w:ilvl w:val="0"/>
                <w:numId w:val="2"/>
              </w:numPr>
              <w:spacing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创新之处</w:t>
            </w:r>
          </w:p>
          <w:p w14:paraId="539BA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双频调制算法领域，可变开关频率策略成为突破传统固定频率局限的重要方向。最新研究提出载波包络线为反相正弦曲线的无源可变开关频率SPWM技术，通过无需额外硬件的无源设计，在适当扩频范围内可显著降低电感电流与输出电流的总谐波畸变率（THD），同时将系统效率提升1%以上，为双频场景下谐波抑制与损耗优化提供了新路径。此外，基于双分频带的新型随机开关频率SVPWM策略应运而生，以中心开关频率为中点划分局部分频带，结合开关周期的分频带自适应判断，在保证高次谐波分散效果的同时，有效降低电流环脉动与输出转矩波动，适配高端电驱动系统的高精度需求。这些算法创新为宽频率差双频调制提供了可借鉴的技术思路，但针对375Hz与900Hz特定频率组合的适配性优化仍处于探索阶段。</w:t>
            </w:r>
          </w:p>
          <w:p w14:paraId="0DF2BAB0">
            <w:pPr>
              <w:spacing w:line="360" w:lineRule="auto"/>
              <w:ind w:firstLine="422" w:firstLineChars="200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14:paraId="7C01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  <w:jc w:val="center"/>
        </w:trPr>
        <w:tc>
          <w:tcPr>
            <w:tcW w:w="9072" w:type="dxa"/>
            <w:gridSpan w:val="9"/>
          </w:tcPr>
          <w:p w14:paraId="2DA4827F">
            <w:pPr>
              <w:spacing w:before="120" w:beforeLines="50"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研究方法、设计方案或论文撰写提纲</w:t>
            </w:r>
          </w:p>
          <w:p w14:paraId="34616198">
            <w:pPr>
              <w:numPr>
                <w:ilvl w:val="0"/>
                <w:numId w:val="3"/>
              </w:numPr>
              <w:spacing w:before="120" w:beforeLines="50" w:after="120" w:after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研究方法</w:t>
            </w:r>
          </w:p>
          <w:p w14:paraId="582D85A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研究采用理论与实践结合、仿真与实验互补的方法开展工作，核心方法如下：一是理论分析法，梳理SPWM双频调制原理与谐波产生机制，建立375Hz与900Hz双频发射数学模型，为算法与电路设计提供理论支撑；二是仿真模拟法，基于MATLAB/SIMULINK搭建系统仿真模型，验证优化算法与拓扑结构的可行性，迭代优化参数；三是硬件实验法，选用DSP+FPGA核心元器件搭建实验平台，完成软硬件集成调试与性能测试；四是对比分析法，将优化后系统与传统方案在波形质量、效率等指标上对比，验证优化效果。</w:t>
            </w:r>
          </w:p>
          <w:p w14:paraId="782481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617632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C93EE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00D7E72">
            <w:pPr>
              <w:numPr>
                <w:ilvl w:val="0"/>
                <w:numId w:val="3"/>
              </w:numPr>
              <w:spacing w:before="120" w:beforeLines="50" w:line="360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设计方案</w:t>
            </w:r>
          </w:p>
          <w:p w14:paraId="503CD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本研究围绕375Hz与900Hz双频高质量发射目标，结合前期研究内容与技术瓶颈，从调制算法、电路拓扑、控制架构三方面构建协同优化设计方案，确保系统兼顾波形质量、能量效率与运行稳定性，具体如下：</w:t>
            </w:r>
          </w:p>
          <w:p w14:paraId="5041412B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（一）双频SPWM调制算法设计方案</w:t>
            </w:r>
          </w:p>
          <w:p w14:paraId="3E18F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“动态相位补偿+无源可变开关频率”融合算法，适配375Hz与900Hz宽频率差特性。以规则采样法为基础框架，建立双频调制数学模型，将375Hz与900Hz调制波按比例叠加后作为输入，载波选用反相正弦包络线无源可变频率载波，无需额外硬件即可实现开关频率动态调整。嵌入相位补偿模块，实时采集双频信号相位差数据，通过PID调节算法自适应输出相位偏移量，修正调制波相位，解决频率耦合与相位失配问题。同时，预设谐波抑制阈值，通过精准计算开关时刻，定向抑制5次、7次等低次交叉谐波，确保输出波形THD≤5%，兼顾算法实时性与波形质量。</w:t>
            </w:r>
          </w:p>
          <w:p w14:paraId="08C2EA76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（二）双频发射系统拓扑设计方案</w:t>
            </w:r>
          </w:p>
          <w:p w14:paraId="52ABC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“整流滤波-软开关逆变-宽频带匹配滤波”一体化拓扑结构。前端采用三相桥式整流+LC滤波电路，将工频交流电转换为稳定直流电，滤波电容选用高频低损耗型，减少纹波干扰；逆变环节采用全桥拓扑，开关管选用SiC MOSFET，搭配零电压切换（ZVS）驱动电路，通过优化驱动时序实现开关管零电压导通与关断，大幅降低开关损耗；输出端设计宽频带LC滤波网络，通过仿真优化电感、电容参数，使其同时适配375Hz与900Hz双频信号，高效滤除高次谐波，同时增设阻抗匹配网络，确保不同负载下双频信号稳定发射，提升能量传输效率。</w:t>
            </w:r>
          </w:p>
          <w:p w14:paraId="48AA1425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（三）控制系统硬件与软件设计方案</w:t>
            </w:r>
          </w:p>
          <w:p w14:paraId="6E64F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采用DSP+FPGA双核心架构，FPGA选用国产高并行度芯片，负责双频SPWM信号的并行生成、相位差采集与高速预处理，通过硬件逻辑优化实现信号生成延迟≤1μs；DSP选用浮点型芯片，承担数据融合、自适应参数调节与故障诊断功能，通过Emif总线与FPGA实现低速指令交互，SRIO总线实现高速数据传输，解决实时性与吞吐量矛盾。软件基于C语言与Verilog语言开发，包含调制算法模块、自适应控制模块、故障保护模块，自适应模块可根据负载阻抗反馈数据，动态调整调制频率、幅值及相位参数；故障保护模块集成过流、过压、过热检测，确保系统异常时快速停机，提升运行可靠性。</w:t>
            </w:r>
          </w:p>
          <w:p w14:paraId="11C5350B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（四）系统集成与测试方案</w:t>
            </w:r>
          </w:p>
          <w:p w14:paraId="2A4B8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“仿真验证-硬件集成-分模块测试-整体优化”流程推进系统落地。先基于MATLAB/SIMULINK搭建全系统仿真模型，验证算法与拓扑可行性，迭代优化参数；再完成PCB版图绘制与元器件焊接，集成整流、逆变、控制、检测四大模块；分模块测试整流输出稳定性、逆变信号质量、控制响应速度，最后进行整体性能测试，检测双频信号发射质量、谐波含量、能量效率等指标，通过对比实验验证优化效果，直至满足设计目标。</w:t>
            </w:r>
          </w:p>
          <w:p w14:paraId="635127E4">
            <w:pPr>
              <w:numPr>
                <w:numId w:val="0"/>
              </w:numPr>
              <w:spacing w:before="120" w:beforeLines="50" w:line="360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47E75D3">
            <w:pPr>
              <w:spacing w:before="120" w:beforeLines="50" w:line="360" w:lineRule="auto"/>
              <w:ind w:firstLine="420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3）论文撰写提纲</w:t>
            </w:r>
          </w:p>
          <w:p w14:paraId="319F9296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第一章 绪论</w:t>
            </w:r>
          </w:p>
          <w:p w14:paraId="4EBDAB88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1.1 研究背景与意义</w:t>
            </w:r>
          </w:p>
          <w:p w14:paraId="470D7200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1.2 国内外研究现状</w:t>
            </w:r>
          </w:p>
          <w:p w14:paraId="7C1DECFF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1.3 研究内容与技术路线</w:t>
            </w:r>
          </w:p>
          <w:p w14:paraId="1EFE902D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1.4 论文结构安排</w:t>
            </w:r>
          </w:p>
          <w:p w14:paraId="7B0C9A18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第二章 相关理论基础</w:t>
            </w:r>
          </w:p>
          <w:p w14:paraId="03B93760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2.1 SPWM基本原理</w:t>
            </w:r>
          </w:p>
          <w:p w14:paraId="7E400903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2.2 双频SPWM调制理论</w:t>
            </w:r>
          </w:p>
          <w:p w14:paraId="5808E969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2.3 发射系统性能评价指标</w:t>
            </w:r>
          </w:p>
          <w:p w14:paraId="05E94BD1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第三章 基于SPWM的双频调制算法优化设计</w:t>
            </w:r>
          </w:p>
          <w:p w14:paraId="7B016789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3.1 传统双频SPWM算法的局限性分析</w:t>
            </w:r>
          </w:p>
          <w:p w14:paraId="166393CB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3.2 优化型双频SPWM调制算法设计</w:t>
            </w:r>
          </w:p>
          <w:p w14:paraId="28029474">
            <w:pPr>
              <w:spacing w:before="120" w:beforeLines="50" w:line="360" w:lineRule="auto"/>
              <w:ind w:firstLine="420" w:firstLineChars="20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3.3 算法仿真验证与分析</w:t>
            </w:r>
          </w:p>
          <w:p w14:paraId="123D0ABC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第四章 双频SPWM发射系统硬件设计</w:t>
            </w:r>
          </w:p>
          <w:p w14:paraId="2109DF19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4.1 发射系统整体架构设计</w:t>
            </w:r>
          </w:p>
          <w:p w14:paraId="1654F5F9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4.2 核心硬件电路设计</w:t>
            </w:r>
          </w:p>
          <w:p w14:paraId="352621A5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4.3 硬件抗干扰设计</w:t>
            </w:r>
          </w:p>
          <w:p w14:paraId="3B271938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4.4 硬件原型制作与调试</w:t>
            </w:r>
          </w:p>
          <w:p w14:paraId="1F802C6F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第五章 发射系统软件设计与集成</w:t>
            </w:r>
          </w:p>
          <w:p w14:paraId="5C21CE97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5.1 软件整体架构与开发环境</w:t>
            </w:r>
          </w:p>
          <w:p w14:paraId="63A8D02C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5.2 核心软件模块开发</w:t>
            </w:r>
          </w:p>
          <w:p w14:paraId="5FA2AB13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5.3 软硬件集成与联调</w:t>
            </w:r>
          </w:p>
          <w:p w14:paraId="5D277BAF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第六章 双频发射系统性能测试与分析</w:t>
            </w:r>
          </w:p>
          <w:p w14:paraId="6B4E67BA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6.1 测试平台搭建与测试方案设计</w:t>
            </w:r>
          </w:p>
          <w:p w14:paraId="3EFB9A47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6.2 系统性能测试结果与分析</w:t>
            </w:r>
          </w:p>
          <w:p w14:paraId="5AAED215">
            <w:pPr>
              <w:spacing w:before="120" w:beforeLines="50" w:line="360" w:lineRule="auto"/>
              <w:ind w:firstLine="420" w:firstLineChars="20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6.3 测试结果讨论与优化方向</w:t>
            </w:r>
          </w:p>
          <w:p w14:paraId="732B4A7E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第七章 总结与展望</w:t>
            </w:r>
          </w:p>
          <w:p w14:paraId="05143729">
            <w:pPr>
              <w:spacing w:before="120" w:beforeLines="50" w:line="360" w:lineRule="auto"/>
              <w:ind w:left="420"/>
              <w:jc w:val="left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7.1 研究工作总结</w:t>
            </w:r>
          </w:p>
          <w:p w14:paraId="08E6D5A3">
            <w:pPr>
              <w:spacing w:before="120" w:beforeLines="50" w:line="360" w:lineRule="auto"/>
              <w:ind w:left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7.2 研究不足与未来展望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548FFAD">
            <w:pPr>
              <w:spacing w:before="120" w:beforeLines="50" w:line="360" w:lineRule="auto"/>
              <w:ind w:left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参考文献</w:t>
            </w:r>
          </w:p>
          <w:p w14:paraId="7009F7B0">
            <w:pPr>
              <w:spacing w:before="120" w:beforeLines="50" w:line="360" w:lineRule="auto"/>
              <w:ind w:left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致谢</w:t>
            </w:r>
          </w:p>
          <w:p w14:paraId="70448FF7">
            <w:pPr>
              <w:spacing w:before="120" w:beforeLines="50" w:line="360" w:lineRule="auto"/>
              <w:ind w:left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附件</w:t>
            </w:r>
          </w:p>
        </w:tc>
      </w:tr>
      <w:tr w14:paraId="2245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  <w:jc w:val="center"/>
        </w:trPr>
        <w:tc>
          <w:tcPr>
            <w:tcW w:w="9072" w:type="dxa"/>
            <w:gridSpan w:val="9"/>
          </w:tcPr>
          <w:p w14:paraId="42AA5BE6">
            <w:pPr>
              <w:spacing w:before="120" w:before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完成期限和预期进度</w:t>
            </w:r>
          </w:p>
          <w:p w14:paraId="473CECE8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before="120" w:beforeLines="50" w:line="360" w:lineRule="auto"/>
              <w:ind w:left="1259"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学生选题时间：202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/>
                <w:kern w:val="0"/>
                <w:szCs w:val="21"/>
              </w:rPr>
              <w:t>年10月31日前</w:t>
            </w:r>
          </w:p>
          <w:p w14:paraId="3EB38CF1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line="360" w:lineRule="auto"/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指导老师下达任务书时间：202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/>
                <w:kern w:val="0"/>
                <w:szCs w:val="21"/>
              </w:rPr>
              <w:t>年11月30号前</w:t>
            </w:r>
          </w:p>
          <w:p w14:paraId="52D7577D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line="360" w:lineRule="auto"/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集中开题答辩时间：202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/>
                <w:kern w:val="0"/>
                <w:szCs w:val="21"/>
              </w:rPr>
              <w:t>年12月29日</w:t>
            </w:r>
          </w:p>
          <w:p w14:paraId="6AA96813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line="360" w:lineRule="auto"/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中期检查：202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/>
                <w:kern w:val="0"/>
                <w:szCs w:val="21"/>
              </w:rPr>
              <w:t>年3月31日</w:t>
            </w:r>
          </w:p>
          <w:p w14:paraId="2997D1F3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line="360" w:lineRule="auto"/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毕业答辩时间：202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/>
                <w:kern w:val="0"/>
                <w:szCs w:val="21"/>
              </w:rPr>
              <w:t>年5月20－30日</w:t>
            </w:r>
          </w:p>
          <w:p w14:paraId="64C39BFE">
            <w:pPr>
              <w:pStyle w:val="17"/>
              <w:widowControl/>
              <w:numPr>
                <w:ilvl w:val="0"/>
                <w:numId w:val="4"/>
              </w:numPr>
              <w:shd w:val="clear" w:color="auto" w:fill="FFFFFF"/>
              <w:wordWrap w:val="0"/>
              <w:adjustRightInd w:val="0"/>
              <w:snapToGrid w:val="0"/>
              <w:spacing w:line="360" w:lineRule="auto"/>
              <w:ind w:firstLineChars="0"/>
              <w:jc w:val="left"/>
              <w:rPr>
                <w:rFonts w:ascii="Times New Roman" w:hAnsi="Times New Roman" w:eastAsia="楷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成绩评定与提交：202</w:t>
            </w: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/>
                <w:kern w:val="0"/>
                <w:szCs w:val="21"/>
              </w:rPr>
              <w:t>年5月30日前</w:t>
            </w:r>
          </w:p>
        </w:tc>
      </w:tr>
      <w:tr w14:paraId="1CDA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9072" w:type="dxa"/>
            <w:gridSpan w:val="9"/>
          </w:tcPr>
          <w:p w14:paraId="2592367B">
            <w:pPr>
              <w:spacing w:before="120" w:beforeLines="50" w:line="360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主要参考资料</w:t>
            </w:r>
          </w:p>
          <w:p w14:paraId="49ECE445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[1]李传海,李峰,曲继圣,等. 空间矢量脉宽调制(SVPWM)技术特点及其优化方法[J].山东大学学报(工学版),2005,(02):27-31.</w:t>
            </w:r>
          </w:p>
          <w:p w14:paraId="3B943C7C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[2]孙树强,王来东. 改进SPWM脉冲技术的多电平逆变器功率控制仿真[J].计算机仿真,2023,40(09):66-69+75.</w:t>
            </w:r>
          </w:p>
          <w:p w14:paraId="090383EB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[3]巨生云,蒋赢. 基于SPWM控制DC-AC变换器的代码生成技术[J].上海电机学院学报,2021,24(03):130-135.</w:t>
            </w:r>
          </w:p>
          <w:p w14:paraId="66D30D01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[4]李学华,白珍龙,王艳,等. 基于SPWM变频调速系统的研究和设计[J].石油化工自动化,2008,(03):42-45.</w:t>
            </w:r>
          </w:p>
          <w:p w14:paraId="28035859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[5]管云杰,程鹏铭,李山,等. 单相五电平混合桥逆变器SVPWM调制策略研究[J].电气工程学报,2025,20(03):58-68.</w:t>
            </w:r>
          </w:p>
          <w:p w14:paraId="09A31DF6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[6]梁利平,周晶宇,杨双龙,等. 基于SPWM的电磁流量计谐振式励磁系统研制[J].仪表技术与传感器,2024,(05):53-59.</w:t>
            </w:r>
          </w:p>
          <w:p w14:paraId="53A9CA23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[7]M.S. A ,I. A ,T. S , et al. Improvement of the performance of statcom in terms of voltage profile using ann controller[J].International Journal of Power Electronics and Drive Systems,2020,11(4):1966-1978.DOI:10.11591/ijpeds.v11.i4.pp1966-1978.</w:t>
            </w:r>
          </w:p>
          <w:p w14:paraId="44C9F06D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[8]Zhenqiang Z ,Jianjun Z ,Shen L , et al. Asymmetrical SPWM-based control scheme for BESS-integrated UPQC with hybrid connected configuration[J].Journal of Power Electronics,2022,22(10):1735-1745.DOI:10.1007/S43236-022-00483-1.</w:t>
            </w:r>
          </w:p>
          <w:p w14:paraId="3E6B5F5A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[9]K. S ,B. J . Sustainable power conversion topology based STATCOM for reactive power compensation[J].Renewable Energy Focus,2022,43277-290.DOI:10.1016/J.REF.2022.10.007.</w:t>
            </w:r>
          </w:p>
          <w:p w14:paraId="0D6146DA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[10]Mohammed S H ,Sabry H A ,Hameed K H , et al. Impact of pulse-width modulation techniques on inverter efficiency and motor current quality in permanent-magnet synchronous motor drives: a simulation study[J].Measurement,2026,258(PA):119107-119107.DOI:10.1016/J.MEASUREMENT.2025.119107.</w:t>
            </w:r>
          </w:p>
          <w:p w14:paraId="34F2D8AF">
            <w:pPr>
              <w:pStyle w:val="21"/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[11]Samsudin S M ,Alias A ,Said M A N , et al. Comparative Study of Sinusoidal PWM Strategies in Cascaded Multilevel Inverters[J].Journal of Power and Energy Engineering,2025,13(09):95-116.DOI:10.4236/JPEE.2025.139007.</w:t>
            </w:r>
          </w:p>
          <w:p w14:paraId="02225194">
            <w:pPr>
              <w:spacing w:line="360" w:lineRule="auto"/>
              <w:ind w:left="357" w:hanging="357" w:hangingChars="170"/>
              <w:jc w:val="left"/>
              <w:rPr>
                <w:rFonts w:ascii="Times New Roman" w:hAnsi="Times New Roman" w:eastAsia="楷体_GB2312" w:cs="Times New Roman"/>
                <w:bCs/>
                <w:color w:val="000000"/>
                <w:szCs w:val="21"/>
              </w:rPr>
            </w:pPr>
          </w:p>
        </w:tc>
      </w:tr>
      <w:tr w14:paraId="5332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072" w:type="dxa"/>
            <w:gridSpan w:val="9"/>
          </w:tcPr>
          <w:p w14:paraId="23CCA99E">
            <w:pPr>
              <w:spacing w:before="120" w:beforeLines="50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指导教师意见：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>设计优化课题过于简单，需要多充实一下内容。</w:t>
            </w:r>
          </w:p>
          <w:p w14:paraId="1277BFF3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DC04A41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FF0B33A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3353C62">
            <w:pPr>
              <w:ind w:firstLine="6219" w:firstLineChars="2950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签名：           </w:t>
            </w:r>
          </w:p>
          <w:p w14:paraId="5BB1D384">
            <w:pPr>
              <w:spacing w:before="120" w:beforeLines="50"/>
              <w:ind w:firstLine="420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     年      月     日</w:t>
            </w:r>
          </w:p>
        </w:tc>
      </w:tr>
      <w:tr w14:paraId="40D6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72" w:type="dxa"/>
            <w:gridSpan w:val="9"/>
            <w:vAlign w:val="center"/>
          </w:tcPr>
          <w:p w14:paraId="31D761C6">
            <w:pPr>
              <w:ind w:firstLine="422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开  题  报  告  会  纪  要</w:t>
            </w:r>
          </w:p>
        </w:tc>
      </w:tr>
      <w:tr w14:paraId="07E7D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0" w:type="dxa"/>
            <w:vAlign w:val="center"/>
          </w:tcPr>
          <w:p w14:paraId="426A335E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时间</w:t>
            </w:r>
          </w:p>
        </w:tc>
        <w:tc>
          <w:tcPr>
            <w:tcW w:w="3955" w:type="dxa"/>
            <w:gridSpan w:val="4"/>
            <w:vAlign w:val="center"/>
          </w:tcPr>
          <w:p w14:paraId="43E94347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bCs/>
                <w:szCs w:val="21"/>
              </w:rPr>
              <w:t>202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</w:rPr>
              <w:t>年12月28日</w:t>
            </w:r>
          </w:p>
        </w:tc>
        <w:tc>
          <w:tcPr>
            <w:tcW w:w="1181" w:type="dxa"/>
            <w:vAlign w:val="center"/>
          </w:tcPr>
          <w:p w14:paraId="2F6939C5">
            <w:pPr>
              <w:ind w:firstLine="422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地点</w:t>
            </w:r>
          </w:p>
        </w:tc>
        <w:tc>
          <w:tcPr>
            <w:tcW w:w="3226" w:type="dxa"/>
            <w:gridSpan w:val="3"/>
            <w:vAlign w:val="center"/>
          </w:tcPr>
          <w:p w14:paraId="09766868">
            <w:pPr>
              <w:ind w:firstLine="42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Cs w:val="21"/>
              </w:rPr>
              <w:t>实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>训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</w:rPr>
              <w:t>楼</w:t>
            </w: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>B602</w:t>
            </w:r>
          </w:p>
        </w:tc>
      </w:tr>
      <w:tr w14:paraId="7A6B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0" w:type="dxa"/>
            <w:vMerge w:val="restart"/>
            <w:vAlign w:val="center"/>
          </w:tcPr>
          <w:p w14:paraId="4015BC25">
            <w:pPr>
              <w:ind w:firstLine="211" w:firstLineChars="10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与</w:t>
            </w:r>
          </w:p>
          <w:p w14:paraId="00CB66DF">
            <w:pPr>
              <w:ind w:firstLine="211" w:firstLineChars="10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会</w:t>
            </w:r>
          </w:p>
          <w:p w14:paraId="3FF7237F">
            <w:pPr>
              <w:ind w:firstLine="211" w:firstLineChars="10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人</w:t>
            </w:r>
          </w:p>
          <w:p w14:paraId="69AAE247">
            <w:pPr>
              <w:ind w:firstLine="211" w:firstLineChars="10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员</w:t>
            </w:r>
          </w:p>
        </w:tc>
        <w:tc>
          <w:tcPr>
            <w:tcW w:w="1591" w:type="dxa"/>
            <w:vAlign w:val="center"/>
          </w:tcPr>
          <w:p w14:paraId="483432BD">
            <w:pPr>
              <w:ind w:firstLine="422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姓名</w:t>
            </w:r>
          </w:p>
        </w:tc>
        <w:tc>
          <w:tcPr>
            <w:tcW w:w="1366" w:type="dxa"/>
            <w:gridSpan w:val="2"/>
            <w:vAlign w:val="center"/>
          </w:tcPr>
          <w:p w14:paraId="044CC207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职务（职称）</w:t>
            </w:r>
          </w:p>
        </w:tc>
        <w:tc>
          <w:tcPr>
            <w:tcW w:w="998" w:type="dxa"/>
            <w:vAlign w:val="center"/>
          </w:tcPr>
          <w:p w14:paraId="4DED7EDB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姓名</w:t>
            </w:r>
          </w:p>
        </w:tc>
        <w:tc>
          <w:tcPr>
            <w:tcW w:w="1623" w:type="dxa"/>
            <w:gridSpan w:val="2"/>
            <w:vAlign w:val="center"/>
          </w:tcPr>
          <w:p w14:paraId="6D7CC97B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职务（职称）</w:t>
            </w:r>
          </w:p>
        </w:tc>
        <w:tc>
          <w:tcPr>
            <w:tcW w:w="1041" w:type="dxa"/>
            <w:vAlign w:val="center"/>
          </w:tcPr>
          <w:p w14:paraId="256B6B4F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姓名</w:t>
            </w:r>
          </w:p>
        </w:tc>
        <w:tc>
          <w:tcPr>
            <w:tcW w:w="1743" w:type="dxa"/>
            <w:vAlign w:val="center"/>
          </w:tcPr>
          <w:p w14:paraId="2822D232">
            <w:pPr>
              <w:ind w:firstLine="211" w:firstLineChars="10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职务（职称）</w:t>
            </w:r>
          </w:p>
        </w:tc>
      </w:tr>
      <w:tr w14:paraId="061E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710" w:type="dxa"/>
            <w:vMerge w:val="continue"/>
          </w:tcPr>
          <w:p w14:paraId="2439FEBC">
            <w:pPr>
              <w:ind w:firstLine="420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591" w:type="dxa"/>
            <w:vAlign w:val="center"/>
          </w:tcPr>
          <w:p w14:paraId="7D137FF5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肖运昌</w:t>
            </w:r>
          </w:p>
        </w:tc>
        <w:tc>
          <w:tcPr>
            <w:tcW w:w="1366" w:type="dxa"/>
            <w:gridSpan w:val="2"/>
            <w:vAlign w:val="center"/>
          </w:tcPr>
          <w:p w14:paraId="38BF4B36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副教授</w:t>
            </w:r>
          </w:p>
        </w:tc>
        <w:tc>
          <w:tcPr>
            <w:tcW w:w="998" w:type="dxa"/>
            <w:vAlign w:val="center"/>
          </w:tcPr>
          <w:p w14:paraId="3147EBC5">
            <w:pPr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周可丞</w:t>
            </w:r>
          </w:p>
        </w:tc>
        <w:tc>
          <w:tcPr>
            <w:tcW w:w="1623" w:type="dxa"/>
            <w:gridSpan w:val="2"/>
            <w:vAlign w:val="center"/>
          </w:tcPr>
          <w:p w14:paraId="28E5BBC1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  <w:tc>
          <w:tcPr>
            <w:tcW w:w="1041" w:type="dxa"/>
            <w:vAlign w:val="center"/>
          </w:tcPr>
          <w:p w14:paraId="0F944AEC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莫柔</w:t>
            </w:r>
          </w:p>
        </w:tc>
        <w:tc>
          <w:tcPr>
            <w:tcW w:w="1743" w:type="dxa"/>
            <w:vAlign w:val="center"/>
          </w:tcPr>
          <w:p w14:paraId="4A8142F5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</w:tr>
      <w:tr w14:paraId="1CF13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0" w:type="dxa"/>
            <w:vMerge w:val="continue"/>
          </w:tcPr>
          <w:p w14:paraId="4EC6BA53">
            <w:pPr>
              <w:ind w:firstLine="420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591" w:type="dxa"/>
            <w:vAlign w:val="center"/>
          </w:tcPr>
          <w:p w14:paraId="15C9258D">
            <w:pPr>
              <w:ind w:firstLine="420"/>
              <w:rPr>
                <w:rFonts w:hint="eastAsia" w:ascii="Times New Roman" w:hAnsi="Times New Roman" w:cs="Times New Roman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周志刚</w:t>
            </w:r>
          </w:p>
        </w:tc>
        <w:tc>
          <w:tcPr>
            <w:tcW w:w="1366" w:type="dxa"/>
            <w:gridSpan w:val="2"/>
            <w:vAlign w:val="center"/>
          </w:tcPr>
          <w:p w14:paraId="169FC35E">
            <w:pPr>
              <w:jc w:val="center"/>
              <w:rPr>
                <w:rFonts w:hint="eastAsia" w:ascii="Times New Roman" w:hAnsi="Times New Roman" w:cs="Times New Roman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讲师</w:t>
            </w:r>
          </w:p>
        </w:tc>
        <w:tc>
          <w:tcPr>
            <w:tcW w:w="998" w:type="dxa"/>
            <w:vAlign w:val="center"/>
          </w:tcPr>
          <w:p w14:paraId="3A11BAF3">
            <w:pPr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肖涛</w:t>
            </w:r>
          </w:p>
        </w:tc>
        <w:tc>
          <w:tcPr>
            <w:tcW w:w="1623" w:type="dxa"/>
            <w:gridSpan w:val="2"/>
            <w:vAlign w:val="center"/>
          </w:tcPr>
          <w:p w14:paraId="32B68B60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  <w:tc>
          <w:tcPr>
            <w:tcW w:w="1041" w:type="dxa"/>
            <w:vAlign w:val="center"/>
          </w:tcPr>
          <w:p w14:paraId="3F471608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程宏</w:t>
            </w:r>
          </w:p>
        </w:tc>
        <w:tc>
          <w:tcPr>
            <w:tcW w:w="1743" w:type="dxa"/>
            <w:vAlign w:val="center"/>
          </w:tcPr>
          <w:p w14:paraId="4B15880C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</w:tr>
      <w:tr w14:paraId="1419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0" w:type="dxa"/>
            <w:vMerge w:val="continue"/>
          </w:tcPr>
          <w:p w14:paraId="38634DDD">
            <w:pPr>
              <w:ind w:firstLine="420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591" w:type="dxa"/>
            <w:vAlign w:val="center"/>
          </w:tcPr>
          <w:p w14:paraId="5C1B5C8D">
            <w:pPr>
              <w:ind w:firstLine="420"/>
              <w:rPr>
                <w:rFonts w:hint="eastAsia" w:ascii="Times New Roman" w:hAnsi="Times New Roman" w:cs="Times New Roman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孙一书</w:t>
            </w:r>
          </w:p>
        </w:tc>
        <w:tc>
          <w:tcPr>
            <w:tcW w:w="1366" w:type="dxa"/>
            <w:gridSpan w:val="2"/>
            <w:vAlign w:val="center"/>
          </w:tcPr>
          <w:p w14:paraId="25E79A96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讲师</w:t>
            </w:r>
          </w:p>
        </w:tc>
        <w:tc>
          <w:tcPr>
            <w:tcW w:w="998" w:type="dxa"/>
            <w:vAlign w:val="center"/>
          </w:tcPr>
          <w:p w14:paraId="28B82405">
            <w:pPr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许子鸣</w:t>
            </w:r>
          </w:p>
        </w:tc>
        <w:tc>
          <w:tcPr>
            <w:tcW w:w="1623" w:type="dxa"/>
            <w:gridSpan w:val="2"/>
            <w:vAlign w:val="center"/>
          </w:tcPr>
          <w:p w14:paraId="710E7B75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  <w:tc>
          <w:tcPr>
            <w:tcW w:w="1041" w:type="dxa"/>
            <w:vAlign w:val="center"/>
          </w:tcPr>
          <w:p w14:paraId="0C609F1A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罗嘉诚</w:t>
            </w:r>
          </w:p>
        </w:tc>
        <w:tc>
          <w:tcPr>
            <w:tcW w:w="1743" w:type="dxa"/>
            <w:vAlign w:val="center"/>
          </w:tcPr>
          <w:p w14:paraId="436FA785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</w:tr>
      <w:tr w14:paraId="04DC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0" w:type="dxa"/>
            <w:vMerge w:val="continue"/>
          </w:tcPr>
          <w:p w14:paraId="5D475CBB">
            <w:pPr>
              <w:ind w:firstLine="420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591" w:type="dxa"/>
            <w:vAlign w:val="center"/>
          </w:tcPr>
          <w:p w14:paraId="680B6904">
            <w:pPr>
              <w:ind w:firstLine="420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熊英</w:t>
            </w:r>
          </w:p>
        </w:tc>
        <w:tc>
          <w:tcPr>
            <w:tcW w:w="1366" w:type="dxa"/>
            <w:gridSpan w:val="2"/>
            <w:vAlign w:val="center"/>
          </w:tcPr>
          <w:p w14:paraId="5B6FF5FE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讲师</w:t>
            </w:r>
          </w:p>
        </w:tc>
        <w:tc>
          <w:tcPr>
            <w:tcW w:w="998" w:type="dxa"/>
            <w:vAlign w:val="center"/>
          </w:tcPr>
          <w:p w14:paraId="08A24D5E">
            <w:pPr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周李伟</w:t>
            </w:r>
          </w:p>
        </w:tc>
        <w:tc>
          <w:tcPr>
            <w:tcW w:w="1623" w:type="dxa"/>
            <w:gridSpan w:val="2"/>
            <w:vAlign w:val="center"/>
          </w:tcPr>
          <w:p w14:paraId="738FC754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  <w:tc>
          <w:tcPr>
            <w:tcW w:w="1041" w:type="dxa"/>
            <w:vAlign w:val="center"/>
          </w:tcPr>
          <w:p w14:paraId="739ADA2F">
            <w:pPr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唐凌海</w:t>
            </w:r>
          </w:p>
        </w:tc>
        <w:tc>
          <w:tcPr>
            <w:tcW w:w="1743" w:type="dxa"/>
            <w:vAlign w:val="center"/>
          </w:tcPr>
          <w:p w14:paraId="538859D6">
            <w:pPr>
              <w:ind w:firstLine="420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学生</w:t>
            </w:r>
          </w:p>
        </w:tc>
      </w:tr>
      <w:tr w14:paraId="6D5E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0" w:hRule="atLeast"/>
          <w:jc w:val="center"/>
        </w:trPr>
        <w:tc>
          <w:tcPr>
            <w:tcW w:w="9072" w:type="dxa"/>
            <w:gridSpan w:val="9"/>
            <w:tcBorders>
              <w:top w:val="nil"/>
            </w:tcBorders>
          </w:tcPr>
          <w:p w14:paraId="349654CC">
            <w:pPr>
              <w:spacing w:before="120" w:beforeLines="5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会议记录摘要：</w:t>
            </w:r>
          </w:p>
          <w:p w14:paraId="544CB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会议汇报375Hz/900Hz双频SPWM发射优化研究。聚焦频段谐波、切换不稳痛点，以算法与硬件协同优化为核心，创新优化SPWM算法及硬件抗干扰设计。下一步推进仿真、硬件调试与集成，通过测试优化方案，确保成果落地。</w:t>
            </w:r>
          </w:p>
          <w:p w14:paraId="6176CBD7">
            <w:pPr>
              <w:spacing w:before="120" w:beforeLines="50" w:line="360" w:lineRule="auto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</w:p>
          <w:p w14:paraId="22674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老师提问：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嗯，清楚了。那硬件上针对这两个频段，除了功放和滤波，抗干扰这块还有没有更针对性的设计？</w:t>
            </w:r>
          </w:p>
          <w:p w14:paraId="6C4B8077">
            <w:pPr>
              <w:spacing w:before="120" w:beforeLines="50" w:line="360" w:lineRule="auto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</w:p>
          <w:p w14:paraId="7EF15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学生回答：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有的老师。除了专用滤波电路，我重点优化了PCB布线，避开双频段干扰耦合路径，还增加了局部屏蔽结构，专门抑制900Hz频段的电磁干扰，同时对电源做了隔离稳压处理，进一步提升抗干扰能力。</w:t>
            </w:r>
          </w:p>
          <w:p w14:paraId="3B658089">
            <w:pPr>
              <w:spacing w:line="360" w:lineRule="auto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bookmarkStart w:id="0" w:name="_GoBack"/>
            <w:bookmarkEnd w:id="0"/>
          </w:p>
          <w:p w14:paraId="46AE8AA2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4D641FA6">
            <w:pPr>
              <w:ind w:firstLine="4153" w:firstLineChars="197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会议主持人：</w:t>
            </w:r>
          </w:p>
          <w:p w14:paraId="2A20C160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99D0FB">
            <w:pPr>
              <w:adjustRightInd w:val="0"/>
              <w:snapToGrid w:val="0"/>
              <w:spacing w:after="120" w:afterLines="50"/>
              <w:ind w:firstLine="4153" w:firstLineChars="197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记  录  人：</w:t>
            </w:r>
          </w:p>
          <w:p w14:paraId="08C89CBC">
            <w:pPr>
              <w:ind w:firstLine="4579" w:firstLineChars="2172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年   月  日</w:t>
            </w:r>
          </w:p>
        </w:tc>
      </w:tr>
      <w:tr w14:paraId="2B78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7" w:hRule="atLeast"/>
          <w:jc w:val="center"/>
        </w:trPr>
        <w:tc>
          <w:tcPr>
            <w:tcW w:w="710" w:type="dxa"/>
            <w:vAlign w:val="center"/>
          </w:tcPr>
          <w:p w14:paraId="13E3E70A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学院毕业论文</w:t>
            </w:r>
          </w:p>
          <w:p w14:paraId="23665D5F">
            <w:pPr>
              <w:adjustRightInd w:val="0"/>
              <w:snapToGrid w:val="0"/>
              <w:ind w:left="-80" w:leftChars="-38" w:right="-80" w:rightChars="-38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（设计）</w:t>
            </w:r>
          </w:p>
          <w:p w14:paraId="1D8D38C6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工作</w:t>
            </w:r>
          </w:p>
          <w:p w14:paraId="3E595381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小组</w:t>
            </w:r>
          </w:p>
          <w:p w14:paraId="127D9DC9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意见</w:t>
            </w:r>
          </w:p>
        </w:tc>
        <w:tc>
          <w:tcPr>
            <w:tcW w:w="8362" w:type="dxa"/>
            <w:gridSpan w:val="8"/>
          </w:tcPr>
          <w:p w14:paraId="5FBEDE5C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1E2D79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00F3A3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06C6A4F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D8DC9EB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36C584B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87F4E5B">
            <w:pPr>
              <w:ind w:firstLine="420"/>
              <w:rPr>
                <w:rFonts w:hint="eastAsia" w:ascii="Times New Roman" w:hAnsi="Times New Roman" w:cs="Times New Roman"/>
                <w:b/>
                <w:bCs/>
                <w:szCs w:val="21"/>
              </w:rPr>
            </w:pPr>
          </w:p>
          <w:p w14:paraId="730B4D27">
            <w:pPr>
              <w:ind w:firstLine="420"/>
              <w:rPr>
                <w:rFonts w:hint="eastAsia" w:ascii="Times New Roman" w:hAnsi="Times New Roman" w:cs="Times New Roman"/>
                <w:b/>
                <w:bCs/>
                <w:szCs w:val="21"/>
              </w:rPr>
            </w:pPr>
          </w:p>
          <w:p w14:paraId="1995AD50">
            <w:pPr>
              <w:ind w:firstLine="420"/>
              <w:rPr>
                <w:rFonts w:hint="eastAsia" w:ascii="Times New Roman" w:hAnsi="Times New Roman" w:cs="Times New Roman"/>
                <w:b/>
                <w:bCs/>
                <w:szCs w:val="21"/>
              </w:rPr>
            </w:pPr>
          </w:p>
          <w:p w14:paraId="3ABBB421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A79DEE3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545E7DA">
            <w:pPr>
              <w:ind w:firstLine="42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3B5D0F5">
            <w:pPr>
              <w:ind w:firstLine="3299" w:firstLineChars="1565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负责人签名：</w:t>
            </w:r>
          </w:p>
          <w:p w14:paraId="1E6C296B">
            <w:pPr>
              <w:ind w:firstLine="3167" w:firstLineChars="1502"/>
              <w:jc w:val="right"/>
              <w:rPr>
                <w:rFonts w:hint="eastAsia"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      </w:t>
            </w:r>
          </w:p>
          <w:p w14:paraId="21667279">
            <w:pPr>
              <w:ind w:firstLine="3167" w:firstLineChars="1502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  年     月     日</w:t>
            </w:r>
          </w:p>
        </w:tc>
      </w:tr>
    </w:tbl>
    <w:p w14:paraId="51FE0E42">
      <w:pPr>
        <w:rPr>
          <w:rFonts w:ascii="Times New Roman" w:hAnsi="Times New Roman" w:cs="Times New Roman"/>
        </w:rPr>
      </w:pPr>
    </w:p>
    <w:sectPr>
      <w:footerReference r:id="rId3" w:type="default"/>
      <w:footerReference r:id="rId4" w:type="even"/>
      <w:pgSz w:w="11906" w:h="16838"/>
      <w:pgMar w:top="1701" w:right="1134" w:bottom="1701" w:left="1417" w:header="1134" w:footer="1134" w:gutter="0"/>
      <w:pgNumType w:fmt="numberInDash"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BF498">
    <w:pPr>
      <w:pStyle w:val="7"/>
      <w:ind w:firstLine="361"/>
      <w:jc w:val="center"/>
    </w:pPr>
  </w:p>
  <w:p w14:paraId="694BD6DC">
    <w:pPr>
      <w:pStyle w:val="7"/>
      <w:ind w:firstLine="36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A244A">
    <w:pPr>
      <w:pStyle w:val="7"/>
      <w:framePr w:wrap="around" w:vAnchor="text" w:hAnchor="margin" w:xAlign="center" w:y="1"/>
      <w:ind w:firstLine="36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0FA8F91C">
    <w:pPr>
      <w:pStyle w:val="7"/>
      <w:ind w:firstLine="361"/>
    </w:pPr>
  </w:p>
  <w:p w14:paraId="627D8DB4"/>
  <w:p w14:paraId="4AD82E52"/>
  <w:p w14:paraId="29048FB8"/>
  <w:p w14:paraId="65564B6E"/>
  <w:p w14:paraId="76D9940B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42EF"/>
    <w:multiLevelType w:val="singleLevel"/>
    <w:tmpl w:val="BFFD42E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CBC7BFA0"/>
    <w:multiLevelType w:val="multilevel"/>
    <w:tmpl w:val="CBC7BFA0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493236D7"/>
    <w:multiLevelType w:val="multilevel"/>
    <w:tmpl w:val="493236D7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6DA563E1"/>
    <w:multiLevelType w:val="singleLevel"/>
    <w:tmpl w:val="6DA563E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2B9F5C7B"/>
    <w:rsid w:val="00181114"/>
    <w:rsid w:val="002640B6"/>
    <w:rsid w:val="002B74A3"/>
    <w:rsid w:val="003349DC"/>
    <w:rsid w:val="004C6E13"/>
    <w:rsid w:val="006F46B1"/>
    <w:rsid w:val="00970833"/>
    <w:rsid w:val="00B06D4B"/>
    <w:rsid w:val="00B3521D"/>
    <w:rsid w:val="00C21ABE"/>
    <w:rsid w:val="00C24279"/>
    <w:rsid w:val="00D45A1C"/>
    <w:rsid w:val="00E3579F"/>
    <w:rsid w:val="00E46C67"/>
    <w:rsid w:val="00E84C17"/>
    <w:rsid w:val="00ED7625"/>
    <w:rsid w:val="00F07687"/>
    <w:rsid w:val="0D8105B1"/>
    <w:rsid w:val="14F804E1"/>
    <w:rsid w:val="177734A4"/>
    <w:rsid w:val="19BE762B"/>
    <w:rsid w:val="1C1A76DD"/>
    <w:rsid w:val="1C901FEC"/>
    <w:rsid w:val="1DBE549D"/>
    <w:rsid w:val="21FD797B"/>
    <w:rsid w:val="256B19A7"/>
    <w:rsid w:val="26A86F1C"/>
    <w:rsid w:val="2B9F5C7B"/>
    <w:rsid w:val="2BA33D14"/>
    <w:rsid w:val="2F1144FE"/>
    <w:rsid w:val="388263B2"/>
    <w:rsid w:val="3DCD7772"/>
    <w:rsid w:val="3F6922D5"/>
    <w:rsid w:val="4057556A"/>
    <w:rsid w:val="42291D35"/>
    <w:rsid w:val="48343AFA"/>
    <w:rsid w:val="49746D06"/>
    <w:rsid w:val="4A314056"/>
    <w:rsid w:val="52545EA1"/>
    <w:rsid w:val="628F5A07"/>
    <w:rsid w:val="63ED3E34"/>
    <w:rsid w:val="76CA07C4"/>
    <w:rsid w:val="7AFC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toc 3"/>
    <w:basedOn w:val="1"/>
    <w:next w:val="1"/>
    <w:autoRedefine/>
    <w:unhideWhenUsed/>
    <w:qFormat/>
    <w:uiPriority w:val="39"/>
    <w:pPr>
      <w:ind w:left="480"/>
      <w:jc w:val="left"/>
    </w:pPr>
    <w:rPr>
      <w:rFonts w:cstheme="minorHAnsi"/>
      <w:i/>
      <w:iCs/>
      <w:sz w:val="20"/>
      <w:szCs w:val="20"/>
    </w:rPr>
  </w:style>
  <w:style w:type="paragraph" w:styleId="5">
    <w:name w:val="Date"/>
    <w:basedOn w:val="1"/>
    <w:next w:val="1"/>
    <w:link w:val="20"/>
    <w:qFormat/>
    <w:uiPriority w:val="0"/>
    <w:pPr>
      <w:ind w:left="100" w:leftChars="2500"/>
    </w:pPr>
  </w:style>
  <w:style w:type="paragraph" w:styleId="6">
    <w:name w:val="Balloon Text"/>
    <w:basedOn w:val="1"/>
    <w:link w:val="19"/>
    <w:autoRedefine/>
    <w:qFormat/>
    <w:uiPriority w:val="0"/>
    <w:rPr>
      <w:sz w:val="18"/>
      <w:szCs w:val="18"/>
    </w:rPr>
  </w:style>
  <w:style w:type="paragraph" w:styleId="7">
    <w:name w:val="foot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unhideWhenUsed/>
    <w:qFormat/>
    <w:uiPriority w:val="39"/>
    <w:pPr>
      <w:ind w:left="240"/>
      <w:jc w:val="left"/>
    </w:pPr>
    <w:rPr>
      <w:rFonts w:cstheme="minorHAnsi"/>
      <w:smallCaps/>
      <w:sz w:val="20"/>
      <w:szCs w:val="20"/>
    </w:rPr>
  </w:style>
  <w:style w:type="paragraph" w:styleId="10">
    <w:name w:val="Normal (Web)"/>
    <w:basedOn w:val="1"/>
    <w:autoRedefine/>
    <w:qFormat/>
    <w:uiPriority w:val="0"/>
    <w:pPr>
      <w:widowControl/>
      <w:spacing w:beforeAutospacing="1" w:afterAutospacing="1"/>
      <w:ind w:firstLine="480"/>
      <w:jc w:val="center"/>
    </w:pPr>
    <w:rPr>
      <w:rFonts w:cs="Times New Roman"/>
      <w:kern w:val="0"/>
      <w:sz w:val="24"/>
    </w:rPr>
  </w:style>
  <w:style w:type="character" w:styleId="13">
    <w:name w:val="page number"/>
    <w:autoRedefine/>
    <w:qFormat/>
    <w:uiPriority w:val="0"/>
  </w:style>
  <w:style w:type="character" w:styleId="14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Char"/>
    <w:basedOn w:val="12"/>
    <w:link w:val="8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12"/>
    <w:link w:val="7"/>
    <w:autoRedefine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8">
    <w:name w:val="123"/>
    <w:basedOn w:val="1"/>
    <w:autoRedefine/>
    <w:qFormat/>
    <w:uiPriority w:val="0"/>
    <w:pPr>
      <w:outlineLvl w:val="0"/>
    </w:pPr>
    <w:rPr>
      <w:rFonts w:ascii="Times New Roman" w:hAnsi="Times New Roman" w:eastAsia="黑体"/>
      <w:sz w:val="32"/>
    </w:rPr>
  </w:style>
  <w:style w:type="character" w:customStyle="1" w:styleId="19">
    <w:name w:val="批注框文本 Char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日期 Char"/>
    <w:basedOn w:val="12"/>
    <w:link w:val="5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21">
    <w:name w:val="修改正文"/>
    <w:basedOn w:val="1"/>
    <w:uiPriority w:val="0"/>
    <w:pPr>
      <w:spacing w:line="360" w:lineRule="auto"/>
      <w:ind w:firstLine="400" w:firstLineChars="200"/>
    </w:pPr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4695</Words>
  <Characters>5322</Characters>
  <Lines>219</Lines>
  <Paragraphs>201</Paragraphs>
  <TotalTime>32</TotalTime>
  <ScaleCrop>false</ScaleCrop>
  <LinksUpToDate>false</LinksUpToDate>
  <CharactersWithSpaces>5554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2022-12-04T13:08:00Z</dcterms:created>
  <dc:creator>武哥</dc:creator>
  <cp:lastModifiedBy>k2</cp:lastModifiedBy>
  <cp:lastPrinted>2024-05-30T08:29:00Z</cp:lastPrinted>
  <dcterms:modified xsi:type="dcterms:W3CDTF">2026-01-16T22:12:15Z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95881512F7C542A99DF08B778141A8FB_13</vt:lpwstr>
  </property>
  <property fmtid="{D5CDD505-2E9C-101B-9397-08002B2CF9AE}" pid="4" name="KSOTemplateDocerSaveRecord">
    <vt:lpwstr>eyJoZGlkIjoiMGZlZDgyMTBiOTc5OTczNWE3ZGFjOWM2YWFkNGI4ZTkiLCJ1c2VySWQiOiIxMjM5NDM1ODcyIn0=</vt:lpwstr>
  </property>
</Properties>
</file>