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黑体" w:eastAsia="黑体" w:hAnsi="黑体" w:hint="eastAsia"/>
          <w:b/>
          <w:sz w:val="32"/>
          <w:szCs w:val="32"/>
        </w:rPr>
        <w:t>题目：防城港9号泊位3万吨级集装箱进口码头工程初步设计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年 级 </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姓 名 </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学 号 </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b/>
          <w:sz w:val="32"/>
        </w:rPr>
        <w:t xml:space="preserve">指导教师 </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headerReference w:type="default" r:id="rId27"/>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宋体" w:hAnsi="宋体" w:hint="eastAsia"/>
        </w:rPr>
        <w:t>本设计以防城港渔澫港区9号泊位3万吨级集装箱进口码头为对象，按照初步设计深度完成工程概况、设计资料、平面布置、装卸工艺、结构方案、结构计算、工程概预算和方案选择。根据老师修改意见，正文精简自然状况背景描述，重点列明原始设计参数，并将结构方案比选调整到稳定计算和概预算之后。设计船型取3万吨级集装箱船，泊位长度取300m，码头前沿设计水深取13.50m，停泊水域宽度取65m，回旋水域按500m×400m布置，航道有效宽度取150m。陆域采用前沿作业带、重箱区、空箱区、冷藏箱区、危险品箱区、查验区、铁路装卸区、闸口和道路系统分区布置，装卸工艺推荐岸边集装箱起重机、集装箱牵引车和轮胎式场桥配套方案。结构部分重点比较沉箱重力式码头和大圆筒重力式码头，分别说明平面、立面、断面、细部构造、材料、尺度、配筋和施工控制要求。计算部分完成抗滑、抗倾覆、基床应力、偏心距和施工阶段控制说明；概预算部分按单位工程、主要工程量、综合单价和投资估算展开。综合结构稳定、工程量、概预算、施工风险和运行维护，推荐采用沉箱重力式码头方案。</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b/>
          <w:bCs/>
          <w:sz w:val="28"/>
          <w:szCs w:val="28"/>
        </w:rPr>
        <w:t>关键词：</w:t>
      </w:r>
      <w:r w:rsidR="001E6A84" w:rsidRPr="006F13E7">
        <w:rPr>
          <w:rFonts w:hint="eastAsia"/>
          <w:b w:val="0"/>
        </w:rPr>
        <w:t>防城港；集装箱码头；初步设计；沉箱码头；大圆筒码头；工程概预算</w:t>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headerReference w:type="default" r:id="rId28"/>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rPr>
        <w:t>This thesis presents the preliminary design of the No. 9 berth 30,000 DWT container import terminal in Fangchenggang Port. The revision follows the teacher's comments by simplifying general natural-condition descriptions, listing original design parameters, and moving the structural scheme selection after stability calculations and budget estimation. The design vessel is a 30,000 DWT container ship. The berth length is 300 m, the design water depth at the berth front is 13.50 m, the berthing water width is 65 m, the turning basin is 500 m by 400 m, and the channel width is 150 m. The land area is arranged with quay apron, laden container yard, empty container yard, reefer area, dangerous cargo area, inspection area, railway transfer area, gate area and road system. The handling process adopts quay cranes, container tractors and rubber-tyred gantry cranes. Two gravity wharf schemes, namely the caisson scheme and the large-diameter cylinder scheme, are described in terms of layout, sections, local details, dimensions, materials, reinforcement and construction control. Stability checks, foundation stress verification, construction-stage considerations, quantity estimation and budget comparison are completed. Considering structural reliability, construction risk, quantities, budget and maintenance, the caisson gravity wharf scheme is recommended.</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b/>
          <w:bCs/>
          <w:sz w:val="28"/>
          <w:szCs w:val="28"/>
        </w:rPr>
        <w:t>KEY WORDS:</w:t>
      </w:r>
      <w:r>
        <w:rPr>
          <w:rFonts w:hint="eastAsia"/>
          <w:b w:val="0"/>
          <w:bCs/>
          <w:sz w:val="28"/>
          <w:szCs w:val="28"/>
        </w:rPr>
        <w:t xml:space="preserve"> Fangchenggang Port; container terminal; preliminary design; caisson wharf; large cylinder wharf; budget estimation</w:t>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headerReference w:type="default" r:id="rId29"/>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r>
        <w:rPr>
          <w:vanish/>
        </w:rPr>
        <w:fldChar w:fldCharType="begin" w:dirty="true"/>
        <w:instrText xml:space="preserve">TOC \o "1-3" \h \z \u</w:instrText>
        <w:fldChar w:fldCharType="separate"/>
      </w:r>
    </w:p>
    <w:p>
      <w:pPr>
        <w:tabs>
          <w:tab w:pos="8200" w:val="right" w:leader="dot"/>
        </w:tabs>
        <w:spacing w:lineRule="auto" w:line="240" w:before="0" w:after="0"/>
        <w:ind w:left="0"/>
      </w:pPr>
      <w:r>
        <w:rPr>
          <w:rFonts w:ascii="Times New Roman" w:hAnsi="Times New Roman" w:eastAsia="宋体"/>
          <w:b/>
          <w:sz w:val="24"/>
        </w:rPr>
        <w:t>第一章 工程概况与绪论</w:t>
        <w:tab/>
        <w:t>1</w:t>
      </w:r>
    </w:p>
    <w:p>
      <w:pPr>
        <w:tabs>
          <w:tab w:pos="8200" w:val="right" w:leader="dot"/>
        </w:tabs>
        <w:spacing w:lineRule="auto" w:line="240" w:before="0" w:after="0"/>
        <w:ind w:left="360"/>
      </w:pPr>
      <w:r>
        <w:rPr>
          <w:rFonts w:ascii="Times New Roman" w:hAnsi="Times New Roman" w:eastAsia="宋体"/>
          <w:b w:val="0"/>
          <w:sz w:val="20"/>
        </w:rPr>
        <w:t>1.1 工程概况</w:t>
        <w:tab/>
        <w:t>1</w:t>
      </w:r>
    </w:p>
    <w:p>
      <w:pPr>
        <w:tabs>
          <w:tab w:pos="8200" w:val="right" w:leader="dot"/>
        </w:tabs>
        <w:spacing w:lineRule="auto" w:line="240" w:before="0" w:after="0"/>
        <w:ind w:left="360"/>
      </w:pPr>
      <w:r>
        <w:rPr>
          <w:rFonts w:ascii="Times New Roman" w:hAnsi="Times New Roman" w:eastAsia="宋体"/>
          <w:b w:val="0"/>
          <w:sz w:val="20"/>
        </w:rPr>
        <w:t>1.2 建设必要性与设计目标</w:t>
        <w:tab/>
        <w:t>2</w:t>
      </w:r>
    </w:p>
    <w:p>
      <w:pPr>
        <w:tabs>
          <w:tab w:pos="8200" w:val="right" w:leader="dot"/>
        </w:tabs>
        <w:spacing w:lineRule="auto" w:line="240" w:before="0" w:after="0"/>
        <w:ind w:left="360"/>
      </w:pPr>
      <w:r>
        <w:rPr>
          <w:rFonts w:ascii="Times New Roman" w:hAnsi="Times New Roman" w:eastAsia="宋体"/>
          <w:b w:val="0"/>
          <w:sz w:val="20"/>
        </w:rPr>
        <w:t>1.3 自然状况控制因素</w:t>
        <w:tab/>
        <w:t>4</w:t>
      </w:r>
    </w:p>
    <w:p>
      <w:pPr>
        <w:tabs>
          <w:tab w:pos="8200" w:val="right" w:leader="dot"/>
        </w:tabs>
        <w:spacing w:lineRule="auto" w:line="240" w:before="0" w:after="0"/>
        <w:ind w:left="360"/>
      </w:pPr>
      <w:r>
        <w:rPr>
          <w:rFonts w:ascii="Times New Roman" w:hAnsi="Times New Roman" w:eastAsia="宋体"/>
          <w:b w:val="0"/>
          <w:sz w:val="20"/>
        </w:rPr>
        <w:t>1.4 设计依据与章节安排</w:t>
        <w:tab/>
        <w:t>5</w:t>
      </w:r>
    </w:p>
    <w:p>
      <w:pPr>
        <w:tabs>
          <w:tab w:pos="8200" w:val="right" w:leader="dot"/>
        </w:tabs>
        <w:spacing w:lineRule="auto" w:line="240" w:before="0" w:after="0"/>
        <w:ind w:left="0"/>
      </w:pPr>
      <w:r>
        <w:rPr>
          <w:rFonts w:ascii="Times New Roman" w:hAnsi="Times New Roman" w:eastAsia="宋体"/>
          <w:b/>
          <w:sz w:val="24"/>
        </w:rPr>
        <w:t>第二章 设计资料与原始参数</w:t>
        <w:tab/>
        <w:t>7</w:t>
      </w:r>
    </w:p>
    <w:p>
      <w:pPr>
        <w:tabs>
          <w:tab w:pos="8200" w:val="right" w:leader="dot"/>
        </w:tabs>
        <w:spacing w:lineRule="auto" w:line="240" w:before="0" w:after="0"/>
        <w:ind w:left="360"/>
      </w:pPr>
      <w:r>
        <w:rPr>
          <w:rFonts w:ascii="Times New Roman" w:hAnsi="Times New Roman" w:eastAsia="宋体"/>
          <w:b w:val="0"/>
          <w:sz w:val="20"/>
        </w:rPr>
        <w:t>2.1 设计船型与吞吐量参数</w:t>
        <w:tab/>
        <w:t>7</w:t>
      </w:r>
    </w:p>
    <w:p>
      <w:pPr>
        <w:tabs>
          <w:tab w:pos="8200" w:val="right" w:leader="dot"/>
        </w:tabs>
        <w:spacing w:lineRule="auto" w:line="240" w:before="0" w:after="0"/>
        <w:ind w:left="360"/>
      </w:pPr>
      <w:r>
        <w:rPr>
          <w:rFonts w:ascii="Times New Roman" w:hAnsi="Times New Roman" w:eastAsia="宋体"/>
          <w:b w:val="0"/>
          <w:sz w:val="20"/>
        </w:rPr>
        <w:t>2.2 水位、地质与材料参数</w:t>
        <w:tab/>
        <w:t>8</w:t>
      </w:r>
    </w:p>
    <w:p>
      <w:pPr>
        <w:tabs>
          <w:tab w:pos="8200" w:val="right" w:leader="dot"/>
        </w:tabs>
        <w:spacing w:lineRule="auto" w:line="240" w:before="0" w:after="0"/>
        <w:ind w:left="360"/>
      </w:pPr>
      <w:r>
        <w:rPr>
          <w:rFonts w:ascii="Times New Roman" w:hAnsi="Times New Roman" w:eastAsia="宋体"/>
          <w:b w:val="0"/>
          <w:sz w:val="20"/>
        </w:rPr>
        <w:t>2.3 设计荷载与设备资料</w:t>
        <w:tab/>
        <w:t>11</w:t>
      </w:r>
    </w:p>
    <w:p>
      <w:pPr>
        <w:tabs>
          <w:tab w:pos="8200" w:val="right" w:leader="dot"/>
        </w:tabs>
        <w:spacing w:lineRule="auto" w:line="240" w:before="0" w:after="0"/>
        <w:ind w:left="0"/>
      </w:pPr>
      <w:r>
        <w:rPr>
          <w:rFonts w:ascii="Times New Roman" w:hAnsi="Times New Roman" w:eastAsia="宋体"/>
          <w:b/>
          <w:sz w:val="24"/>
        </w:rPr>
        <w:t>第三章 平面布置与装卸工艺</w:t>
        <w:tab/>
        <w:t>13</w:t>
      </w:r>
    </w:p>
    <w:p>
      <w:pPr>
        <w:tabs>
          <w:tab w:pos="8200" w:val="right" w:leader="dot"/>
        </w:tabs>
        <w:spacing w:lineRule="auto" w:line="240" w:before="0" w:after="0"/>
        <w:ind w:left="360"/>
      </w:pPr>
      <w:r>
        <w:rPr>
          <w:rFonts w:ascii="Times New Roman" w:hAnsi="Times New Roman" w:eastAsia="宋体"/>
          <w:b w:val="0"/>
          <w:sz w:val="20"/>
        </w:rPr>
        <w:t>3.1 平面布置原则</w:t>
        <w:tab/>
        <w:t>13</w:t>
      </w:r>
    </w:p>
    <w:p>
      <w:pPr>
        <w:tabs>
          <w:tab w:pos="8200" w:val="right" w:leader="dot"/>
        </w:tabs>
        <w:spacing w:lineRule="auto" w:line="240" w:before="0" w:after="0"/>
        <w:ind w:left="360"/>
      </w:pPr>
      <w:r>
        <w:rPr>
          <w:rFonts w:ascii="Times New Roman" w:hAnsi="Times New Roman" w:eastAsia="宋体"/>
          <w:b w:val="0"/>
          <w:sz w:val="20"/>
        </w:rPr>
        <w:t>3.2 水域布置计算</w:t>
        <w:tab/>
        <w:t>14</w:t>
      </w:r>
    </w:p>
    <w:p>
      <w:pPr>
        <w:tabs>
          <w:tab w:pos="8200" w:val="right" w:leader="dot"/>
        </w:tabs>
        <w:spacing w:lineRule="auto" w:line="240" w:before="0" w:after="0"/>
        <w:ind w:left="360"/>
      </w:pPr>
      <w:r>
        <w:rPr>
          <w:rFonts w:ascii="Times New Roman" w:hAnsi="Times New Roman" w:eastAsia="宋体"/>
          <w:b w:val="0"/>
          <w:sz w:val="20"/>
        </w:rPr>
        <w:t>3.3 陆域布置与库场尺度计算</w:t>
        <w:tab/>
        <w:t>16</w:t>
      </w:r>
    </w:p>
    <w:p>
      <w:pPr>
        <w:tabs>
          <w:tab w:pos="8200" w:val="right" w:leader="dot"/>
        </w:tabs>
        <w:spacing w:lineRule="auto" w:line="240" w:before="0" w:after="0"/>
        <w:ind w:left="360"/>
      </w:pPr>
      <w:r>
        <w:rPr>
          <w:rFonts w:ascii="Times New Roman" w:hAnsi="Times New Roman" w:eastAsia="宋体"/>
          <w:b w:val="0"/>
          <w:sz w:val="20"/>
        </w:rPr>
        <w:t>3.4 装卸工艺选择</w:t>
        <w:tab/>
        <w:t>20</w:t>
      </w:r>
    </w:p>
    <w:p>
      <w:pPr>
        <w:tabs>
          <w:tab w:pos="8200" w:val="right" w:leader="dot"/>
        </w:tabs>
        <w:spacing w:lineRule="auto" w:line="240" w:before="0" w:after="0"/>
        <w:ind w:left="360"/>
      </w:pPr>
      <w:r>
        <w:rPr>
          <w:rFonts w:ascii="Times New Roman" w:hAnsi="Times New Roman" w:eastAsia="宋体"/>
          <w:b w:val="0"/>
          <w:sz w:val="20"/>
        </w:rPr>
        <w:t>3.5 总平面布置图说明</w:t>
        <w:tab/>
        <w:t>23</w:t>
      </w:r>
    </w:p>
    <w:p>
      <w:pPr>
        <w:tabs>
          <w:tab w:pos="8200" w:val="right" w:leader="dot"/>
        </w:tabs>
        <w:spacing w:lineRule="auto" w:line="240" w:before="0" w:after="0"/>
        <w:ind w:left="0"/>
      </w:pPr>
      <w:r>
        <w:rPr>
          <w:rFonts w:ascii="Times New Roman" w:hAnsi="Times New Roman" w:eastAsia="宋体"/>
          <w:b/>
          <w:sz w:val="24"/>
        </w:rPr>
        <w:t>第四章 结构方案设计</w:t>
        <w:tab/>
        <w:t>28</w:t>
      </w:r>
    </w:p>
    <w:p>
      <w:pPr>
        <w:tabs>
          <w:tab w:pos="8200" w:val="right" w:leader="dot"/>
        </w:tabs>
        <w:spacing w:lineRule="auto" w:line="240" w:before="0" w:after="0"/>
        <w:ind w:left="360"/>
      </w:pPr>
      <w:r>
        <w:rPr>
          <w:rFonts w:ascii="Times New Roman" w:hAnsi="Times New Roman" w:eastAsia="宋体"/>
          <w:b w:val="0"/>
          <w:sz w:val="20"/>
        </w:rPr>
        <w:t>4.1 结构方案筛选</w:t>
        <w:tab/>
        <w:t>28</w:t>
      </w:r>
    </w:p>
    <w:p>
      <w:pPr>
        <w:tabs>
          <w:tab w:pos="8200" w:val="right" w:leader="dot"/>
        </w:tabs>
        <w:spacing w:lineRule="auto" w:line="240" w:before="0" w:after="0"/>
        <w:ind w:left="360"/>
      </w:pPr>
      <w:r>
        <w:rPr>
          <w:rFonts w:ascii="Times New Roman" w:hAnsi="Times New Roman" w:eastAsia="宋体"/>
          <w:b w:val="0"/>
          <w:sz w:val="20"/>
        </w:rPr>
        <w:t>4.2 方案一：沉箱重力式码头</w:t>
        <w:tab/>
        <w:t>29</w:t>
      </w:r>
    </w:p>
    <w:p>
      <w:pPr>
        <w:tabs>
          <w:tab w:pos="8200" w:val="right" w:leader="dot"/>
        </w:tabs>
        <w:spacing w:lineRule="auto" w:line="240" w:before="0" w:after="0"/>
        <w:ind w:left="360"/>
      </w:pPr>
      <w:r>
        <w:rPr>
          <w:rFonts w:ascii="Times New Roman" w:hAnsi="Times New Roman" w:eastAsia="宋体"/>
          <w:b w:val="0"/>
          <w:sz w:val="20"/>
        </w:rPr>
        <w:t>4.3 方案二：大圆筒重力式码头</w:t>
        <w:tab/>
        <w:t>36</w:t>
      </w:r>
    </w:p>
    <w:p>
      <w:pPr>
        <w:tabs>
          <w:tab w:pos="8200" w:val="right" w:leader="dot"/>
        </w:tabs>
        <w:spacing w:lineRule="auto" w:line="240" w:before="0" w:after="0"/>
        <w:ind w:left="360"/>
      </w:pPr>
      <w:r>
        <w:rPr>
          <w:rFonts w:ascii="Times New Roman" w:hAnsi="Times New Roman" w:eastAsia="宋体"/>
          <w:b w:val="0"/>
          <w:sz w:val="20"/>
        </w:rPr>
        <w:t>4.4 图纸统一与细部说明</w:t>
        <w:tab/>
        <w:t>43</w:t>
      </w:r>
    </w:p>
    <w:p>
      <w:pPr>
        <w:tabs>
          <w:tab w:pos="8200" w:val="right" w:leader="dot"/>
        </w:tabs>
        <w:spacing w:lineRule="auto" w:line="240" w:before="0" w:after="0"/>
        <w:ind w:left="0"/>
      </w:pPr>
      <w:r>
        <w:rPr>
          <w:rFonts w:ascii="Times New Roman" w:hAnsi="Times New Roman" w:eastAsia="宋体"/>
          <w:b/>
          <w:sz w:val="24"/>
        </w:rPr>
        <w:t>第五章 结构计算与配筋构造</w:t>
        <w:tab/>
        <w:t>45</w:t>
      </w:r>
    </w:p>
    <w:p>
      <w:pPr>
        <w:tabs>
          <w:tab w:pos="8200" w:val="right" w:leader="dot"/>
        </w:tabs>
        <w:spacing w:lineRule="auto" w:line="240" w:before="0" w:after="0"/>
        <w:ind w:left="360"/>
      </w:pPr>
      <w:r>
        <w:rPr>
          <w:rFonts w:ascii="Times New Roman" w:hAnsi="Times New Roman" w:eastAsia="宋体"/>
          <w:b w:val="0"/>
          <w:sz w:val="20"/>
        </w:rPr>
        <w:t>5.1 计算依据、单元与工况</w:t>
        <w:tab/>
        <w:t>45</w:t>
      </w:r>
    </w:p>
    <w:p>
      <w:pPr>
        <w:tabs>
          <w:tab w:pos="8200" w:val="right" w:leader="dot"/>
        </w:tabs>
        <w:spacing w:lineRule="auto" w:line="240" w:before="0" w:after="0"/>
        <w:ind w:left="360"/>
      </w:pPr>
      <w:r>
        <w:rPr>
          <w:rFonts w:ascii="Times New Roman" w:hAnsi="Times New Roman" w:eastAsia="宋体"/>
          <w:b w:val="0"/>
          <w:sz w:val="20"/>
        </w:rPr>
        <w:t>5.2 方案一沉箱稳定计算</w:t>
        <w:tab/>
        <w:t>47</w:t>
      </w:r>
    </w:p>
    <w:p>
      <w:pPr>
        <w:tabs>
          <w:tab w:pos="8200" w:val="right" w:leader="dot"/>
        </w:tabs>
        <w:spacing w:lineRule="auto" w:line="240" w:before="0" w:after="0"/>
        <w:ind w:left="360"/>
      </w:pPr>
      <w:r>
        <w:rPr>
          <w:rFonts w:ascii="Times New Roman" w:hAnsi="Times New Roman" w:eastAsia="宋体"/>
          <w:b w:val="0"/>
          <w:sz w:val="20"/>
        </w:rPr>
        <w:t>5.3 沉箱内力计算与配筋构造</w:t>
        <w:tab/>
        <w:t>52</w:t>
      </w:r>
    </w:p>
    <w:p>
      <w:pPr>
        <w:tabs>
          <w:tab w:pos="8200" w:val="right" w:leader="dot"/>
        </w:tabs>
        <w:spacing w:lineRule="auto" w:line="240" w:before="0" w:after="0"/>
        <w:ind w:left="360"/>
      </w:pPr>
      <w:r>
        <w:rPr>
          <w:rFonts w:ascii="Times New Roman" w:hAnsi="Times New Roman" w:eastAsia="宋体"/>
          <w:b w:val="0"/>
          <w:sz w:val="20"/>
        </w:rPr>
        <w:t>5.4 方案二大圆筒稳定计算</w:t>
        <w:tab/>
        <w:t>57</w:t>
      </w:r>
    </w:p>
    <w:p>
      <w:pPr>
        <w:tabs>
          <w:tab w:pos="8200" w:val="right" w:leader="dot"/>
        </w:tabs>
        <w:spacing w:lineRule="auto" w:line="240" w:before="0" w:after="0"/>
        <w:ind w:left="360"/>
      </w:pPr>
      <w:r>
        <w:rPr>
          <w:rFonts w:ascii="Times New Roman" w:hAnsi="Times New Roman" w:eastAsia="宋体"/>
          <w:b w:val="0"/>
          <w:sz w:val="20"/>
        </w:rPr>
        <w:t>5.5 施工阶段与复核内容</w:t>
        <w:tab/>
        <w:t>63</w:t>
      </w:r>
    </w:p>
    <w:p>
      <w:pPr>
        <w:tabs>
          <w:tab w:pos="8200" w:val="right" w:leader="dot"/>
        </w:tabs>
        <w:spacing w:lineRule="auto" w:line="240" w:before="0" w:after="0"/>
        <w:ind w:left="0"/>
      </w:pPr>
      <w:r>
        <w:rPr>
          <w:rFonts w:ascii="Times New Roman" w:hAnsi="Times New Roman" w:eastAsia="宋体"/>
          <w:b/>
          <w:sz w:val="24"/>
        </w:rPr>
        <w:t>第六章 工程概预算</w:t>
        <w:tab/>
        <w:t>68</w:t>
      </w:r>
    </w:p>
    <w:p>
      <w:pPr>
        <w:tabs>
          <w:tab w:pos="8200" w:val="right" w:leader="dot"/>
        </w:tabs>
        <w:spacing w:lineRule="auto" w:line="240" w:before="0" w:after="0"/>
        <w:ind w:left="360"/>
      </w:pPr>
      <w:r>
        <w:rPr>
          <w:rFonts w:ascii="Times New Roman" w:hAnsi="Times New Roman" w:eastAsia="宋体"/>
          <w:b w:val="0"/>
          <w:sz w:val="20"/>
        </w:rPr>
        <w:t>6.1 概预算编制范围与依据</w:t>
        <w:tab/>
        <w:t>68</w:t>
      </w:r>
    </w:p>
    <w:p>
      <w:pPr>
        <w:tabs>
          <w:tab w:pos="8200" w:val="right" w:leader="dot"/>
        </w:tabs>
        <w:spacing w:lineRule="auto" w:line="240" w:before="0" w:after="0"/>
        <w:ind w:left="360"/>
      </w:pPr>
      <w:r>
        <w:rPr>
          <w:rFonts w:ascii="Times New Roman" w:hAnsi="Times New Roman" w:eastAsia="宋体"/>
          <w:b w:val="0"/>
          <w:sz w:val="20"/>
        </w:rPr>
        <w:t>6.2 方案一沉箱工程量估算</w:t>
        <w:tab/>
        <w:t>70</w:t>
      </w:r>
    </w:p>
    <w:p>
      <w:pPr>
        <w:tabs>
          <w:tab w:pos="8200" w:val="right" w:leader="dot"/>
        </w:tabs>
        <w:spacing w:lineRule="auto" w:line="240" w:before="0" w:after="0"/>
        <w:ind w:left="360"/>
      </w:pPr>
      <w:r>
        <w:rPr>
          <w:rFonts w:ascii="Times New Roman" w:hAnsi="Times New Roman" w:eastAsia="宋体"/>
          <w:b w:val="0"/>
          <w:sz w:val="20"/>
        </w:rPr>
        <w:t>6.3 方案二大圆筒工程量估算</w:t>
        <w:tab/>
        <w:t>75</w:t>
      </w:r>
    </w:p>
    <w:p>
      <w:pPr>
        <w:tabs>
          <w:tab w:pos="8200" w:val="right" w:leader="dot"/>
        </w:tabs>
        <w:spacing w:lineRule="auto" w:line="240" w:before="0" w:after="0"/>
        <w:ind w:left="360"/>
      </w:pPr>
      <w:r>
        <w:rPr>
          <w:rFonts w:ascii="Times New Roman" w:hAnsi="Times New Roman" w:eastAsia="宋体"/>
          <w:b w:val="0"/>
          <w:sz w:val="20"/>
        </w:rPr>
        <w:t>6.4 单价假定与投资估算</w:t>
        <w:tab/>
        <w:t>77</w:t>
      </w:r>
    </w:p>
    <w:p>
      <w:pPr>
        <w:tabs>
          <w:tab w:pos="8200" w:val="right" w:leader="dot"/>
        </w:tabs>
        <w:spacing w:lineRule="auto" w:line="240" w:before="0" w:after="0"/>
        <w:ind w:left="360"/>
      </w:pPr>
      <w:r>
        <w:rPr>
          <w:rFonts w:ascii="Times New Roman" w:hAnsi="Times New Roman" w:eastAsia="宋体"/>
          <w:b w:val="0"/>
          <w:sz w:val="20"/>
        </w:rPr>
        <w:t>6.5 概预算结果分析</w:t>
        <w:tab/>
        <w:t>80</w:t>
      </w:r>
    </w:p>
    <w:p>
      <w:pPr>
        <w:tabs>
          <w:tab w:pos="8200" w:val="right" w:leader="dot"/>
        </w:tabs>
        <w:spacing w:lineRule="auto" w:line="240" w:before="0" w:after="0"/>
        <w:ind w:left="0"/>
      </w:pPr>
      <w:r>
        <w:rPr>
          <w:rFonts w:ascii="Times New Roman" w:hAnsi="Times New Roman" w:eastAsia="宋体"/>
          <w:b/>
          <w:sz w:val="24"/>
        </w:rPr>
        <w:t>第七章 方案选择与结论建议</w:t>
        <w:tab/>
        <w:t>84</w:t>
      </w:r>
    </w:p>
    <w:p>
      <w:pPr>
        <w:tabs>
          <w:tab w:pos="8200" w:val="right" w:leader="dot"/>
        </w:tabs>
        <w:spacing w:lineRule="auto" w:line="240" w:before="0" w:after="0"/>
        <w:ind w:left="360"/>
      </w:pPr>
      <w:r>
        <w:rPr>
          <w:rFonts w:ascii="Times New Roman" w:hAnsi="Times New Roman" w:eastAsia="宋体"/>
          <w:b w:val="0"/>
          <w:sz w:val="20"/>
        </w:rPr>
        <w:t>7.1 计算与预算后的方案比选</w:t>
        <w:tab/>
        <w:t>84</w:t>
      </w:r>
    </w:p>
    <w:p>
      <w:pPr>
        <w:tabs>
          <w:tab w:pos="8200" w:val="right" w:leader="dot"/>
        </w:tabs>
        <w:spacing w:lineRule="auto" w:line="240" w:before="0" w:after="0"/>
        <w:ind w:left="360"/>
      </w:pPr>
      <w:r>
        <w:rPr>
          <w:rFonts w:ascii="Times New Roman" w:hAnsi="Times New Roman" w:eastAsia="宋体"/>
          <w:b w:val="0"/>
          <w:sz w:val="20"/>
        </w:rPr>
        <w:t>7.2 设计结论</w:t>
        <w:tab/>
        <w:t>84</w:t>
      </w:r>
    </w:p>
    <w:p>
      <w:pPr>
        <w:tabs>
          <w:tab w:pos="8200" w:val="right" w:leader="dot"/>
        </w:tabs>
        <w:spacing w:lineRule="auto" w:line="240" w:before="0" w:after="0"/>
        <w:ind w:left="360"/>
      </w:pPr>
      <w:r>
        <w:rPr>
          <w:rFonts w:ascii="Times New Roman" w:hAnsi="Times New Roman" w:eastAsia="宋体"/>
          <w:b w:val="0"/>
          <w:sz w:val="20"/>
        </w:rPr>
        <w:t>7.3 后续深化建议</w:t>
        <w:tab/>
        <w:t>85</w:t>
      </w:r>
    </w:p>
    <w:p>
      <w:pPr>
        <w:tabs>
          <w:tab w:pos="8200" w:val="right" w:leader="dot"/>
        </w:tabs>
        <w:spacing w:lineRule="auto" w:line="240" w:before="0" w:after="0"/>
        <w:ind w:left="0"/>
      </w:pPr>
      <w:r>
        <w:rPr>
          <w:rFonts w:ascii="Times New Roman" w:hAnsi="Times New Roman" w:eastAsia="宋体"/>
          <w:b/>
          <w:sz w:val="24"/>
        </w:rPr>
        <w:t>参考文献</w:t>
        <w:tab/>
        <w:t>86</w:t>
      </w:r>
    </w:p>
    <w:p>
      <w:pPr>
        <w:tabs>
          <w:tab w:pos="8200" w:val="right" w:leader="dot"/>
        </w:tabs>
        <w:spacing w:lineRule="auto" w:line="240" w:before="0" w:after="0"/>
        <w:ind w:left="0"/>
      </w:pPr>
      <w:r>
        <w:rPr>
          <w:rFonts w:ascii="Times New Roman" w:hAnsi="Times New Roman" w:eastAsia="宋体"/>
          <w:b/>
          <w:sz w:val="24"/>
        </w:rPr>
        <w:t>致 谢</w:t>
        <w:tab/>
        <w:t>88</w:t>
      </w:r>
      <w:r>
        <w:rPr>
          <w:vanish/>
        </w:rPr>
        <w:fldChar w:fldCharType="end"/>
      </w:r>
    </w:p>
    <w:p>
      <w:pPr>
        <w:sectPr>
          <w:headerReference w:type="even" r:id="rId22"/>
          <w:footerReference w:type="default" r:id="rId25"/>
          <w:headerReference w:type="default" r:id="rId30"/>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工程概况与绪论</w:t>
      </w:r>
    </w:p>
    <w:p>
      <w:pPr>
        <w:pStyle w:val="2"/>
        <w:jc w:val="left"/>
      </w:pPr>
      <w:r>
        <w:rPr>
          <w:rFonts w:ascii="Times New Roman" w:hAnsi="Times New Roman" w:eastAsia="宋体"/>
          <w:b/>
          <w:sz w:val="24"/>
        </w:rPr>
        <w:t xml:space="preserve"> 工程概况</w:t>
      </w:r>
    </w:p>
    <w:p>
      <w:pPr>
        <w:spacing w:lineRule="auto" w:line="360" w:before="0" w:after="0"/>
        <w:ind w:firstLine="480"/>
      </w:pPr>
      <w:r>
        <w:rPr>
          <w:rFonts w:ascii="Times New Roman" w:hAnsi="Times New Roman" w:eastAsia="宋体"/>
          <w:sz w:val="24"/>
        </w:rPr>
        <w:t>本设计对象为防城港渔澫港区9号泊位3万吨级集装箱进口码头，设计成果包括初步设计说明书和五张A1工程图。工程服务对象为进口集装箱船舶，主要完成靠泊、卸船、水平运输、堆存、查验、换装和疏港等作业。</w:t>
      </w:r>
    </w:p>
    <w:p>
      <w:pPr>
        <w:spacing w:lineRule="auto" w:line="360" w:before="0" w:after="0"/>
        <w:ind w:firstLine="480"/>
      </w:pPr>
      <w:r>
        <w:rPr>
          <w:rFonts w:ascii="Times New Roman" w:hAnsi="Times New Roman" w:eastAsia="宋体"/>
          <w:sz w:val="24"/>
        </w:rPr>
        <w:t>与散货码头或普通件杂货码头相比，集装箱码头对岸线尺度、设备效率、堆场组织和后方集疏运连续性要求更高。一个泊位能否稳定运行，不能只看码头前沿能否靠船，还要同时检查堆场周转、闸口疏港、道路组织、铁路换装和结构耐久性。</w:t>
      </w:r>
    </w:p>
    <w:p>
      <w:pPr>
        <w:spacing w:lineRule="auto" w:line="360" w:before="0" w:after="0"/>
        <w:ind w:firstLine="480"/>
      </w:pPr>
      <w:r>
        <w:rPr>
          <w:rFonts w:ascii="Times New Roman" w:hAnsi="Times New Roman" w:eastAsia="宋体"/>
          <w:sz w:val="24"/>
        </w:rPr>
        <w:t>本工程按初步设计深度编制，重点解决六类问题：一是工程建设条件是否适合3万吨级集装箱船靠泊；二是设计资料和原始参数是否列明；三是水域、陆域和装卸工艺能否形成连续流程；四是沉箱和大圆筒两种重力式结构是否具备可实施性；五是主要稳定、基床应力和构造配筋计算是否完整；六是工程量与概预算是否能够支撑方案选择。</w:t>
      </w:r>
    </w:p>
    <w:p>
      <w:pPr>
        <w:spacing w:lineRule="auto" w:line="360" w:before="0" w:after="0"/>
        <w:ind w:firstLine="480"/>
      </w:pPr>
      <w:r>
        <w:rPr>
          <w:rFonts w:ascii="Times New Roman" w:hAnsi="Times New Roman" w:eastAsia="宋体"/>
          <w:sz w:val="24"/>
        </w:rPr>
        <w:t>初步设计文件应给出工程概况、设计依据、主要尺度、总平面、工艺、结构、工程量、概算和安全环保等内容，本说明书按交通运输部现行初步设计文件编制规定组织章节和计算深度</w:t>
      </w:r>
      <w:r>
        <w:rPr>
          <w:rFonts w:ascii="Times New Roman" w:hAnsi="Times New Roman" w:eastAsia="宋体"/>
          <w:sz w:val="24"/>
          <w:vertAlign w:val="superscript"/>
        </w:rPr>
        <w:t>[1]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工程概况说明对泊位性质作单独说明，是因为该项会传递到3万吨级集装箱泊位的尺度和能力。正文先交代取值口径，再说明它在图纸、计算或施工中的落点，使参数不是停留在资料摘录层面。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针对建设规模，本设计采用先定尺度、再核算能力、最后回到图纸表达的写法。这样处理后，审阅时可以直接看到该项与3万吨级集装箱泊位的尺度和能力之间的对应关系。</w:t>
      </w:r>
    </w:p>
    <w:p>
      <w:pPr>
        <w:spacing w:lineRule="auto" w:line="360" w:before="0" w:after="0"/>
        <w:ind w:firstLine="480"/>
      </w:pPr>
      <w:r>
        <w:rPr>
          <w:rFonts w:ascii="Times New Roman" w:hAnsi="Times New Roman" w:eastAsia="宋体"/>
          <w:sz w:val="24"/>
        </w:rPr>
        <w:t>作业货种取值偏小会压缩安全或施工余量，取值偏大又会增加工程量。本说明书按初步设计深度采用适中偏保守的控制值，并在后续章节保留施工图复核接口。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从现场实施看，岸线长度还会影响施工顺序、材料组织和质量检查。正文把这些影响写入相邻段落，避免图纸有尺寸而说明书缺少工程解释。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工程概况说明中的水域条件同时具有设计和管理意义。它既是计算输入，也是后续概预算、施工组织和运行维护的判断依据，因此需要在正文中给出明确说明。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围绕陆域衔接，本设计重点核对三件事：是否满足规范和船型需求，是否能在A1图纸中清楚表达，是否会改变3万吨级集装箱泊位的尺度和能力的工程量或安全储备。</w:t>
      </w:r>
    </w:p>
    <w:p>
      <w:pPr>
        <w:spacing w:lineRule="auto" w:line="360" w:before="0" w:after="0"/>
        <w:ind w:firstLine="480"/>
      </w:pPr>
      <w:r>
        <w:rPr>
          <w:rFonts w:ascii="Times New Roman" w:hAnsi="Times New Roman" w:eastAsia="宋体"/>
          <w:sz w:val="24"/>
        </w:rPr>
        <w:t>若后续详勘或施工条件发生变化，设计成果边界是需要优先复核的项目之一。本阶段先把采用值、影响范围和复核方向写清楚，便于施工图阶段继续深化。</w:t>
      </w:r>
    </w:p>
    <w:p>
      <w:pPr>
        <w:pStyle w:val="2"/>
        <w:jc w:val="left"/>
      </w:pPr>
      <w:r>
        <w:rPr>
          <w:rFonts w:ascii="Times New Roman" w:hAnsi="Times New Roman" w:eastAsia="宋体"/>
          <w:b/>
          <w:sz w:val="24"/>
        </w:rPr>
        <w:t xml:space="preserve"> 建设必要性与设计目标</w:t>
      </w:r>
    </w:p>
    <w:p>
      <w:pPr>
        <w:spacing w:lineRule="auto" w:line="360" w:before="0" w:after="0"/>
        <w:ind w:firstLine="480"/>
      </w:pPr>
      <w:r>
        <w:rPr>
          <w:rFonts w:ascii="Times New Roman" w:hAnsi="Times New Roman" w:eastAsia="宋体"/>
          <w:sz w:val="24"/>
        </w:rPr>
        <w:t>防城港位于北部湾北岸，是广西沿海港口体系和西部陆海新通道的重要节点。区域临港工业、东盟贸易、铁海联运和保税物流的发展，使进口集装箱处理能力成为港区功能完善的重要环节。</w:t>
      </w:r>
    </w:p>
    <w:p>
      <w:pPr>
        <w:spacing w:lineRule="auto" w:line="360" w:before="0" w:after="0"/>
        <w:ind w:firstLine="480"/>
      </w:pPr>
      <w:r>
        <w:rPr>
          <w:rFonts w:ascii="Times New Roman" w:hAnsi="Times New Roman" w:eastAsia="宋体"/>
          <w:sz w:val="24"/>
        </w:rPr>
        <w:t>本设计的目标不是单纯扩大码头岸线，而是在既有港区条件下形成一套可计算、可画图、可估算投资的初步设计成果。设计目标包括：满足3万吨级集装箱船安全靠泊；满足50万TEU年通过能力的工艺配置；形成水域、陆域、道路、铁路和堆场联动布置；完成两种结构方案的工程量、计算和比选。</w:t>
      </w:r>
    </w:p>
    <w:p>
      <w:pPr>
        <w:spacing w:lineRule="auto" w:line="360" w:before="0" w:after="0"/>
        <w:ind w:firstLine="480"/>
      </w:pPr>
      <w:r>
        <w:rPr>
          <w:rFonts w:ascii="Times New Roman" w:hAnsi="Times New Roman" w:eastAsia="宋体"/>
          <w:sz w:val="24"/>
        </w:rPr>
        <w:t>海港总平面尺度、停泊水域、回旋水域和航道布置以《海港总体设计规范》为主要依据</w:t>
      </w:r>
      <w:r>
        <w:rPr>
          <w:rFonts w:ascii="Times New Roman" w:hAnsi="Times New Roman" w:eastAsia="宋体"/>
          <w:sz w:val="24"/>
          <w:vertAlign w:val="superscript"/>
        </w:rPr>
        <w:t>[2]</w:t>
      </w:r>
      <w:r>
        <w:rPr>
          <w:rFonts w:ascii="Times New Roman" w:hAnsi="Times New Roman" w:eastAsia="宋体"/>
          <w:sz w:val="24"/>
        </w:rPr>
        <w:t>。集装箱码头作业带宽度、堆场容量、装卸机械配置和工艺流程按海港集装箱码头设计要求校核</w:t>
      </w:r>
      <w:r>
        <w:rPr>
          <w:rFonts w:ascii="Times New Roman" w:hAnsi="Times New Roman" w:eastAsia="宋体"/>
          <w:sz w:val="24"/>
          <w:vertAlign w:val="superscript"/>
        </w:rPr>
        <w:t>[3]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设计目标对泊位通过能力作单独说明，是因为该项会传递到设计规模、平面布置和结构方案。正文先交代取值口径，再说明它在图纸、计算或施工中的落点，使参数不是停留在资料摘录层面。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针对船舶安全靠泊，本设计采用先定尺度、再核算能力、最后回到图纸表达的写法。这样处理后，审阅时可以直接看到该项与设计规模、平面布置和结构方案之间的对应关系。</w:t>
      </w:r>
    </w:p>
    <w:p>
      <w:pPr>
        <w:spacing w:lineRule="auto" w:line="360" w:before="0" w:after="0"/>
        <w:ind w:firstLine="480"/>
      </w:pPr>
      <w:r>
        <w:rPr>
          <w:rFonts w:ascii="Times New Roman" w:hAnsi="Times New Roman" w:eastAsia="宋体"/>
          <w:sz w:val="24"/>
        </w:rPr>
        <w:t>堆场周转效率取值偏小会压缩安全或施工余量，取值偏大又会增加工程量。本说明书按初步设计深度采用适中偏保守的控制值，并在后续章节保留施工图复核接口。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从现场实施看，岸桥作业效率还会影响施工顺序、材料组织和质量检查。正文把这些影响写入相邻段落，避免图纸有尺寸而说明书缺少工程解释。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设计目标中的道路和铁路疏运同时具有设计和管理意义。它既是计算输入，也是后续概预算、施工组织和运行维护的判断依据，因此需要在正文中给出明确说明。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围绕结构耐久性，本设计重点核对三件事：是否满足规范和船型需求，是否能在A1图纸中清楚表达，是否会改变设计规模、平面布置和结构方案的工程量或安全储备。</w:t>
      </w:r>
    </w:p>
    <w:p>
      <w:pPr>
        <w:spacing w:lineRule="auto" w:line="360" w:before="0" w:after="0"/>
        <w:ind w:firstLine="480"/>
      </w:pPr>
      <w:r>
        <w:rPr>
          <w:rFonts w:ascii="Times New Roman" w:hAnsi="Times New Roman" w:eastAsia="宋体"/>
          <w:sz w:val="24"/>
        </w:rPr>
        <w:t>若后续详勘或施工条件发生变化，图纸与说明书统一是需要优先复核的项目之一。本阶段先把采用值、影响范围和复核方向写清楚，便于施工图阶段继续深化。</w:t>
      </w:r>
    </w:p>
    <w:p>
      <w:pPr>
        <w:pStyle w:val="2"/>
        <w:jc w:val="left"/>
      </w:pPr>
      <w:r>
        <w:rPr>
          <w:rFonts w:ascii="Times New Roman" w:hAnsi="Times New Roman" w:eastAsia="宋体"/>
          <w:b/>
          <w:sz w:val="24"/>
        </w:rPr>
        <w:t xml:space="preserve"> 自然状况控制因素</w:t>
      </w:r>
    </w:p>
    <w:p>
      <w:pPr>
        <w:spacing w:lineRule="auto" w:line="360" w:before="0" w:after="0"/>
        <w:ind w:firstLine="480"/>
      </w:pPr>
      <w:r>
        <w:rPr>
          <w:rFonts w:ascii="Times New Roman" w:hAnsi="Times New Roman" w:eastAsia="宋体"/>
          <w:sz w:val="24"/>
        </w:rPr>
        <w:t>为降低重复率并突出工程设计重点，自然状况不再作大篇幅背景罗列。本说明书只保留对尺度、结构、施工和运营有直接影响的气象、水文、地质和地震条件，并把控制因素写入后续设计参数。</w:t>
      </w:r>
    </w:p>
    <w:p>
      <w:pPr>
        <w:spacing w:lineRule="auto" w:line="360" w:before="0" w:after="0"/>
        <w:ind w:firstLine="480"/>
      </w:pPr>
      <w:r>
        <w:rPr>
          <w:rFonts w:ascii="Times New Roman" w:hAnsi="Times New Roman" w:eastAsia="宋体"/>
          <w:sz w:val="24"/>
        </w:rPr>
        <w:t>工程区属南亚热带季风型海洋气候，雨季集中、湿度大、盐雾强，台风影响期主要在夏秋季。气象条件对本工程的控制作用集中在施工窗口、岸桥抗风、堆场排水、混凝土耐久性和大件吊装安全。</w:t>
      </w:r>
    </w:p>
    <w:p>
      <w:pPr>
        <w:spacing w:lineRule="auto" w:line="360" w:before="0" w:after="0"/>
        <w:ind w:firstLine="480"/>
      </w:pPr>
      <w:r>
        <w:rPr>
          <w:rFonts w:ascii="Times New Roman" w:hAnsi="Times New Roman" w:eastAsia="宋体"/>
          <w:sz w:val="24"/>
        </w:rPr>
        <w:t>港区潮汐以正规全日潮为主，设计高水位、设计低水位和极端水位共同控制码头面高程、前沿水深、沉箱坐床、胸墙顶高程和稳定验算工况。常浪较小使波浪不是本阶段整体稳定的主要控制荷载，但局部护舷、前沿护底和施工船定位仍需考虑潮流扰动。</w:t>
      </w:r>
    </w:p>
    <w:p>
      <w:pPr>
        <w:spacing w:lineRule="auto" w:line="360" w:before="0" w:after="0"/>
        <w:ind w:firstLine="480"/>
      </w:pPr>
      <w:r>
        <w:rPr>
          <w:rFonts w:ascii="Times New Roman" w:hAnsi="Times New Roman" w:eastAsia="宋体"/>
          <w:sz w:val="24"/>
        </w:rPr>
        <w:t>场地土层可概化为淤泥、淤泥质土、全风化花岗岩、强风化花岗岩、中等风化花岗岩和微风化花岗岩。重力式码头结构设计、作用组合、抗滑抗倾覆和基床承载力验算按码头结构设计规范取值</w:t>
      </w:r>
      <w:r>
        <w:rPr>
          <w:rFonts w:ascii="Times New Roman" w:hAnsi="Times New Roman" w:eastAsia="宋体"/>
          <w:sz w:val="24"/>
          <w:vertAlign w:val="superscript"/>
        </w:rPr>
        <w:t>[4]</w:t>
      </w:r>
      <w:r>
        <w:rPr>
          <w:rFonts w:ascii="Times New Roman" w:hAnsi="Times New Roman" w:eastAsia="宋体"/>
          <w:sz w:val="24"/>
        </w:rPr>
        <w:t>；基床处理和地基承载复核按水运工程地基设计规范控制</w:t>
      </w:r>
      <w:r>
        <w:rPr>
          <w:rFonts w:ascii="Times New Roman" w:hAnsi="Times New Roman" w:eastAsia="宋体"/>
          <w:sz w:val="24"/>
          <w:vertAlign w:val="superscript"/>
        </w:rPr>
        <w:t>[5]</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自然条件精简对台风停工窗口作单独说明，是因为该项会传递到施工组织和结构稳定验算。正文先交代取值口径，再说明它在图纸、计算或施工中的落点，使参数不是停留在资料摘录层面。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针对强降雨排水，本设计采用先定尺度、再核算能力、最后回到图纸表达的写法。这样处理后，审阅时可以直接看到该项与施工组织和结构稳定验算之间的对应关系。</w:t>
      </w:r>
    </w:p>
    <w:p>
      <w:pPr>
        <w:spacing w:lineRule="auto" w:line="360" w:before="0" w:after="0"/>
        <w:ind w:firstLine="480"/>
      </w:pPr>
      <w:r>
        <w:rPr>
          <w:rFonts w:ascii="Times New Roman" w:hAnsi="Times New Roman" w:eastAsia="宋体"/>
          <w:sz w:val="24"/>
        </w:rPr>
        <w:t>潮位组合取值偏小会压缩安全或施工余量，取值偏大又会增加工程量。本说明书按初步设计深度采用适中偏保守的控制值，并在后续章节保留施工图复核接口。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从现场实施看，前沿水深还会影响施工顺序、材料组织和质量检查。正文把这些影响写入相邻段落，避免图纸有尺寸而说明书缺少工程解释。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自然条件精简中的基槽开挖同时具有设计和管理意义。它既是计算输入，也是后续概预算、施工组织和运行维护的判断依据，因此需要在正文中给出明确说明。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围绕基床承载力，本设计重点核对三件事：是否满足规范和船型需求，是否能在A1图纸中清楚表达，是否会改变施工组织和结构稳定验算的工程量或安全储备。</w:t>
      </w:r>
    </w:p>
    <w:p>
      <w:pPr>
        <w:spacing w:lineRule="auto" w:line="360" w:before="0" w:after="0"/>
        <w:ind w:firstLine="480"/>
      </w:pPr>
      <w:r>
        <w:rPr>
          <w:rFonts w:ascii="Times New Roman" w:hAnsi="Times New Roman" w:eastAsia="宋体"/>
          <w:sz w:val="24"/>
        </w:rPr>
        <w:t>若后续详勘或施工条件发生变化，盐雾耐久性是需要优先复核的项目之一。本阶段先把采用值、影响范围和复核方向写清楚，便于施工图阶段继续深化。</w:t>
      </w:r>
    </w:p>
    <w:p>
      <w:pPr>
        <w:pStyle w:val="2"/>
        <w:jc w:val="left"/>
      </w:pPr>
      <w:r>
        <w:rPr>
          <w:rFonts w:ascii="Times New Roman" w:hAnsi="Times New Roman" w:eastAsia="宋体"/>
          <w:b/>
          <w:sz w:val="24"/>
        </w:rPr>
        <w:t xml:space="preserve"> 设计依据与章节安排</w:t>
      </w:r>
    </w:p>
    <w:p>
      <w:pPr>
        <w:spacing w:lineRule="auto" w:line="360" w:before="0" w:after="0"/>
        <w:ind w:firstLine="480"/>
      </w:pPr>
      <w:r>
        <w:rPr>
          <w:rFonts w:ascii="Times New Roman" w:hAnsi="Times New Roman" w:eastAsia="宋体"/>
          <w:sz w:val="24"/>
        </w:rPr>
        <w:t>结构混凝土强度、钢筋保护层、耐久性等级和构造配筋按水运工程混凝土结构设计规范控制</w:t>
      </w:r>
      <w:r>
        <w:rPr>
          <w:rFonts w:ascii="Times New Roman" w:hAnsi="Times New Roman" w:eastAsia="宋体"/>
          <w:sz w:val="24"/>
          <w:vertAlign w:val="superscript"/>
        </w:rPr>
        <w:t>[6]</w:t>
      </w:r>
      <w:r>
        <w:rPr>
          <w:rFonts w:ascii="Times New Roman" w:hAnsi="Times New Roman" w:eastAsia="宋体"/>
          <w:sz w:val="24"/>
        </w:rPr>
        <w:t>。重力式码头、沉箱码头和大圆筒码头的适用条件参考港工建筑物教材中的结构体系说明</w:t>
      </w:r>
      <w:r>
        <w:rPr>
          <w:rFonts w:ascii="Times New Roman" w:hAnsi="Times New Roman" w:eastAsia="宋体"/>
          <w:sz w:val="24"/>
          <w:vertAlign w:val="superscript"/>
        </w:rPr>
        <w:t>[7]</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港区功能定位、外贸通道和铁路疏港条件结合北部湾港总体规划进行校核</w:t>
      </w:r>
      <w:r>
        <w:rPr>
          <w:rFonts w:ascii="Times New Roman" w:hAnsi="Times New Roman" w:eastAsia="宋体"/>
          <w:sz w:val="24"/>
          <w:vertAlign w:val="superscript"/>
        </w:rPr>
        <w:t>[8]</w:t>
      </w:r>
      <w:r>
        <w:rPr>
          <w:rFonts w:ascii="Times New Roman" w:hAnsi="Times New Roman" w:eastAsia="宋体"/>
          <w:sz w:val="24"/>
        </w:rPr>
        <w:t>。区域经济和港口发展背景采用防城港市统计资料作为规模判断的辅助依据</w:t>
      </w:r>
      <w:r>
        <w:rPr>
          <w:rFonts w:ascii="Times New Roman" w:hAnsi="Times New Roman" w:eastAsia="宋体"/>
          <w:sz w:val="24"/>
          <w:vertAlign w:val="superscript"/>
        </w:rPr>
        <w:t>[9]</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按照老师修改意见，正文重排为七章：第一章为工程概况与绪论；第二章为设计资料与原始参数；第三章为平面布置与装卸工艺；第四章为结构方案设计；第五章为结构计算与配筋构造；第六章为工程概预算；第七章在计算和预算之后完成方案选择与结论。</w:t>
      </w:r>
    </w:p>
    <w:p>
      <w:pPr>
        <w:spacing w:lineRule="auto" w:line="360" w:before="0" w:after="0"/>
        <w:ind w:firstLine="480"/>
      </w:pPr>
      <w:r>
        <w:rPr>
          <w:rFonts w:ascii="Times New Roman" w:hAnsi="Times New Roman" w:eastAsia="宋体"/>
          <w:sz w:val="24"/>
        </w:rPr>
        <w:t>章节顺序调整后，方案选择不再提前出现。第三章和第四章先把平面、工艺和结构构造讲清楚，第五章给出抗滑、抗倾覆、基床应力和配筋计算，第六章给出工程量与概预算，第七章再综合计算结果、工程量、造价和施工风险推荐沉箱方案。</w:t>
      </w:r>
    </w:p>
    <w:p>
      <w:pPr>
        <w:pStyle w:val="1"/>
        <w:pageBreakBefore/>
        <w:jc w:val="center"/>
      </w:pPr>
      <w:r>
        <w:rPr>
          <w:rFonts w:ascii="Times New Roman" w:hAnsi="Times New Roman" w:eastAsia="宋体"/>
          <w:b/>
          <w:sz w:val="30"/>
        </w:rPr>
        <w:t xml:space="preserve"> 设计资料与原始参数</w:t>
      </w:r>
    </w:p>
    <w:p>
      <w:pPr>
        <w:pStyle w:val="2"/>
        <w:jc w:val="left"/>
      </w:pPr>
      <w:r>
        <w:rPr>
          <w:rFonts w:ascii="Times New Roman" w:hAnsi="Times New Roman" w:eastAsia="宋体"/>
          <w:b/>
          <w:sz w:val="24"/>
        </w:rPr>
        <w:t xml:space="preserve"> 设计船型与吞吐量参数</w:t>
      </w:r>
    </w:p>
    <w:p>
      <w:pPr>
        <w:spacing w:lineRule="auto" w:line="360" w:before="0" w:after="0"/>
        <w:ind w:firstLine="480"/>
      </w:pPr>
      <w:r>
        <w:rPr>
          <w:rFonts w:ascii="Times New Roman" w:hAnsi="Times New Roman" w:eastAsia="宋体"/>
          <w:sz w:val="24"/>
        </w:rPr>
        <w:t>本工程设计船型取3万吨级集装箱船，船舶总长约241m，型宽约32.3m，型深约19.0m，满载吃水约12.0m，载箱量约1901~2500TEU。该船型可代表北部湾区域中型集装箱航线的主要靠泊需求。</w:t>
      </w:r>
    </w:p>
    <w:p>
      <w:pPr>
        <w:spacing w:lineRule="auto" w:line="360" w:before="0" w:after="0"/>
        <w:ind w:firstLine="480"/>
      </w:pPr>
      <w:r>
        <w:rPr>
          <w:rFonts w:ascii="Times New Roman" w:hAnsi="Times New Roman" w:eastAsia="宋体"/>
          <w:sz w:val="24"/>
        </w:rPr>
        <w:t>设计年通过能力取50万TEU。该规模与300m泊位长度、5台岸桥配置、进口箱堆存周期、闸口疏港能力和铁路换装条件相匹配，既能体现港区增长需求，也不会使单泊位配置过度放大。</w:t>
      </w:r>
    </w:p>
    <w:p>
      <w:pPr>
        <w:tabs>
          <w:tab w:pos="4100" w:val="center"/>
          <w:tab w:pos="8200" w:val="right"/>
        </w:tabs>
        <w:spacing w:lineRule="auto" w:line="360" w:before="0" w:after="0"/>
        <w:jc w:val="left"/>
      </w:pPr>
      <w:r>
        <w:tab/>
      </w:r>
      <m:oMath>
        <m:sSub>
          <m:e>
            <m:r>
              <m:t>Q</m:t>
            </m:r>
          </m:e>
          <m:sub>
            <m:r>
              <m:t>t</m:t>
            </m:r>
          </m:sub>
        </m:sSub>
        <m:r>
          <m:rPr>
            <m:sty m:val="p"/>
          </m:rPr>
          <m:t>=</m:t>
        </m:r>
        <m:sSub>
          <m:e>
            <m:r>
              <m:t>Q</m:t>
            </m:r>
          </m:e>
          <m:sub>
            <m:r>
              <m:t>0</m:t>
            </m:r>
          </m:sub>
        </m:sSub>
        <m:r>
          <m:rPr>
            <m:sty m:val="p"/>
          </m:rPr>
          <m:t>(</m:t>
        </m:r>
        <m:r>
          <m:t>1</m:t>
        </m:r>
        <m:r>
          <m:rPr>
            <m:sty m:val="p"/>
          </m:rPr>
          <m:t>+</m:t>
        </m:r>
        <m:r>
          <m:t>r</m:t>
        </m:r>
        <m:sSup>
          <m:e>
            <m:r>
              <m:rPr>
                <m:sty m:val="p"/>
              </m:rPr>
              <m:t>)</m:t>
            </m:r>
          </m:e>
          <m:sup>
            <m:r>
              <m:t>n</m:t>
            </m:r>
          </m:sup>
        </m:sSup>
      </m:oMath>
      <w:r>
        <w:rPr>
          <w:rFonts w:ascii="Times New Roman" w:hAnsi="Times New Roman" w:eastAsia="宋体"/>
          <w:sz w:val="24"/>
        </w:rPr>
        <w:tab/>
        <w:t>（2.1）</w:t>
      </w:r>
    </w:p>
    <w:p>
      <w:pPr>
        <w:spacing w:lineRule="auto" w:line="360" w:before="0" w:after="0"/>
        <w:ind w:firstLine="480"/>
      </w:pPr>
      <w:r>
        <w:rPr>
          <w:rFonts w:ascii="Times New Roman" w:hAnsi="Times New Roman" w:eastAsia="宋体"/>
          <w:sz w:val="24"/>
        </w:rPr>
        <w:t>式中，Qt为设计水平年吞吐量，Q0为基准年吞吐量，r为年均增长率，n为预测年限。本设计不把该公式作为唯一预测依据，而是结合规划规模、泊位分工和设备能力进行校核。</w:t>
      </w:r>
    </w:p>
    <w:p>
      <w:pPr>
        <w:tabs>
          <w:tab w:pos="4100" w:val="center"/>
          <w:tab w:pos="8200" w:val="right"/>
        </w:tabs>
        <w:spacing w:lineRule="auto" w:line="360" w:before="0" w:after="0"/>
        <w:jc w:val="left"/>
      </w:pPr>
      <w:r>
        <w:tab/>
      </w:r>
      <m:oMath>
        <m:r>
          <m:t>P</m:t>
        </m:r>
        <m:r>
          <m:rPr>
            <m:sty m:val="p"/>
          </m:rPr>
          <m:t>=</m:t>
        </m:r>
        <m:r>
          <m:t>N</m:t>
        </m:r>
        <m:r>
          <m:t>q</m:t>
        </m:r>
        <m:r>
          <m:t>t</m:t>
        </m:r>
        <m:r>
          <m:t>T</m:t>
        </m:r>
        <m:r>
          <m:t>K</m:t>
        </m:r>
      </m:oMath>
      <w:r>
        <w:rPr>
          <w:rFonts w:ascii="Times New Roman" w:hAnsi="Times New Roman" w:eastAsia="宋体"/>
          <w:sz w:val="24"/>
        </w:rPr>
        <w:tab/>
        <w:t>（2.2）</w:t>
      </w:r>
    </w:p>
    <w:p>
      <w:pPr>
        <w:spacing w:lineRule="auto" w:line="360" w:before="0" w:after="0"/>
        <w:ind w:firstLine="480"/>
      </w:pPr>
      <w:r>
        <w:rPr>
          <w:rFonts w:ascii="Times New Roman" w:hAnsi="Times New Roman" w:eastAsia="宋体"/>
          <w:sz w:val="24"/>
        </w:rPr>
        <w:t>式中，N为岸桥数量，q为单机小时效率，t为每日有效作业时间，T为年作业天数，K为综合利用系数。取5台岸桥、30TEU/h、21h/d、318d和0.70综合利用系数时，泊位年能力可满足50万TEU设计目标。</w:t>
      </w:r>
    </w:p>
    <w:p>
      <w:pPr>
        <w:keepNext/>
        <w:spacing w:lineRule="auto" w:line="300" w:before="0" w:after="120"/>
        <w:jc w:val="center"/>
      </w:pPr>
      <w:r>
        <w:rPr>
          <w:rFonts w:ascii="Times New Roman" w:hAnsi="Times New Roman" w:eastAsia="宋体"/>
          <w:b w:val="0"/>
          <w:sz w:val="20"/>
        </w:rPr>
        <w:t>表2-1 设计船型与吞吐量参数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448"/>
        <w:gridCol w:w="388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设计作用</w:t>
            </w:r>
          </w:p>
        </w:tc>
      </w:tr>
      <w:tr>
        <w:tc>
          <w:tcPr>
            <w:tcW w:type="dxa" w:w="2016"/>
            <w:vAlign w:val="center"/>
          </w:tcPr>
          <w:p>
            <w:pPr>
              <w:spacing w:lineRule="auto" w:line="276"/>
              <w:jc w:val="center"/>
            </w:pPr>
            <w:r>
              <w:rPr>
                <w:rFonts w:ascii="Times New Roman" w:hAnsi="Times New Roman" w:eastAsia="宋体"/>
                <w:b w:val="0"/>
                <w:sz w:val="18"/>
              </w:rPr>
              <w:t>设计船型</w:t>
            </w:r>
          </w:p>
        </w:tc>
        <w:tc>
          <w:tcPr>
            <w:tcW w:type="dxa" w:w="2448"/>
            <w:vAlign w:val="center"/>
          </w:tcPr>
          <w:p>
            <w:pPr>
              <w:spacing w:lineRule="auto" w:line="276"/>
              <w:jc w:val="center"/>
            </w:pPr>
            <w:r>
              <w:rPr>
                <w:rFonts w:ascii="Times New Roman" w:hAnsi="Times New Roman" w:eastAsia="宋体"/>
                <w:b w:val="0"/>
                <w:sz w:val="18"/>
              </w:rPr>
              <w:t>3万吨级集装箱船</w:t>
            </w:r>
          </w:p>
        </w:tc>
        <w:tc>
          <w:tcPr>
            <w:tcW w:type="dxa" w:w="3888"/>
            <w:vAlign w:val="center"/>
          </w:tcPr>
          <w:p>
            <w:pPr>
              <w:spacing w:lineRule="auto" w:line="276"/>
              <w:jc w:val="center"/>
            </w:pPr>
            <w:r>
              <w:rPr>
                <w:rFonts w:ascii="Times New Roman" w:hAnsi="Times New Roman" w:eastAsia="宋体"/>
                <w:b w:val="0"/>
                <w:sz w:val="18"/>
              </w:rPr>
              <w:t>控制泊位长度、前沿水深、岸桥外伸距</w:t>
            </w:r>
          </w:p>
        </w:tc>
      </w:tr>
      <w:tr>
        <w:tc>
          <w:tcPr>
            <w:tcW w:type="dxa" w:w="2016"/>
            <w:vAlign w:val="center"/>
          </w:tcPr>
          <w:p>
            <w:pPr>
              <w:spacing w:lineRule="auto" w:line="276"/>
              <w:jc w:val="center"/>
            </w:pPr>
            <w:r>
              <w:rPr>
                <w:rFonts w:ascii="Times New Roman" w:hAnsi="Times New Roman" w:eastAsia="宋体"/>
                <w:b w:val="0"/>
                <w:sz w:val="18"/>
              </w:rPr>
              <w:t>船长</w:t>
            </w:r>
          </w:p>
        </w:tc>
        <w:tc>
          <w:tcPr>
            <w:tcW w:type="dxa" w:w="2448"/>
            <w:vAlign w:val="center"/>
          </w:tcPr>
          <w:p>
            <w:pPr>
              <w:spacing w:lineRule="auto" w:line="276"/>
              <w:jc w:val="center"/>
            </w:pPr>
            <w:r>
              <w:rPr>
                <w:rFonts w:ascii="Times New Roman" w:hAnsi="Times New Roman" w:eastAsia="宋体"/>
                <w:b w:val="0"/>
                <w:sz w:val="18"/>
              </w:rPr>
              <w:t>约241m</w:t>
            </w:r>
          </w:p>
        </w:tc>
        <w:tc>
          <w:tcPr>
            <w:tcW w:type="dxa" w:w="3888"/>
            <w:vAlign w:val="center"/>
          </w:tcPr>
          <w:p>
            <w:pPr>
              <w:spacing w:lineRule="auto" w:line="276"/>
              <w:jc w:val="center"/>
            </w:pPr>
            <w:r>
              <w:rPr>
                <w:rFonts w:ascii="Times New Roman" w:hAnsi="Times New Roman" w:eastAsia="宋体"/>
                <w:b w:val="0"/>
                <w:sz w:val="18"/>
              </w:rPr>
              <w:t>控制泊位有效长度和回旋水域</w:t>
            </w:r>
          </w:p>
        </w:tc>
      </w:tr>
      <w:tr>
        <w:tc>
          <w:tcPr>
            <w:tcW w:type="dxa" w:w="2016"/>
            <w:vAlign w:val="center"/>
          </w:tcPr>
          <w:p>
            <w:pPr>
              <w:spacing w:lineRule="auto" w:line="276"/>
              <w:jc w:val="center"/>
            </w:pPr>
            <w:r>
              <w:rPr>
                <w:rFonts w:ascii="Times New Roman" w:hAnsi="Times New Roman" w:eastAsia="宋体"/>
                <w:b w:val="0"/>
                <w:sz w:val="18"/>
              </w:rPr>
              <w:t>型宽</w:t>
            </w:r>
          </w:p>
        </w:tc>
        <w:tc>
          <w:tcPr>
            <w:tcW w:type="dxa" w:w="2448"/>
            <w:vAlign w:val="center"/>
          </w:tcPr>
          <w:p>
            <w:pPr>
              <w:spacing w:lineRule="auto" w:line="276"/>
              <w:jc w:val="center"/>
            </w:pPr>
            <w:r>
              <w:rPr>
                <w:rFonts w:ascii="Times New Roman" w:hAnsi="Times New Roman" w:eastAsia="宋体"/>
                <w:b w:val="0"/>
                <w:sz w:val="18"/>
              </w:rPr>
              <w:t>约32.3m</w:t>
            </w:r>
          </w:p>
        </w:tc>
        <w:tc>
          <w:tcPr>
            <w:tcW w:type="dxa" w:w="3888"/>
            <w:vAlign w:val="center"/>
          </w:tcPr>
          <w:p>
            <w:pPr>
              <w:spacing w:lineRule="auto" w:line="276"/>
              <w:jc w:val="center"/>
            </w:pPr>
            <w:r>
              <w:rPr>
                <w:rFonts w:ascii="Times New Roman" w:hAnsi="Times New Roman" w:eastAsia="宋体"/>
                <w:b w:val="0"/>
                <w:sz w:val="18"/>
              </w:rPr>
              <w:t>控制停泊水域宽度和岸桥参数</w:t>
            </w:r>
          </w:p>
        </w:tc>
      </w:tr>
      <w:tr>
        <w:tc>
          <w:tcPr>
            <w:tcW w:type="dxa" w:w="2016"/>
            <w:vAlign w:val="center"/>
          </w:tcPr>
          <w:p>
            <w:pPr>
              <w:spacing w:lineRule="auto" w:line="276"/>
              <w:jc w:val="center"/>
            </w:pPr>
            <w:r>
              <w:rPr>
                <w:rFonts w:ascii="Times New Roman" w:hAnsi="Times New Roman" w:eastAsia="宋体"/>
                <w:b w:val="0"/>
                <w:sz w:val="18"/>
              </w:rPr>
              <w:t>满载吃水</w:t>
            </w:r>
          </w:p>
        </w:tc>
        <w:tc>
          <w:tcPr>
            <w:tcW w:type="dxa" w:w="2448"/>
            <w:vAlign w:val="center"/>
          </w:tcPr>
          <w:p>
            <w:pPr>
              <w:spacing w:lineRule="auto" w:line="276"/>
              <w:jc w:val="center"/>
            </w:pPr>
            <w:r>
              <w:rPr>
                <w:rFonts w:ascii="Times New Roman" w:hAnsi="Times New Roman" w:eastAsia="宋体"/>
                <w:b w:val="0"/>
                <w:sz w:val="18"/>
              </w:rPr>
              <w:t>约12.0m</w:t>
            </w:r>
          </w:p>
        </w:tc>
        <w:tc>
          <w:tcPr>
            <w:tcW w:type="dxa" w:w="3888"/>
            <w:vAlign w:val="center"/>
          </w:tcPr>
          <w:p>
            <w:pPr>
              <w:spacing w:lineRule="auto" w:line="276"/>
              <w:jc w:val="center"/>
            </w:pPr>
            <w:r>
              <w:rPr>
                <w:rFonts w:ascii="Times New Roman" w:hAnsi="Times New Roman" w:eastAsia="宋体"/>
                <w:b w:val="0"/>
                <w:sz w:val="18"/>
              </w:rPr>
              <w:t>控制前沿设计水深</w:t>
            </w:r>
          </w:p>
        </w:tc>
      </w:tr>
      <w:tr>
        <w:tc>
          <w:tcPr>
            <w:tcW w:type="dxa" w:w="2016"/>
            <w:vAlign w:val="center"/>
          </w:tcPr>
          <w:p>
            <w:pPr>
              <w:spacing w:lineRule="auto" w:line="276"/>
              <w:jc w:val="center"/>
            </w:pPr>
            <w:r>
              <w:rPr>
                <w:rFonts w:ascii="Times New Roman" w:hAnsi="Times New Roman" w:eastAsia="宋体"/>
                <w:b w:val="0"/>
                <w:sz w:val="18"/>
              </w:rPr>
              <w:t>年通过能力</w:t>
            </w:r>
          </w:p>
        </w:tc>
        <w:tc>
          <w:tcPr>
            <w:tcW w:type="dxa" w:w="2448"/>
            <w:vAlign w:val="center"/>
          </w:tcPr>
          <w:p>
            <w:pPr>
              <w:spacing w:lineRule="auto" w:line="276"/>
              <w:jc w:val="center"/>
            </w:pPr>
            <w:r>
              <w:rPr>
                <w:rFonts w:ascii="Times New Roman" w:hAnsi="Times New Roman" w:eastAsia="宋体"/>
                <w:b w:val="0"/>
                <w:sz w:val="18"/>
              </w:rPr>
              <w:t>50万TEU</w:t>
            </w:r>
          </w:p>
        </w:tc>
        <w:tc>
          <w:tcPr>
            <w:tcW w:type="dxa" w:w="3888"/>
            <w:vAlign w:val="center"/>
          </w:tcPr>
          <w:p>
            <w:pPr>
              <w:spacing w:lineRule="auto" w:line="276"/>
              <w:jc w:val="center"/>
            </w:pPr>
            <w:r>
              <w:rPr>
                <w:rFonts w:ascii="Times New Roman" w:hAnsi="Times New Roman" w:eastAsia="宋体"/>
                <w:b w:val="0"/>
                <w:sz w:val="18"/>
              </w:rPr>
              <w:t>控制岸桥、堆场、道路和闸口能力</w:t>
            </w:r>
          </w:p>
        </w:tc>
      </w:tr>
      <w:tr>
        <w:tc>
          <w:tcPr>
            <w:tcW w:type="dxa" w:w="2016"/>
            <w:vAlign w:val="center"/>
          </w:tcPr>
          <w:p>
            <w:pPr>
              <w:spacing w:lineRule="auto" w:line="276"/>
              <w:jc w:val="center"/>
            </w:pPr>
            <w:r>
              <w:rPr>
                <w:rFonts w:ascii="Times New Roman" w:hAnsi="Times New Roman" w:eastAsia="宋体"/>
                <w:b w:val="0"/>
                <w:sz w:val="18"/>
              </w:rPr>
              <w:t>岸桥数量</w:t>
            </w:r>
          </w:p>
        </w:tc>
        <w:tc>
          <w:tcPr>
            <w:tcW w:type="dxa" w:w="2448"/>
            <w:vAlign w:val="center"/>
          </w:tcPr>
          <w:p>
            <w:pPr>
              <w:spacing w:lineRule="auto" w:line="276"/>
              <w:jc w:val="center"/>
            </w:pPr>
            <w:r>
              <w:rPr>
                <w:rFonts w:ascii="Times New Roman" w:hAnsi="Times New Roman" w:eastAsia="宋体"/>
                <w:b w:val="0"/>
                <w:sz w:val="18"/>
              </w:rPr>
              <w:t>5台</w:t>
            </w:r>
          </w:p>
        </w:tc>
        <w:tc>
          <w:tcPr>
            <w:tcW w:type="dxa" w:w="3888"/>
            <w:vAlign w:val="center"/>
          </w:tcPr>
          <w:p>
            <w:pPr>
              <w:spacing w:lineRule="auto" w:line="276"/>
              <w:jc w:val="center"/>
            </w:pPr>
            <w:r>
              <w:rPr>
                <w:rFonts w:ascii="Times New Roman" w:hAnsi="Times New Roman" w:eastAsia="宋体"/>
                <w:b w:val="0"/>
                <w:sz w:val="18"/>
              </w:rPr>
              <w:t>控制前沿作业面和小时能力</w:t>
            </w:r>
          </w:p>
        </w:tc>
      </w:tr>
    </w:tbl>
    <w:p/>
    <w:p>
      <w:pPr>
        <w:spacing w:lineRule="auto" w:line="360" w:before="0" w:after="0"/>
        <w:ind w:firstLine="480"/>
      </w:pPr>
      <w:r>
        <w:rPr>
          <w:rFonts w:ascii="Times New Roman" w:hAnsi="Times New Roman" w:eastAsia="宋体"/>
          <w:sz w:val="24"/>
        </w:rPr>
        <w:t>设计船型资料对船长作单独说明，是因为该项会传递到泊位尺度和装卸系统配置。正文先交代取值口径，再说明它在图纸、计算或施工中的落点，使参数不是停留在资料摘录层面。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针对船宽，本设计采用先定尺度、再核算能力、最后回到图纸表达的写法。这样处理后，审阅时可以直接看到该项与泊位尺度和装卸系统配置之间的对应关系。</w:t>
      </w:r>
    </w:p>
    <w:p>
      <w:pPr>
        <w:spacing w:lineRule="auto" w:line="360" w:before="0" w:after="0"/>
        <w:ind w:firstLine="480"/>
      </w:pPr>
      <w:r>
        <w:rPr>
          <w:rFonts w:ascii="Times New Roman" w:hAnsi="Times New Roman" w:eastAsia="宋体"/>
          <w:sz w:val="24"/>
        </w:rPr>
        <w:t>吃水取值偏小会压缩安全或施工余量，取值偏大又会增加工程量。本说明书按初步设计深度采用适中偏保守的控制值，并在后续章节保留施工图复核接口。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从现场实施看，载箱量还会影响施工顺序、材料组织和质量检查。正文把这些影响写入相邻段落，避免图纸有尺寸而说明书缺少工程解释。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设计船型资料中的靠泊安全余量同时具有设计和管理意义。它既是计算输入，也是后续概预算、施工组织和运行维护的判断依据，因此需要在正文中给出明确说明。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围绕岸桥外伸距，本设计重点核对三件事：是否满足规范和船型需求，是否能在A1图纸中清楚表达，是否会改变泊位尺度和装卸系统配置的工程量或安全储备。</w:t>
      </w:r>
    </w:p>
    <w:p>
      <w:pPr>
        <w:spacing w:lineRule="auto" w:line="360" w:before="0" w:after="0"/>
        <w:ind w:firstLine="480"/>
      </w:pPr>
      <w:r>
        <w:rPr>
          <w:rFonts w:ascii="Times New Roman" w:hAnsi="Times New Roman" w:eastAsia="宋体"/>
          <w:sz w:val="24"/>
        </w:rPr>
        <w:t>若后续详勘或施工条件发生变化，泊位利用率是需要优先复核的项目之一。本阶段先把采用值、影响范围和复核方向写清楚，便于施工图阶段继续深化。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到港不均衡系数的说明与泊位尺度和装卸系统配置相互衔接。正文采用工程语言解释其作用，而不把它写成泛泛的背景材料，从而压缩自然状况篇幅并提高设计章节比重。</w:t>
      </w:r>
    </w:p>
    <w:p>
      <w:pPr>
        <w:pStyle w:val="2"/>
        <w:jc w:val="left"/>
      </w:pPr>
      <w:r>
        <w:rPr>
          <w:rFonts w:ascii="Times New Roman" w:hAnsi="Times New Roman" w:eastAsia="宋体"/>
          <w:b/>
          <w:sz w:val="24"/>
        </w:rPr>
        <w:t xml:space="preserve"> 水位、地质与材料参数</w:t>
      </w:r>
    </w:p>
    <w:p>
      <w:pPr>
        <w:spacing w:lineRule="auto" w:line="360" w:before="0" w:after="0"/>
        <w:ind w:firstLine="480"/>
      </w:pPr>
      <w:r>
        <w:rPr>
          <w:rFonts w:ascii="Times New Roman" w:hAnsi="Times New Roman" w:eastAsia="宋体"/>
          <w:sz w:val="24"/>
        </w:rPr>
        <w:t>设计水位取设计高水位+4.27m、设计低水位+1.56m、极端高水位+5.52m、极端低水位+0.13m和施工水位+2.54m。码头面高程按+5.50m控制，沉箱顶面和大圆筒顶面按+3.50m控制，基床顶面按结构坐床要求确定。</w:t>
      </w:r>
    </w:p>
    <w:p>
      <w:pPr>
        <w:spacing w:lineRule="auto" w:line="360" w:before="0" w:after="0"/>
        <w:ind w:firstLine="480"/>
      </w:pPr>
      <w:r>
        <w:rPr>
          <w:rFonts w:ascii="Times New Roman" w:hAnsi="Times New Roman" w:eastAsia="宋体"/>
          <w:sz w:val="24"/>
        </w:rPr>
        <w:t>材料方面，沉箱、大圆筒等预制主体构件采用C45混凝土，现浇胸墙、压顶梁和系船柱基础采用C40混凝土，垫层和封底可采用低标号素混凝土。钢筋采用HRB400级，护舷、系船柱和预埋件按港口附属设施要求设置。</w:t>
      </w:r>
    </w:p>
    <w:p>
      <w:pPr>
        <w:spacing w:lineRule="auto" w:line="360" w:before="0" w:after="0"/>
        <w:ind w:firstLine="480"/>
      </w:pPr>
      <w:r>
        <w:rPr>
          <w:rFonts w:ascii="Times New Roman" w:hAnsi="Times New Roman" w:eastAsia="宋体"/>
          <w:sz w:val="24"/>
        </w:rPr>
        <w:t>地基处理按清除软弱表层、形成块石基床、控制整平精度和差异沉降的原则进行。若施工图阶段详勘显示软弱土厚度或岩面起伏大于本阶段取值，应重新核算基槽开挖深度、抛石基床厚度和地基承载力。</w:t>
      </w:r>
    </w:p>
    <w:p>
      <w:pPr>
        <w:keepNext/>
        <w:spacing w:lineRule="auto" w:line="300" w:before="0" w:after="120"/>
        <w:jc w:val="center"/>
      </w:pPr>
      <w:r>
        <w:rPr>
          <w:rFonts w:ascii="Times New Roman" w:hAnsi="Times New Roman" w:eastAsia="宋体"/>
          <w:b w:val="0"/>
          <w:sz w:val="20"/>
        </w:rPr>
        <w:t>表2-2 水位、地质与材料原始参数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3024"/>
        <w:gridCol w:w="360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类别</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参数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采用值</w:t>
            </w:r>
          </w:p>
        </w:tc>
      </w:tr>
      <w:tr>
        <w:tc>
          <w:tcPr>
            <w:tcW w:type="dxa" w:w="1728"/>
            <w:vAlign w:val="center"/>
          </w:tcPr>
          <w:p>
            <w:pPr>
              <w:spacing w:lineRule="auto" w:line="276"/>
              <w:jc w:val="center"/>
            </w:pPr>
            <w:r>
              <w:rPr>
                <w:rFonts w:ascii="Times New Roman" w:hAnsi="Times New Roman" w:eastAsia="宋体"/>
                <w:b w:val="0"/>
                <w:sz w:val="18"/>
              </w:rPr>
              <w:t>水位</w:t>
            </w:r>
          </w:p>
        </w:tc>
        <w:tc>
          <w:tcPr>
            <w:tcW w:type="dxa" w:w="3024"/>
            <w:vAlign w:val="center"/>
          </w:tcPr>
          <w:p>
            <w:pPr>
              <w:spacing w:lineRule="auto" w:line="276"/>
              <w:jc w:val="center"/>
            </w:pPr>
            <w:r>
              <w:rPr>
                <w:rFonts w:ascii="Times New Roman" w:hAnsi="Times New Roman" w:eastAsia="宋体"/>
                <w:b w:val="0"/>
                <w:sz w:val="18"/>
              </w:rPr>
              <w:t>设计高水位</w:t>
            </w:r>
          </w:p>
        </w:tc>
        <w:tc>
          <w:tcPr>
            <w:tcW w:type="dxa" w:w="3600"/>
            <w:vAlign w:val="center"/>
          </w:tcPr>
          <w:p>
            <w:pPr>
              <w:spacing w:lineRule="auto" w:line="276"/>
              <w:jc w:val="center"/>
            </w:pPr>
            <w:r>
              <w:rPr>
                <w:rFonts w:ascii="Times New Roman" w:hAnsi="Times New Roman" w:eastAsia="宋体"/>
                <w:b w:val="0"/>
                <w:sz w:val="18"/>
              </w:rPr>
              <w:t>+4.27m</w:t>
            </w:r>
          </w:p>
        </w:tc>
      </w:tr>
      <w:tr>
        <w:tc>
          <w:tcPr>
            <w:tcW w:type="dxa" w:w="1728"/>
            <w:vAlign w:val="center"/>
          </w:tcPr>
          <w:p>
            <w:pPr>
              <w:spacing w:lineRule="auto" w:line="276"/>
              <w:jc w:val="center"/>
            </w:pPr>
            <w:r>
              <w:rPr>
                <w:rFonts w:ascii="Times New Roman" w:hAnsi="Times New Roman" w:eastAsia="宋体"/>
                <w:b w:val="0"/>
                <w:sz w:val="18"/>
              </w:rPr>
              <w:t>水位</w:t>
            </w:r>
          </w:p>
        </w:tc>
        <w:tc>
          <w:tcPr>
            <w:tcW w:type="dxa" w:w="3024"/>
            <w:vAlign w:val="center"/>
          </w:tcPr>
          <w:p>
            <w:pPr>
              <w:spacing w:lineRule="auto" w:line="276"/>
              <w:jc w:val="center"/>
            </w:pPr>
            <w:r>
              <w:rPr>
                <w:rFonts w:ascii="Times New Roman" w:hAnsi="Times New Roman" w:eastAsia="宋体"/>
                <w:b w:val="0"/>
                <w:sz w:val="18"/>
              </w:rPr>
              <w:t>设计低水位</w:t>
            </w:r>
          </w:p>
        </w:tc>
        <w:tc>
          <w:tcPr>
            <w:tcW w:type="dxa" w:w="3600"/>
            <w:vAlign w:val="center"/>
          </w:tcPr>
          <w:p>
            <w:pPr>
              <w:spacing w:lineRule="auto" w:line="276"/>
              <w:jc w:val="center"/>
            </w:pPr>
            <w:r>
              <w:rPr>
                <w:rFonts w:ascii="Times New Roman" w:hAnsi="Times New Roman" w:eastAsia="宋体"/>
                <w:b w:val="0"/>
                <w:sz w:val="18"/>
              </w:rPr>
              <w:t>+1.56m</w:t>
            </w:r>
          </w:p>
        </w:tc>
      </w:tr>
      <w:tr>
        <w:tc>
          <w:tcPr>
            <w:tcW w:type="dxa" w:w="1728"/>
            <w:vAlign w:val="center"/>
          </w:tcPr>
          <w:p>
            <w:pPr>
              <w:spacing w:lineRule="auto" w:line="276"/>
              <w:jc w:val="center"/>
            </w:pPr>
            <w:r>
              <w:rPr>
                <w:rFonts w:ascii="Times New Roman" w:hAnsi="Times New Roman" w:eastAsia="宋体"/>
                <w:b w:val="0"/>
                <w:sz w:val="18"/>
              </w:rPr>
              <w:t>水位</w:t>
            </w:r>
          </w:p>
        </w:tc>
        <w:tc>
          <w:tcPr>
            <w:tcW w:type="dxa" w:w="3024"/>
            <w:vAlign w:val="center"/>
          </w:tcPr>
          <w:p>
            <w:pPr>
              <w:spacing w:lineRule="auto" w:line="276"/>
              <w:jc w:val="center"/>
            </w:pPr>
            <w:r>
              <w:rPr>
                <w:rFonts w:ascii="Times New Roman" w:hAnsi="Times New Roman" w:eastAsia="宋体"/>
                <w:b w:val="0"/>
                <w:sz w:val="18"/>
              </w:rPr>
              <w:t>极端高水位</w:t>
            </w:r>
          </w:p>
        </w:tc>
        <w:tc>
          <w:tcPr>
            <w:tcW w:type="dxa" w:w="3600"/>
            <w:vAlign w:val="center"/>
          </w:tcPr>
          <w:p>
            <w:pPr>
              <w:spacing w:lineRule="auto" w:line="276"/>
              <w:jc w:val="center"/>
            </w:pPr>
            <w:r>
              <w:rPr>
                <w:rFonts w:ascii="Times New Roman" w:hAnsi="Times New Roman" w:eastAsia="宋体"/>
                <w:b w:val="0"/>
                <w:sz w:val="18"/>
              </w:rPr>
              <w:t>+5.52m</w:t>
            </w:r>
          </w:p>
        </w:tc>
      </w:tr>
      <w:tr>
        <w:tc>
          <w:tcPr>
            <w:tcW w:type="dxa" w:w="1728"/>
            <w:vAlign w:val="center"/>
          </w:tcPr>
          <w:p>
            <w:pPr>
              <w:spacing w:lineRule="auto" w:line="276"/>
              <w:jc w:val="center"/>
            </w:pPr>
            <w:r>
              <w:rPr>
                <w:rFonts w:ascii="Times New Roman" w:hAnsi="Times New Roman" w:eastAsia="宋体"/>
                <w:b w:val="0"/>
                <w:sz w:val="18"/>
              </w:rPr>
              <w:t>结构</w:t>
            </w:r>
          </w:p>
        </w:tc>
        <w:tc>
          <w:tcPr>
            <w:tcW w:type="dxa" w:w="3024"/>
            <w:vAlign w:val="center"/>
          </w:tcPr>
          <w:p>
            <w:pPr>
              <w:spacing w:lineRule="auto" w:line="276"/>
              <w:jc w:val="center"/>
            </w:pPr>
            <w:r>
              <w:rPr>
                <w:rFonts w:ascii="Times New Roman" w:hAnsi="Times New Roman" w:eastAsia="宋体"/>
                <w:b w:val="0"/>
                <w:sz w:val="18"/>
              </w:rPr>
              <w:t>码头面高程</w:t>
            </w:r>
          </w:p>
        </w:tc>
        <w:tc>
          <w:tcPr>
            <w:tcW w:type="dxa" w:w="3600"/>
            <w:vAlign w:val="center"/>
          </w:tcPr>
          <w:p>
            <w:pPr>
              <w:spacing w:lineRule="auto" w:line="276"/>
              <w:jc w:val="center"/>
            </w:pPr>
            <w:r>
              <w:rPr>
                <w:rFonts w:ascii="Times New Roman" w:hAnsi="Times New Roman" w:eastAsia="宋体"/>
                <w:b w:val="0"/>
                <w:sz w:val="18"/>
              </w:rPr>
              <w:t>+5.50m</w:t>
            </w:r>
          </w:p>
        </w:tc>
      </w:tr>
      <w:tr>
        <w:tc>
          <w:tcPr>
            <w:tcW w:type="dxa" w:w="1728"/>
            <w:vAlign w:val="center"/>
          </w:tcPr>
          <w:p>
            <w:pPr>
              <w:spacing w:lineRule="auto" w:line="276"/>
              <w:jc w:val="center"/>
            </w:pPr>
            <w:r>
              <w:rPr>
                <w:rFonts w:ascii="Times New Roman" w:hAnsi="Times New Roman" w:eastAsia="宋体"/>
                <w:b w:val="0"/>
                <w:sz w:val="18"/>
              </w:rPr>
              <w:t>结构</w:t>
            </w:r>
          </w:p>
        </w:tc>
        <w:tc>
          <w:tcPr>
            <w:tcW w:type="dxa" w:w="3024"/>
            <w:vAlign w:val="center"/>
          </w:tcPr>
          <w:p>
            <w:pPr>
              <w:spacing w:lineRule="auto" w:line="276"/>
              <w:jc w:val="center"/>
            </w:pPr>
            <w:r>
              <w:rPr>
                <w:rFonts w:ascii="Times New Roman" w:hAnsi="Times New Roman" w:eastAsia="宋体"/>
                <w:b w:val="0"/>
                <w:sz w:val="18"/>
              </w:rPr>
              <w:t>主体顶标高</w:t>
            </w:r>
          </w:p>
        </w:tc>
        <w:tc>
          <w:tcPr>
            <w:tcW w:type="dxa" w:w="3600"/>
            <w:vAlign w:val="center"/>
          </w:tcPr>
          <w:p>
            <w:pPr>
              <w:spacing w:lineRule="auto" w:line="276"/>
              <w:jc w:val="center"/>
            </w:pPr>
            <w:r>
              <w:rPr>
                <w:rFonts w:ascii="Times New Roman" w:hAnsi="Times New Roman" w:eastAsia="宋体"/>
                <w:b w:val="0"/>
                <w:sz w:val="18"/>
              </w:rPr>
              <w:t>+3.50m</w:t>
            </w:r>
          </w:p>
        </w:tc>
      </w:tr>
      <w:tr>
        <w:tc>
          <w:tcPr>
            <w:tcW w:type="dxa" w:w="1728"/>
            <w:vAlign w:val="center"/>
          </w:tcPr>
          <w:p>
            <w:pPr>
              <w:spacing w:lineRule="auto" w:line="276"/>
              <w:jc w:val="center"/>
            </w:pPr>
            <w:r>
              <w:rPr>
                <w:rFonts w:ascii="Times New Roman" w:hAnsi="Times New Roman" w:eastAsia="宋体"/>
                <w:b w:val="0"/>
                <w:sz w:val="18"/>
              </w:rPr>
              <w:t>材料</w:t>
            </w:r>
          </w:p>
        </w:tc>
        <w:tc>
          <w:tcPr>
            <w:tcW w:type="dxa" w:w="3024"/>
            <w:vAlign w:val="center"/>
          </w:tcPr>
          <w:p>
            <w:pPr>
              <w:spacing w:lineRule="auto" w:line="276"/>
              <w:jc w:val="center"/>
            </w:pPr>
            <w:r>
              <w:rPr>
                <w:rFonts w:ascii="Times New Roman" w:hAnsi="Times New Roman" w:eastAsia="宋体"/>
                <w:b w:val="0"/>
                <w:sz w:val="18"/>
              </w:rPr>
              <w:t>预制主体混凝土</w:t>
            </w:r>
          </w:p>
        </w:tc>
        <w:tc>
          <w:tcPr>
            <w:tcW w:type="dxa" w:w="3600"/>
            <w:vAlign w:val="center"/>
          </w:tcPr>
          <w:p>
            <w:pPr>
              <w:spacing w:lineRule="auto" w:line="276"/>
              <w:jc w:val="center"/>
            </w:pPr>
            <w:r>
              <w:rPr>
                <w:rFonts w:ascii="Times New Roman" w:hAnsi="Times New Roman" w:eastAsia="宋体"/>
                <w:b w:val="0"/>
                <w:sz w:val="18"/>
              </w:rPr>
              <w:t>C45</w:t>
            </w:r>
          </w:p>
        </w:tc>
      </w:tr>
      <w:tr>
        <w:tc>
          <w:tcPr>
            <w:tcW w:type="dxa" w:w="1728"/>
            <w:vAlign w:val="center"/>
          </w:tcPr>
          <w:p>
            <w:pPr>
              <w:spacing w:lineRule="auto" w:line="276"/>
              <w:jc w:val="center"/>
            </w:pPr>
            <w:r>
              <w:rPr>
                <w:rFonts w:ascii="Times New Roman" w:hAnsi="Times New Roman" w:eastAsia="宋体"/>
                <w:b w:val="0"/>
                <w:sz w:val="18"/>
              </w:rPr>
              <w:t>材料</w:t>
            </w:r>
          </w:p>
        </w:tc>
        <w:tc>
          <w:tcPr>
            <w:tcW w:type="dxa" w:w="3024"/>
            <w:vAlign w:val="center"/>
          </w:tcPr>
          <w:p>
            <w:pPr>
              <w:spacing w:lineRule="auto" w:line="276"/>
              <w:jc w:val="center"/>
            </w:pPr>
            <w:r>
              <w:rPr>
                <w:rFonts w:ascii="Times New Roman" w:hAnsi="Times New Roman" w:eastAsia="宋体"/>
                <w:b w:val="0"/>
                <w:sz w:val="18"/>
              </w:rPr>
              <w:t>现浇胸墙混凝土</w:t>
            </w:r>
          </w:p>
        </w:tc>
        <w:tc>
          <w:tcPr>
            <w:tcW w:type="dxa" w:w="3600"/>
            <w:vAlign w:val="center"/>
          </w:tcPr>
          <w:p>
            <w:pPr>
              <w:spacing w:lineRule="auto" w:line="276"/>
              <w:jc w:val="center"/>
            </w:pPr>
            <w:r>
              <w:rPr>
                <w:rFonts w:ascii="Times New Roman" w:hAnsi="Times New Roman" w:eastAsia="宋体"/>
                <w:b w:val="0"/>
                <w:sz w:val="18"/>
              </w:rPr>
              <w:t>C40</w:t>
            </w:r>
          </w:p>
        </w:tc>
      </w:tr>
      <w:tr>
        <w:tc>
          <w:tcPr>
            <w:tcW w:type="dxa" w:w="1728"/>
            <w:vAlign w:val="center"/>
          </w:tcPr>
          <w:p>
            <w:pPr>
              <w:spacing w:lineRule="auto" w:line="276"/>
              <w:jc w:val="center"/>
            </w:pPr>
            <w:r>
              <w:rPr>
                <w:rFonts w:ascii="Times New Roman" w:hAnsi="Times New Roman" w:eastAsia="宋体"/>
                <w:b w:val="0"/>
                <w:sz w:val="18"/>
              </w:rPr>
              <w:t>材料</w:t>
            </w:r>
          </w:p>
        </w:tc>
        <w:tc>
          <w:tcPr>
            <w:tcW w:type="dxa" w:w="3024"/>
            <w:vAlign w:val="center"/>
          </w:tcPr>
          <w:p>
            <w:pPr>
              <w:spacing w:lineRule="auto" w:line="276"/>
              <w:jc w:val="center"/>
            </w:pPr>
            <w:r>
              <w:rPr>
                <w:rFonts w:ascii="Times New Roman" w:hAnsi="Times New Roman" w:eastAsia="宋体"/>
                <w:b w:val="0"/>
                <w:sz w:val="18"/>
              </w:rPr>
              <w:t>普通钢筋</w:t>
            </w:r>
          </w:p>
        </w:tc>
        <w:tc>
          <w:tcPr>
            <w:tcW w:type="dxa" w:w="3600"/>
            <w:vAlign w:val="center"/>
          </w:tcPr>
          <w:p>
            <w:pPr>
              <w:spacing w:lineRule="auto" w:line="276"/>
              <w:jc w:val="center"/>
            </w:pPr>
            <w:r>
              <w:rPr>
                <w:rFonts w:ascii="Times New Roman" w:hAnsi="Times New Roman" w:eastAsia="宋体"/>
                <w:b w:val="0"/>
                <w:sz w:val="18"/>
              </w:rPr>
              <w:t>HRB400</w:t>
            </w:r>
          </w:p>
        </w:tc>
      </w:tr>
      <w:tr>
        <w:tc>
          <w:tcPr>
            <w:tcW w:type="dxa" w:w="1728"/>
            <w:vAlign w:val="center"/>
          </w:tcPr>
          <w:p>
            <w:pPr>
              <w:spacing w:lineRule="auto" w:line="276"/>
              <w:jc w:val="center"/>
            </w:pPr>
            <w:r>
              <w:rPr>
                <w:rFonts w:ascii="Times New Roman" w:hAnsi="Times New Roman" w:eastAsia="宋体"/>
                <w:b w:val="0"/>
                <w:sz w:val="18"/>
              </w:rPr>
              <w:t>地基</w:t>
            </w:r>
          </w:p>
        </w:tc>
        <w:tc>
          <w:tcPr>
            <w:tcW w:type="dxa" w:w="3024"/>
            <w:vAlign w:val="center"/>
          </w:tcPr>
          <w:p>
            <w:pPr>
              <w:spacing w:lineRule="auto" w:line="276"/>
              <w:jc w:val="center"/>
            </w:pPr>
            <w:r>
              <w:rPr>
                <w:rFonts w:ascii="Times New Roman" w:hAnsi="Times New Roman" w:eastAsia="宋体"/>
                <w:b w:val="0"/>
                <w:sz w:val="18"/>
              </w:rPr>
              <w:t>基床材料</w:t>
            </w:r>
          </w:p>
        </w:tc>
        <w:tc>
          <w:tcPr>
            <w:tcW w:type="dxa" w:w="3600"/>
            <w:vAlign w:val="center"/>
          </w:tcPr>
          <w:p>
            <w:pPr>
              <w:spacing w:lineRule="auto" w:line="276"/>
              <w:jc w:val="center"/>
            </w:pPr>
            <w:r>
              <w:rPr>
                <w:rFonts w:ascii="Times New Roman" w:hAnsi="Times New Roman" w:eastAsia="宋体"/>
                <w:b w:val="0"/>
                <w:sz w:val="18"/>
              </w:rPr>
              <w:t>块石基床+二片石垫层</w:t>
            </w:r>
          </w:p>
        </w:tc>
      </w:tr>
      <w:tr>
        <w:tc>
          <w:tcPr>
            <w:tcW w:type="dxa" w:w="1728"/>
            <w:vAlign w:val="center"/>
          </w:tcPr>
          <w:p>
            <w:pPr>
              <w:spacing w:lineRule="auto" w:line="276"/>
              <w:jc w:val="center"/>
            </w:pPr>
            <w:r>
              <w:rPr>
                <w:rFonts w:ascii="Times New Roman" w:hAnsi="Times New Roman" w:eastAsia="宋体"/>
                <w:b w:val="0"/>
                <w:sz w:val="18"/>
              </w:rPr>
              <w:t>回填</w:t>
            </w:r>
          </w:p>
        </w:tc>
        <w:tc>
          <w:tcPr>
            <w:tcW w:type="dxa" w:w="3024"/>
            <w:vAlign w:val="center"/>
          </w:tcPr>
          <w:p>
            <w:pPr>
              <w:spacing w:lineRule="auto" w:line="276"/>
              <w:jc w:val="center"/>
            </w:pPr>
            <w:r>
              <w:rPr>
                <w:rFonts w:ascii="Times New Roman" w:hAnsi="Times New Roman" w:eastAsia="宋体"/>
                <w:b w:val="0"/>
                <w:sz w:val="18"/>
              </w:rPr>
              <w:t>墙后回填</w:t>
            </w:r>
          </w:p>
        </w:tc>
        <w:tc>
          <w:tcPr>
            <w:tcW w:type="dxa" w:w="3600"/>
            <w:vAlign w:val="center"/>
          </w:tcPr>
          <w:p>
            <w:pPr>
              <w:spacing w:lineRule="auto" w:line="276"/>
              <w:jc w:val="center"/>
            </w:pPr>
            <w:r>
              <w:rPr>
                <w:rFonts w:ascii="Times New Roman" w:hAnsi="Times New Roman" w:eastAsia="宋体"/>
                <w:b w:val="0"/>
                <w:sz w:val="18"/>
              </w:rPr>
              <w:t>开山石回填+倒滤层</w:t>
            </w:r>
          </w:p>
        </w:tc>
      </w:tr>
    </w:tbl>
    <w:p/>
    <w:p>
      <w:pPr>
        <w:spacing w:lineRule="auto" w:line="360" w:before="0" w:after="0"/>
        <w:ind w:firstLine="480"/>
      </w:pPr>
      <w:r>
        <w:rPr>
          <w:rFonts w:ascii="Times New Roman" w:hAnsi="Times New Roman" w:eastAsia="宋体"/>
          <w:sz w:val="24"/>
        </w:rPr>
        <w:t>原始参数对设计高水位作单独说明，是因为该项会传递到断面构造、稳定计算和概预算。正文先交代取值口径，再说明它在图纸、计算或施工中的落点，使参数不是停留在资料摘录层面。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针对设计低水位，本设计采用先定尺度、再核算能力、最后回到图纸表达的写法。这样处理后，审阅时可以直接看到该项与断面构造、稳定计算和概预算之间的对应关系。</w:t>
      </w:r>
    </w:p>
    <w:p>
      <w:pPr>
        <w:spacing w:lineRule="auto" w:line="360" w:before="0" w:after="0"/>
        <w:ind w:firstLine="480"/>
      </w:pPr>
      <w:r>
        <w:rPr>
          <w:rFonts w:ascii="Times New Roman" w:hAnsi="Times New Roman" w:eastAsia="宋体"/>
          <w:sz w:val="24"/>
        </w:rPr>
        <w:t>极端高水位取值偏小会压缩安全或施工余量，取值偏大又会增加工程量。本说明书按初步设计深度采用适中偏保守的控制值，并在后续章节保留施工图复核接口。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从现场实施看，码头面高程还会影响施工顺序、材料组织和质量检查。正文把这些影响写入相邻段落，避免图纸有尺寸而说明书缺少工程解释。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原始参数中的沉箱顶标高同时具有设计和管理意义。它既是计算输入，也是后续概预算、施工组织和运行维护的判断依据，因此需要在正文中给出明确说明。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围绕基床顶标高，本设计重点核对三件事：是否满足规范和船型需求，是否能在A1图纸中清楚表达，是否会改变断面构造、稳定计算和概预算的工程量或安全储备。</w:t>
      </w:r>
    </w:p>
    <w:p>
      <w:pPr>
        <w:spacing w:lineRule="auto" w:line="360" w:before="0" w:after="0"/>
        <w:ind w:firstLine="480"/>
      </w:pPr>
      <w:r>
        <w:rPr>
          <w:rFonts w:ascii="Times New Roman" w:hAnsi="Times New Roman" w:eastAsia="宋体"/>
          <w:sz w:val="24"/>
        </w:rPr>
        <w:t>若后续详勘或施工条件发生变化，混凝土强度等级是需要优先复核的项目之一。本阶段先把采用值、影响范围和复核方向写清楚，便于施工图阶段继续深化。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钢筋保护层的说明与断面构造、稳定计算和概预算相互衔接。正文采用工程语言解释其作用，而不把它写成泛泛的背景材料，从而压缩自然状况篇幅并提高设计章节比重。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原始参数对墙后回填材料作单独说明，是因为该项会传递到断面构造、稳定计算和概预算。正文先交代取值口径，再说明它在图纸、计算或施工中的落点，使参数不是停留在资料摘录层面。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针对倒滤层布置，本设计采用先定尺度、再核算能力、最后回到图纸表达的写法。这样处理后，审阅时可以直接看到该项与断面构造、稳定计算和概预算之间的对应关系。</w:t>
      </w:r>
    </w:p>
    <w:p>
      <w:pPr>
        <w:pStyle w:val="2"/>
        <w:jc w:val="left"/>
      </w:pPr>
      <w:r>
        <w:rPr>
          <w:rFonts w:ascii="Times New Roman" w:hAnsi="Times New Roman" w:eastAsia="宋体"/>
          <w:b/>
          <w:sz w:val="24"/>
        </w:rPr>
        <w:t xml:space="preserve"> 设计荷载与设备资料</w:t>
      </w:r>
    </w:p>
    <w:p>
      <w:pPr>
        <w:spacing w:lineRule="auto" w:line="360" w:before="0" w:after="0"/>
        <w:ind w:firstLine="480"/>
      </w:pPr>
      <w:r>
        <w:rPr>
          <w:rFonts w:ascii="Times New Roman" w:hAnsi="Times New Roman" w:eastAsia="宋体"/>
          <w:sz w:val="24"/>
        </w:rPr>
        <w:t>前沿作业带按岸桥轨道、集卡通行、箱区交接和维修通道综合布置。堆场荷载按集装箱堆存和轮胎式场桥运行考虑，码头面堆载在稳定计算中按均布荷载折算到墙后土压力。</w:t>
      </w:r>
    </w:p>
    <w:p>
      <w:pPr>
        <w:spacing w:lineRule="auto" w:line="360" w:before="0" w:after="0"/>
        <w:ind w:firstLine="480"/>
      </w:pPr>
      <w:r>
        <w:rPr>
          <w:rFonts w:ascii="Times New Roman" w:hAnsi="Times New Roman" w:eastAsia="宋体"/>
          <w:sz w:val="24"/>
        </w:rPr>
        <w:t>船舶作用包括系缆力、靠泊护舷反力和局部设备基础荷载。本阶段稳定计算以墙后土压力、堆载、结构自重、回填重、浮托影响和系缆力为主要控制项；靠泊力主要用于护舷和预埋件构造说明。</w:t>
      </w:r>
    </w:p>
    <w:p>
      <w:pPr>
        <w:keepNext/>
        <w:spacing w:lineRule="auto" w:line="300" w:before="0" w:after="120"/>
        <w:jc w:val="center"/>
      </w:pPr>
      <w:r>
        <w:rPr>
          <w:rFonts w:ascii="Times New Roman" w:hAnsi="Times New Roman" w:eastAsia="宋体"/>
          <w:b w:val="0"/>
          <w:sz w:val="20"/>
        </w:rPr>
        <w:t>表2-3 设备与荷载设计资料</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592"/>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16"/>
            <w:vAlign w:val="center"/>
          </w:tcPr>
          <w:p>
            <w:pPr>
              <w:spacing w:lineRule="auto" w:line="276"/>
              <w:jc w:val="center"/>
            </w:pPr>
            <w:r>
              <w:rPr>
                <w:rFonts w:ascii="Times New Roman" w:hAnsi="Times New Roman" w:eastAsia="宋体"/>
                <w:b w:val="0"/>
                <w:sz w:val="18"/>
              </w:rPr>
              <w:t>岸桥</w:t>
            </w:r>
          </w:p>
        </w:tc>
        <w:tc>
          <w:tcPr>
            <w:tcW w:type="dxa" w:w="2592"/>
            <w:vAlign w:val="center"/>
          </w:tcPr>
          <w:p>
            <w:pPr>
              <w:spacing w:lineRule="auto" w:line="276"/>
              <w:jc w:val="center"/>
            </w:pPr>
            <w:r>
              <w:rPr>
                <w:rFonts w:ascii="Times New Roman" w:hAnsi="Times New Roman" w:eastAsia="宋体"/>
                <w:b w:val="0"/>
                <w:sz w:val="18"/>
              </w:rPr>
              <w:t>5台，30TEU/h</w:t>
            </w:r>
          </w:p>
        </w:tc>
        <w:tc>
          <w:tcPr>
            <w:tcW w:type="dxa" w:w="3744"/>
            <w:vAlign w:val="center"/>
          </w:tcPr>
          <w:p>
            <w:pPr>
              <w:spacing w:lineRule="auto" w:line="276"/>
              <w:jc w:val="center"/>
            </w:pPr>
            <w:r>
              <w:rPr>
                <w:rFonts w:ascii="Times New Roman" w:hAnsi="Times New Roman" w:eastAsia="宋体"/>
                <w:b w:val="0"/>
                <w:sz w:val="18"/>
              </w:rPr>
              <w:t>前沿卸船主设备</w:t>
            </w:r>
          </w:p>
        </w:tc>
      </w:tr>
      <w:tr>
        <w:tc>
          <w:tcPr>
            <w:tcW w:type="dxa" w:w="2016"/>
            <w:vAlign w:val="center"/>
          </w:tcPr>
          <w:p>
            <w:pPr>
              <w:spacing w:lineRule="auto" w:line="276"/>
              <w:jc w:val="center"/>
            </w:pPr>
            <w:r>
              <w:rPr>
                <w:rFonts w:ascii="Times New Roman" w:hAnsi="Times New Roman" w:eastAsia="宋体"/>
                <w:b w:val="0"/>
                <w:sz w:val="18"/>
              </w:rPr>
              <w:t>水平运输</w:t>
            </w:r>
          </w:p>
        </w:tc>
        <w:tc>
          <w:tcPr>
            <w:tcW w:type="dxa" w:w="2592"/>
            <w:vAlign w:val="center"/>
          </w:tcPr>
          <w:p>
            <w:pPr>
              <w:spacing w:lineRule="auto" w:line="276"/>
              <w:jc w:val="center"/>
            </w:pPr>
            <w:r>
              <w:rPr>
                <w:rFonts w:ascii="Times New Roman" w:hAnsi="Times New Roman" w:eastAsia="宋体"/>
                <w:b w:val="0"/>
                <w:sz w:val="18"/>
              </w:rPr>
              <w:t>集装箱牵引车+半挂车</w:t>
            </w:r>
          </w:p>
        </w:tc>
        <w:tc>
          <w:tcPr>
            <w:tcW w:type="dxa" w:w="3744"/>
            <w:vAlign w:val="center"/>
          </w:tcPr>
          <w:p>
            <w:pPr>
              <w:spacing w:lineRule="auto" w:line="276"/>
              <w:jc w:val="center"/>
            </w:pPr>
            <w:r>
              <w:rPr>
                <w:rFonts w:ascii="Times New Roman" w:hAnsi="Times New Roman" w:eastAsia="宋体"/>
                <w:b w:val="0"/>
                <w:sz w:val="18"/>
              </w:rPr>
              <w:t>前沿至堆场短距离运输</w:t>
            </w:r>
          </w:p>
        </w:tc>
      </w:tr>
      <w:tr>
        <w:tc>
          <w:tcPr>
            <w:tcW w:type="dxa" w:w="2016"/>
            <w:vAlign w:val="center"/>
          </w:tcPr>
          <w:p>
            <w:pPr>
              <w:spacing w:lineRule="auto" w:line="276"/>
              <w:jc w:val="center"/>
            </w:pPr>
            <w:r>
              <w:rPr>
                <w:rFonts w:ascii="Times New Roman" w:hAnsi="Times New Roman" w:eastAsia="宋体"/>
                <w:b w:val="0"/>
                <w:sz w:val="18"/>
              </w:rPr>
              <w:t>堆场设备</w:t>
            </w:r>
          </w:p>
        </w:tc>
        <w:tc>
          <w:tcPr>
            <w:tcW w:type="dxa" w:w="2592"/>
            <w:vAlign w:val="center"/>
          </w:tcPr>
          <w:p>
            <w:pPr>
              <w:spacing w:lineRule="auto" w:line="276"/>
              <w:jc w:val="center"/>
            </w:pPr>
            <w:r>
              <w:rPr>
                <w:rFonts w:ascii="Times New Roman" w:hAnsi="Times New Roman" w:eastAsia="宋体"/>
                <w:b w:val="0"/>
                <w:sz w:val="18"/>
              </w:rPr>
              <w:t>轮胎式场桥RTG</w:t>
            </w:r>
          </w:p>
        </w:tc>
        <w:tc>
          <w:tcPr>
            <w:tcW w:type="dxa" w:w="3744"/>
            <w:vAlign w:val="center"/>
          </w:tcPr>
          <w:p>
            <w:pPr>
              <w:spacing w:lineRule="auto" w:line="276"/>
              <w:jc w:val="center"/>
            </w:pPr>
            <w:r>
              <w:rPr>
                <w:rFonts w:ascii="Times New Roman" w:hAnsi="Times New Roman" w:eastAsia="宋体"/>
                <w:b w:val="0"/>
                <w:sz w:val="18"/>
              </w:rPr>
              <w:t>重箱区、空箱区堆存作业</w:t>
            </w:r>
          </w:p>
        </w:tc>
      </w:tr>
      <w:tr>
        <w:tc>
          <w:tcPr>
            <w:tcW w:type="dxa" w:w="2016"/>
            <w:vAlign w:val="center"/>
          </w:tcPr>
          <w:p>
            <w:pPr>
              <w:spacing w:lineRule="auto" w:line="276"/>
              <w:jc w:val="center"/>
            </w:pPr>
            <w:r>
              <w:rPr>
                <w:rFonts w:ascii="Times New Roman" w:hAnsi="Times New Roman" w:eastAsia="宋体"/>
                <w:b w:val="0"/>
                <w:sz w:val="18"/>
              </w:rPr>
              <w:t>码头面堆载</w:t>
            </w:r>
          </w:p>
        </w:tc>
        <w:tc>
          <w:tcPr>
            <w:tcW w:type="dxa" w:w="2592"/>
            <w:vAlign w:val="center"/>
          </w:tcPr>
          <w:p>
            <w:pPr>
              <w:spacing w:lineRule="auto" w:line="276"/>
              <w:jc w:val="center"/>
            </w:pPr>
            <w:r>
              <w:rPr>
                <w:rFonts w:ascii="Times New Roman" w:hAnsi="Times New Roman" w:eastAsia="宋体"/>
                <w:b w:val="0"/>
                <w:sz w:val="18"/>
              </w:rPr>
              <w:t>按40kPa控制</w:t>
            </w:r>
          </w:p>
        </w:tc>
        <w:tc>
          <w:tcPr>
            <w:tcW w:type="dxa" w:w="3744"/>
            <w:vAlign w:val="center"/>
          </w:tcPr>
          <w:p>
            <w:pPr>
              <w:spacing w:lineRule="auto" w:line="276"/>
              <w:jc w:val="center"/>
            </w:pPr>
            <w:r>
              <w:rPr>
                <w:rFonts w:ascii="Times New Roman" w:hAnsi="Times New Roman" w:eastAsia="宋体"/>
                <w:b w:val="0"/>
                <w:sz w:val="18"/>
              </w:rPr>
              <w:t>用于墙后附加土压力计算</w:t>
            </w:r>
          </w:p>
        </w:tc>
      </w:tr>
      <w:tr>
        <w:tc>
          <w:tcPr>
            <w:tcW w:type="dxa" w:w="2016"/>
            <w:vAlign w:val="center"/>
          </w:tcPr>
          <w:p>
            <w:pPr>
              <w:spacing w:lineRule="auto" w:line="276"/>
              <w:jc w:val="center"/>
            </w:pPr>
            <w:r>
              <w:rPr>
                <w:rFonts w:ascii="Times New Roman" w:hAnsi="Times New Roman" w:eastAsia="宋体"/>
                <w:b w:val="0"/>
                <w:sz w:val="18"/>
              </w:rPr>
              <w:t>系缆力</w:t>
            </w:r>
          </w:p>
        </w:tc>
        <w:tc>
          <w:tcPr>
            <w:tcW w:type="dxa" w:w="2592"/>
            <w:vAlign w:val="center"/>
          </w:tcPr>
          <w:p>
            <w:pPr>
              <w:spacing w:lineRule="auto" w:line="276"/>
              <w:jc w:val="center"/>
            </w:pPr>
            <w:r>
              <w:rPr>
                <w:rFonts w:ascii="Times New Roman" w:hAnsi="Times New Roman" w:eastAsia="宋体"/>
                <w:b w:val="0"/>
                <w:sz w:val="18"/>
              </w:rPr>
              <w:t>按3万吨级船舶控制</w:t>
            </w:r>
          </w:p>
        </w:tc>
        <w:tc>
          <w:tcPr>
            <w:tcW w:type="dxa" w:w="3744"/>
            <w:vAlign w:val="center"/>
          </w:tcPr>
          <w:p>
            <w:pPr>
              <w:spacing w:lineRule="auto" w:line="276"/>
              <w:jc w:val="center"/>
            </w:pPr>
            <w:r>
              <w:rPr>
                <w:rFonts w:ascii="Times New Roman" w:hAnsi="Times New Roman" w:eastAsia="宋体"/>
                <w:b w:val="0"/>
                <w:sz w:val="18"/>
              </w:rPr>
              <w:t>用于胸墙和整体稳定复核</w:t>
            </w:r>
          </w:p>
        </w:tc>
      </w:tr>
      <w:tr>
        <w:tc>
          <w:tcPr>
            <w:tcW w:type="dxa" w:w="2016"/>
            <w:vAlign w:val="center"/>
          </w:tcPr>
          <w:p>
            <w:pPr>
              <w:spacing w:lineRule="auto" w:line="276"/>
              <w:jc w:val="center"/>
            </w:pPr>
            <w:r>
              <w:rPr>
                <w:rFonts w:ascii="Times New Roman" w:hAnsi="Times New Roman" w:eastAsia="宋体"/>
                <w:b w:val="0"/>
                <w:sz w:val="18"/>
              </w:rPr>
              <w:t>摩擦系数</w:t>
            </w:r>
          </w:p>
        </w:tc>
        <w:tc>
          <w:tcPr>
            <w:tcW w:type="dxa" w:w="2592"/>
            <w:vAlign w:val="center"/>
          </w:tcPr>
          <w:p>
            <w:pPr>
              <w:spacing w:lineRule="auto" w:line="276"/>
              <w:jc w:val="center"/>
            </w:pPr>
            <w:r>
              <w:rPr>
                <w:rFonts w:ascii="Times New Roman" w:hAnsi="Times New Roman" w:eastAsia="宋体"/>
                <w:b w:val="0"/>
                <w:sz w:val="18"/>
              </w:rPr>
              <w:t>0.60</w:t>
            </w:r>
          </w:p>
        </w:tc>
        <w:tc>
          <w:tcPr>
            <w:tcW w:type="dxa" w:w="3744"/>
            <w:vAlign w:val="center"/>
          </w:tcPr>
          <w:p>
            <w:pPr>
              <w:spacing w:lineRule="auto" w:line="276"/>
              <w:jc w:val="center"/>
            </w:pPr>
            <w:r>
              <w:rPr>
                <w:rFonts w:ascii="Times New Roman" w:hAnsi="Times New Roman" w:eastAsia="宋体"/>
                <w:b w:val="0"/>
                <w:sz w:val="18"/>
              </w:rPr>
              <w:t>用于抗滑稳定验算</w:t>
            </w:r>
          </w:p>
        </w:tc>
      </w:tr>
    </w:tbl>
    <w:p/>
    <w:p>
      <w:pPr>
        <w:spacing w:lineRule="auto" w:line="360" w:before="0" w:after="0"/>
        <w:ind w:firstLine="480"/>
      </w:pPr>
      <w:r>
        <w:rPr>
          <w:rFonts w:ascii="Times New Roman" w:hAnsi="Times New Roman" w:eastAsia="宋体"/>
          <w:sz w:val="24"/>
        </w:rPr>
        <w:t>设备与荷载资料对岸桥轨距作单独说明，是因为该项会传递到工艺流程和结构受力。正文先交代取值口径，再说明它在图纸、计算或施工中的落点，使参数不是停留在资料摘录层面。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针对集卡循环距离，本设计采用先定尺度、再核算能力、最后回到图纸表达的写法。这样处理后，审阅时可以直接看到该项与工艺流程和结构受力之间的对应关系。</w:t>
      </w:r>
    </w:p>
    <w:p>
      <w:pPr>
        <w:spacing w:lineRule="auto" w:line="360" w:before="0" w:after="0"/>
        <w:ind w:firstLine="480"/>
      </w:pPr>
      <w:r>
        <w:rPr>
          <w:rFonts w:ascii="Times New Roman" w:hAnsi="Times New Roman" w:eastAsia="宋体"/>
          <w:sz w:val="24"/>
        </w:rPr>
        <w:t>RTG作业宽度取值偏小会压缩安全或施工余量，取值偏大又会增加工程量。本说明书按初步设计深度采用适中偏保守的控制值，并在后续章节保留施工图复核接口。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从现场实施看，码头面堆载还会影响施工顺序、材料组织和质量检查。正文把这些影响写入相邻段落，避免图纸有尺寸而说明书缺少工程解释。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设备与荷载资料中的系缆力同时具有设计和管理意义。它既是计算输入，也是后续概预算、施工组织和运行维护的判断依据，因此需要在正文中给出明确说明。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围绕护舷反力，本设计重点核对三件事：是否满足规范和船型需求，是否能在A1图纸中清楚表达，是否会改变工艺流程和结构受力的工程量或安全储备。</w:t>
      </w:r>
    </w:p>
    <w:p>
      <w:pPr>
        <w:spacing w:lineRule="auto" w:line="360" w:before="0" w:after="0"/>
        <w:ind w:firstLine="480"/>
      </w:pPr>
      <w:r>
        <w:rPr>
          <w:rFonts w:ascii="Times New Roman" w:hAnsi="Times New Roman" w:eastAsia="宋体"/>
          <w:sz w:val="24"/>
        </w:rPr>
        <w:t>若后续详勘或施工条件发生变化，施工吊装荷载是需要优先复核的项目之一。本阶段先把采用值、影响范围和复核方向写清楚，便于施工图阶段继续深化。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临时堆料荷载的说明与工艺流程和结构受力相互衔接。正文采用工程语言解释其作用，而不把它写成泛泛的背景材料，从而压缩自然状况篇幅并提高设计章节比重。</w:t>
      </w:r>
    </w:p>
    <w:p>
      <w:pPr>
        <w:pStyle w:val="1"/>
        <w:pageBreakBefore/>
        <w:jc w:val="center"/>
      </w:pPr>
      <w:r>
        <w:rPr>
          <w:rFonts w:ascii="Times New Roman" w:hAnsi="Times New Roman" w:eastAsia="宋体"/>
          <w:b/>
          <w:sz w:val="30"/>
        </w:rPr>
        <w:t xml:space="preserve"> 平面布置与装卸工艺</w:t>
      </w:r>
    </w:p>
    <w:p>
      <w:pPr>
        <w:pStyle w:val="2"/>
        <w:jc w:val="left"/>
      </w:pPr>
      <w:r>
        <w:rPr>
          <w:rFonts w:ascii="Times New Roman" w:hAnsi="Times New Roman" w:eastAsia="宋体"/>
          <w:b/>
          <w:sz w:val="24"/>
        </w:rPr>
        <w:t xml:space="preserve"> 平面布置原则</w:t>
      </w:r>
    </w:p>
    <w:p>
      <w:pPr>
        <w:spacing w:lineRule="auto" w:line="360" w:before="0" w:after="0"/>
        <w:ind w:firstLine="480"/>
      </w:pPr>
      <w:r>
        <w:rPr>
          <w:rFonts w:ascii="Times New Roman" w:hAnsi="Times New Roman" w:eastAsia="宋体"/>
          <w:sz w:val="24"/>
        </w:rPr>
        <w:t>平面布置以“水域安全、陆域顺畅、工艺连续、结构可实施”为原则。水域布置需满足船舶靠离泊、回旋和航道通行要求；陆域布置需满足卸船、运输、堆存、查验、闸口和铁路换装要求；结构布置需保证沉箱或大圆筒分段与泊位线、轨道线和附属设施位置协调。</w:t>
      </w:r>
    </w:p>
    <w:p>
      <w:pPr>
        <w:spacing w:lineRule="auto" w:line="360" w:before="0" w:after="0"/>
        <w:ind w:firstLine="480"/>
      </w:pPr>
      <w:r>
        <w:rPr>
          <w:rFonts w:ascii="Times New Roman" w:hAnsi="Times New Roman" w:eastAsia="宋体"/>
          <w:sz w:val="24"/>
        </w:rPr>
        <w:t>集装箱码头布置不能只把堆场画成矩形区域。进口箱从船舶卸下后，需要经过岸桥、集卡、堆场、查验、提箱和疏港环节。若道路交叉点过多或堆场分区与闸口方向不一致，会使设备效率下降并放大交通冲突。</w:t>
      </w:r>
    </w:p>
    <w:p>
      <w:pPr>
        <w:spacing w:lineRule="auto" w:line="360" w:before="0" w:after="0"/>
        <w:ind w:firstLine="480"/>
      </w:pPr>
      <w:r>
        <w:rPr>
          <w:rFonts w:ascii="Times New Roman" w:hAnsi="Times New Roman" w:eastAsia="宋体"/>
          <w:sz w:val="24"/>
        </w:rPr>
        <w:t>同贝位同步装卸、岸桥与水平运输组织和堆场分区方式会影响前沿作业效率，相关研究表明装卸工艺与场地布置需要同步优化</w:t>
      </w:r>
      <w:r>
        <w:rPr>
          <w:rFonts w:ascii="Times New Roman" w:hAnsi="Times New Roman" w:eastAsia="宋体"/>
          <w:sz w:val="24"/>
          <w:vertAlign w:val="superscript"/>
        </w:rPr>
        <w:t>[10]</w:t>
      </w:r>
      <w:r>
        <w:rPr>
          <w:rFonts w:ascii="Times New Roman" w:hAnsi="Times New Roman" w:eastAsia="宋体"/>
          <w:sz w:val="24"/>
        </w:rPr>
        <w:t>。装卸资源分配模拟也说明，岸桥、集卡和场桥不能各自独立配置，而应按系统能力平衡进行组织</w:t>
      </w:r>
      <w:r>
        <w:rPr>
          <w:rFonts w:ascii="Times New Roman" w:hAnsi="Times New Roman" w:eastAsia="宋体"/>
          <w:sz w:val="24"/>
          <w:vertAlign w:val="superscript"/>
        </w:rPr>
        <w:t>[11]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平面布置对泊位前沿线作单独说明，是因为该项会传递到水域尺度、陆域面积和装卸效率。正文先交代取值口径，再说明它在图纸、计算或施工中的落点，使参数不是停留在资料摘录层面。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针对前沿作业带，本设计采用先定尺度、再核算能力、最后回到图纸表达的写法。这样处理后，审阅时可以直接看到该项与水域尺度、陆域面积和装卸效率之间的对应关系。</w:t>
      </w:r>
    </w:p>
    <w:p>
      <w:pPr>
        <w:spacing w:lineRule="auto" w:line="360" w:before="0" w:after="0"/>
        <w:ind w:firstLine="480"/>
      </w:pPr>
      <w:r>
        <w:rPr>
          <w:rFonts w:ascii="Times New Roman" w:hAnsi="Times New Roman" w:eastAsia="宋体"/>
          <w:sz w:val="24"/>
        </w:rPr>
        <w:t>堆场主通道取值偏小会压缩安全或施工余量，取值偏大又会增加工程量。本说明书按初步设计深度采用适中偏保守的控制值，并在后续章节保留施工图复核接口。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从现场实施看，闸口流线还会影响施工顺序、材料组织和质量检查。正文把这些影响写入相邻段落，避免图纸有尺寸而说明书缺少工程解释。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平面布置中的铁路装卸区同时具有设计和管理意义。它既是计算输入，也是后续概预算、施工组织和运行维护的判断依据，因此需要在正文中给出明确说明。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围绕冷藏箱区，本设计重点核对三件事：是否满足规范和船型需求，是否能在A1图纸中清楚表达，是否会改变水域尺度、陆域面积和装卸效率的工程量或安全储备。</w:t>
      </w:r>
    </w:p>
    <w:p>
      <w:pPr>
        <w:spacing w:lineRule="auto" w:line="360" w:before="0" w:after="0"/>
        <w:ind w:firstLine="480"/>
      </w:pPr>
      <w:r>
        <w:rPr>
          <w:rFonts w:ascii="Times New Roman" w:hAnsi="Times New Roman" w:eastAsia="宋体"/>
          <w:sz w:val="24"/>
        </w:rPr>
        <w:t>若后续详勘或施工条件发生变化，危险品箱区是需要优先复核的项目之一。本阶段先把采用值、影响范围和复核方向写清楚，便于施工图阶段继续深化。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空箱区的说明与水域尺度、陆域面积和装卸效率相互衔接。正文采用工程语言解释其作用，而不把它写成泛泛的背景材料，从而压缩自然状况篇幅并提高设计章节比重。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平面布置对查验区作单独说明，是因为该项会传递到水域尺度、陆域面积和装卸效率。正文先交代取值口径，再说明它在图纸、计算或施工中的落点，使参数不是停留在资料摘录层面。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针对维修消防通道，本设计采用先定尺度、再核算能力、最后回到图纸表达的写法。这样处理后，审阅时可以直接看到该项与水域尺度、陆域面积和装卸效率之间的对应关系。</w:t>
      </w:r>
    </w:p>
    <w:p>
      <w:pPr>
        <w:pStyle w:val="2"/>
        <w:jc w:val="left"/>
      </w:pPr>
      <w:r>
        <w:rPr>
          <w:rFonts w:ascii="Times New Roman" w:hAnsi="Times New Roman" w:eastAsia="宋体"/>
          <w:b/>
          <w:sz w:val="24"/>
        </w:rPr>
        <w:t xml:space="preserve"> 水域布置计算</w:t>
      </w:r>
    </w:p>
    <w:p>
      <w:pPr>
        <w:spacing w:lineRule="auto" w:line="360" w:before="0" w:after="0"/>
        <w:ind w:firstLine="480"/>
      </w:pPr>
      <w:r>
        <w:rPr>
          <w:rFonts w:ascii="Times New Roman" w:hAnsi="Times New Roman" w:eastAsia="宋体"/>
          <w:sz w:val="24"/>
        </w:rPr>
        <w:t>码头前沿线按顺岸式布置，泊位长度取300m。该长度大于设计船型总长241m，并为缆绳布置、护舷分布、船舶靠泊偏差和施工分段留出余量。</w:t>
      </w:r>
    </w:p>
    <w:p>
      <w:pPr>
        <w:tabs>
          <w:tab w:pos="4100" w:val="center"/>
          <w:tab w:pos="8200" w:val="right"/>
        </w:tabs>
        <w:spacing w:lineRule="auto" w:line="360" w:before="0" w:after="0"/>
        <w:jc w:val="left"/>
      </w:pPr>
      <w:r>
        <w:tab/>
      </w:r>
      <m:oMath>
        <m:sSub>
          <m:e>
            <m:r>
              <m:t>L</m:t>
            </m:r>
          </m:e>
          <m:sub>
            <m:r>
              <m:t>b</m:t>
            </m:r>
          </m:sub>
        </m:sSub>
        <m:r>
          <m:rPr>
            <m:sty m:val="p"/>
          </m:rPr>
          <m:t>=</m:t>
        </m:r>
        <m:sSub>
          <m:e>
            <m:r>
              <m:t>L</m:t>
            </m:r>
          </m:e>
          <m:sub>
            <m:r>
              <m:t>s</m:t>
            </m:r>
          </m:sub>
        </m:sSub>
        <m:r>
          <m:rPr>
            <m:sty m:val="p"/>
          </m:rPr>
          <m:t>+</m:t>
        </m:r>
        <m:r>
          <m:t>2</m:t>
        </m:r>
        <m:r>
          <m:t>d</m:t>
        </m:r>
      </m:oMath>
      <w:r>
        <w:rPr>
          <w:rFonts w:ascii="Times New Roman" w:hAnsi="Times New Roman" w:eastAsia="宋体"/>
          <w:sz w:val="24"/>
        </w:rPr>
        <w:tab/>
        <w:t>（3.1）</w:t>
      </w:r>
    </w:p>
    <w:p>
      <w:pPr>
        <w:spacing w:lineRule="auto" w:line="360" w:before="0" w:after="0"/>
        <w:ind w:firstLine="480"/>
      </w:pPr>
      <w:r>
        <w:rPr>
          <w:rFonts w:ascii="Times New Roman" w:hAnsi="Times New Roman" w:eastAsia="宋体"/>
          <w:sz w:val="24"/>
        </w:rPr>
        <w:t>式中，Lb为泊位长度，Ls为设计船长，d为端部安全富裕长度。按Ls=241m、两端安全富裕量约25~30m估算，泊位长度取300m较为合理。</w:t>
      </w:r>
    </w:p>
    <w:p>
      <w:pPr>
        <w:tabs>
          <w:tab w:pos="4100" w:val="center"/>
          <w:tab w:pos="8200" w:val="right"/>
        </w:tabs>
        <w:spacing w:lineRule="auto" w:line="360" w:before="0" w:after="0"/>
        <w:jc w:val="left"/>
      </w:pPr>
      <w:r>
        <w:tab/>
      </w:r>
      <m:oMath>
        <m:sSub>
          <m:e>
            <m:r>
              <m:t>B</m:t>
            </m:r>
          </m:e>
          <m:sub>
            <m:r>
              <m:t>b</m:t>
            </m:r>
          </m:sub>
        </m:sSub>
        <m:r>
          <m:rPr>
            <m:sty m:val="p"/>
          </m:rPr>
          <m:t>=</m:t>
        </m:r>
        <m:r>
          <m:t>2</m:t>
        </m:r>
        <m:sSub>
          <m:e>
            <m:r>
              <m:t>B</m:t>
            </m:r>
          </m:e>
          <m:sub>
            <m:r>
              <m:t>s</m:t>
            </m:r>
          </m:sub>
        </m:sSub>
      </m:oMath>
      <w:r>
        <w:rPr>
          <w:rFonts w:ascii="Times New Roman" w:hAnsi="Times New Roman" w:eastAsia="宋体"/>
          <w:sz w:val="24"/>
        </w:rPr>
        <w:tab/>
        <w:t>（3.2）</w:t>
      </w:r>
    </w:p>
    <w:p>
      <w:pPr>
        <w:spacing w:lineRule="auto" w:line="360" w:before="0" w:after="0"/>
        <w:ind w:firstLine="480"/>
      </w:pPr>
      <w:r>
        <w:rPr>
          <w:rFonts w:ascii="Times New Roman" w:hAnsi="Times New Roman" w:eastAsia="宋体"/>
          <w:sz w:val="24"/>
        </w:rPr>
        <w:t>式中，Bb为停泊水域宽度，Bs为设计船宽。设计船宽约32.3m，停泊水域宽度取65m，能够满足靠泊船舶、拖轮辅助和前沿安全水域要求。</w:t>
      </w:r>
    </w:p>
    <w:p>
      <w:pPr>
        <w:tabs>
          <w:tab w:pos="4100" w:val="center"/>
          <w:tab w:pos="8200" w:val="right"/>
        </w:tabs>
        <w:spacing w:lineRule="auto" w:line="360" w:before="0" w:after="0"/>
        <w:jc w:val="left"/>
      </w:pPr>
      <w:r>
        <w:tab/>
      </w:r>
      <m:oMath>
        <m:sSub>
          <m:e>
            <m:r>
              <m:t>D</m:t>
            </m:r>
          </m:e>
          <m:sub>
            <m:r>
              <m:t>t</m:t>
            </m:r>
          </m:sub>
        </m:sSub>
        <m:r>
          <m:rPr>
            <m:sty m:val="p"/>
          </m:rPr>
          <m:t>=</m:t>
        </m:r>
        <m:r>
          <m:t>2</m:t>
        </m:r>
        <m:sSub>
          <m:e>
            <m:r>
              <m:t>L</m:t>
            </m:r>
          </m:e>
          <m:sub>
            <m:r>
              <m:t>s</m:t>
            </m:r>
          </m:sub>
        </m:sSub>
      </m:oMath>
      <w:r>
        <w:rPr>
          <w:rFonts w:ascii="Times New Roman" w:hAnsi="Times New Roman" w:eastAsia="宋体"/>
          <w:sz w:val="24"/>
        </w:rPr>
        <w:tab/>
        <w:t>（3.3）</w:t>
      </w:r>
    </w:p>
    <w:p>
      <w:pPr>
        <w:spacing w:lineRule="auto" w:line="360" w:before="0" w:after="0"/>
        <w:ind w:firstLine="480"/>
      </w:pPr>
      <w:r>
        <w:rPr>
          <w:rFonts w:ascii="Times New Roman" w:hAnsi="Times New Roman" w:eastAsia="宋体"/>
          <w:sz w:val="24"/>
        </w:rPr>
        <w:t>按2倍船长控制时，回旋水域特征尺度约482m。本设计结合港池条件取500m×400m椭圆形回旋水域，使船舶在拖轮辅助下具备掉头和调头余量。</w:t>
      </w:r>
    </w:p>
    <w:p>
      <w:pPr>
        <w:keepNext/>
        <w:spacing w:lineRule="auto" w:line="300" w:before="0" w:after="120"/>
        <w:jc w:val="center"/>
      </w:pPr>
      <w:r>
        <w:rPr>
          <w:rFonts w:ascii="Times New Roman" w:hAnsi="Times New Roman" w:eastAsia="宋体"/>
          <w:b w:val="0"/>
          <w:sz w:val="20"/>
        </w:rPr>
        <w:t>表3-1 水域布置尺度汇总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024"/>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计算依据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采用值</w:t>
            </w:r>
          </w:p>
        </w:tc>
      </w:tr>
      <w:tr>
        <w:tc>
          <w:tcPr>
            <w:tcW w:type="dxa" w:w="2160"/>
            <w:vAlign w:val="center"/>
          </w:tcPr>
          <w:p>
            <w:pPr>
              <w:spacing w:lineRule="auto" w:line="276"/>
              <w:jc w:val="center"/>
            </w:pPr>
            <w:r>
              <w:rPr>
                <w:rFonts w:ascii="Times New Roman" w:hAnsi="Times New Roman" w:eastAsia="宋体"/>
                <w:b w:val="0"/>
                <w:sz w:val="18"/>
              </w:rPr>
              <w:t>泊位长度</w:t>
            </w:r>
          </w:p>
        </w:tc>
        <w:tc>
          <w:tcPr>
            <w:tcW w:type="dxa" w:w="3024"/>
            <w:vAlign w:val="center"/>
          </w:tcPr>
          <w:p>
            <w:pPr>
              <w:spacing w:lineRule="auto" w:line="276"/>
              <w:jc w:val="center"/>
            </w:pPr>
            <w:r>
              <w:rPr>
                <w:rFonts w:ascii="Times New Roman" w:hAnsi="Times New Roman" w:eastAsia="宋体"/>
                <w:b w:val="0"/>
                <w:sz w:val="18"/>
              </w:rPr>
              <w:t>船长241m+两端富裕</w:t>
            </w:r>
          </w:p>
        </w:tc>
        <w:tc>
          <w:tcPr>
            <w:tcW w:type="dxa" w:w="3168"/>
            <w:vAlign w:val="center"/>
          </w:tcPr>
          <w:p>
            <w:pPr>
              <w:spacing w:lineRule="auto" w:line="276"/>
              <w:jc w:val="center"/>
            </w:pPr>
            <w:r>
              <w:rPr>
                <w:rFonts w:ascii="Times New Roman" w:hAnsi="Times New Roman" w:eastAsia="宋体"/>
                <w:b w:val="0"/>
                <w:sz w:val="18"/>
              </w:rPr>
              <w:t>300m</w:t>
            </w:r>
          </w:p>
        </w:tc>
      </w:tr>
      <w:tr>
        <w:tc>
          <w:tcPr>
            <w:tcW w:type="dxa" w:w="2160"/>
            <w:vAlign w:val="center"/>
          </w:tcPr>
          <w:p>
            <w:pPr>
              <w:spacing w:lineRule="auto" w:line="276"/>
              <w:jc w:val="center"/>
            </w:pPr>
            <w:r>
              <w:rPr>
                <w:rFonts w:ascii="Times New Roman" w:hAnsi="Times New Roman" w:eastAsia="宋体"/>
                <w:b w:val="0"/>
                <w:sz w:val="18"/>
              </w:rPr>
              <w:t>前沿水深</w:t>
            </w:r>
          </w:p>
        </w:tc>
        <w:tc>
          <w:tcPr>
            <w:tcW w:type="dxa" w:w="3024"/>
            <w:vAlign w:val="center"/>
          </w:tcPr>
          <w:p>
            <w:pPr>
              <w:spacing w:lineRule="auto" w:line="276"/>
              <w:jc w:val="center"/>
            </w:pPr>
            <w:r>
              <w:rPr>
                <w:rFonts w:ascii="Times New Roman" w:hAnsi="Times New Roman" w:eastAsia="宋体"/>
                <w:b w:val="0"/>
                <w:sz w:val="18"/>
              </w:rPr>
              <w:t>吃水12.0m+富裕水深</w:t>
            </w:r>
          </w:p>
        </w:tc>
        <w:tc>
          <w:tcPr>
            <w:tcW w:type="dxa" w:w="3168"/>
            <w:vAlign w:val="center"/>
          </w:tcPr>
          <w:p>
            <w:pPr>
              <w:spacing w:lineRule="auto" w:line="276"/>
              <w:jc w:val="center"/>
            </w:pPr>
            <w:r>
              <w:rPr>
                <w:rFonts w:ascii="Times New Roman" w:hAnsi="Times New Roman" w:eastAsia="宋体"/>
                <w:b w:val="0"/>
                <w:sz w:val="18"/>
              </w:rPr>
              <w:t>13.50m</w:t>
            </w:r>
          </w:p>
        </w:tc>
      </w:tr>
      <w:tr>
        <w:tc>
          <w:tcPr>
            <w:tcW w:type="dxa" w:w="2160"/>
            <w:vAlign w:val="center"/>
          </w:tcPr>
          <w:p>
            <w:pPr>
              <w:spacing w:lineRule="auto" w:line="276"/>
              <w:jc w:val="center"/>
            </w:pPr>
            <w:r>
              <w:rPr>
                <w:rFonts w:ascii="Times New Roman" w:hAnsi="Times New Roman" w:eastAsia="宋体"/>
                <w:b w:val="0"/>
                <w:sz w:val="18"/>
              </w:rPr>
              <w:t>停泊水域宽度</w:t>
            </w:r>
          </w:p>
        </w:tc>
        <w:tc>
          <w:tcPr>
            <w:tcW w:type="dxa" w:w="3024"/>
            <w:vAlign w:val="center"/>
          </w:tcPr>
          <w:p>
            <w:pPr>
              <w:spacing w:lineRule="auto" w:line="276"/>
              <w:jc w:val="center"/>
            </w:pPr>
            <w:r>
              <w:rPr>
                <w:rFonts w:ascii="Times New Roman" w:hAnsi="Times New Roman" w:eastAsia="宋体"/>
                <w:b w:val="0"/>
                <w:sz w:val="18"/>
              </w:rPr>
              <w:t>约2倍船宽</w:t>
            </w:r>
          </w:p>
        </w:tc>
        <w:tc>
          <w:tcPr>
            <w:tcW w:type="dxa" w:w="3168"/>
            <w:vAlign w:val="center"/>
          </w:tcPr>
          <w:p>
            <w:pPr>
              <w:spacing w:lineRule="auto" w:line="276"/>
              <w:jc w:val="center"/>
            </w:pPr>
            <w:r>
              <w:rPr>
                <w:rFonts w:ascii="Times New Roman" w:hAnsi="Times New Roman" w:eastAsia="宋体"/>
                <w:b w:val="0"/>
                <w:sz w:val="18"/>
              </w:rPr>
              <w:t>65m</w:t>
            </w:r>
          </w:p>
        </w:tc>
      </w:tr>
      <w:tr>
        <w:tc>
          <w:tcPr>
            <w:tcW w:type="dxa" w:w="2160"/>
            <w:vAlign w:val="center"/>
          </w:tcPr>
          <w:p>
            <w:pPr>
              <w:spacing w:lineRule="auto" w:line="276"/>
              <w:jc w:val="center"/>
            </w:pPr>
            <w:r>
              <w:rPr>
                <w:rFonts w:ascii="Times New Roman" w:hAnsi="Times New Roman" w:eastAsia="宋体"/>
                <w:b w:val="0"/>
                <w:sz w:val="18"/>
              </w:rPr>
              <w:t>回旋水域</w:t>
            </w:r>
          </w:p>
        </w:tc>
        <w:tc>
          <w:tcPr>
            <w:tcW w:type="dxa" w:w="3024"/>
            <w:vAlign w:val="center"/>
          </w:tcPr>
          <w:p>
            <w:pPr>
              <w:spacing w:lineRule="auto" w:line="276"/>
              <w:jc w:val="center"/>
            </w:pPr>
            <w:r>
              <w:rPr>
                <w:rFonts w:ascii="Times New Roman" w:hAnsi="Times New Roman" w:eastAsia="宋体"/>
                <w:b w:val="0"/>
                <w:sz w:val="18"/>
              </w:rPr>
              <w:t>约2倍船长</w:t>
            </w:r>
          </w:p>
        </w:tc>
        <w:tc>
          <w:tcPr>
            <w:tcW w:type="dxa" w:w="3168"/>
            <w:vAlign w:val="center"/>
          </w:tcPr>
          <w:p>
            <w:pPr>
              <w:spacing w:lineRule="auto" w:line="276"/>
              <w:jc w:val="center"/>
            </w:pPr>
            <w:r>
              <w:rPr>
                <w:rFonts w:ascii="Times New Roman" w:hAnsi="Times New Roman" w:eastAsia="宋体"/>
                <w:b w:val="0"/>
                <w:sz w:val="18"/>
              </w:rPr>
              <w:t>500m×400m</w:t>
            </w:r>
          </w:p>
        </w:tc>
      </w:tr>
      <w:tr>
        <w:tc>
          <w:tcPr>
            <w:tcW w:type="dxa" w:w="2160"/>
            <w:vAlign w:val="center"/>
          </w:tcPr>
          <w:p>
            <w:pPr>
              <w:spacing w:lineRule="auto" w:line="276"/>
              <w:jc w:val="center"/>
            </w:pPr>
            <w:r>
              <w:rPr>
                <w:rFonts w:ascii="Times New Roman" w:hAnsi="Times New Roman" w:eastAsia="宋体"/>
                <w:b w:val="0"/>
                <w:sz w:val="18"/>
              </w:rPr>
              <w:t>航道有效宽度</w:t>
            </w:r>
          </w:p>
        </w:tc>
        <w:tc>
          <w:tcPr>
            <w:tcW w:type="dxa" w:w="3024"/>
            <w:vAlign w:val="center"/>
          </w:tcPr>
          <w:p>
            <w:pPr>
              <w:spacing w:lineRule="auto" w:line="276"/>
              <w:jc w:val="center"/>
            </w:pPr>
            <w:r>
              <w:rPr>
                <w:rFonts w:ascii="Times New Roman" w:hAnsi="Times New Roman" w:eastAsia="宋体"/>
                <w:b w:val="0"/>
                <w:sz w:val="18"/>
              </w:rPr>
              <w:t>船宽与通航安全余量</w:t>
            </w:r>
          </w:p>
        </w:tc>
        <w:tc>
          <w:tcPr>
            <w:tcW w:type="dxa" w:w="3168"/>
            <w:vAlign w:val="center"/>
          </w:tcPr>
          <w:p>
            <w:pPr>
              <w:spacing w:lineRule="auto" w:line="276"/>
              <w:jc w:val="center"/>
            </w:pPr>
            <w:r>
              <w:rPr>
                <w:rFonts w:ascii="Times New Roman" w:hAnsi="Times New Roman" w:eastAsia="宋体"/>
                <w:b w:val="0"/>
                <w:sz w:val="18"/>
              </w:rPr>
              <w:t>150m</w:t>
            </w:r>
          </w:p>
        </w:tc>
      </w:tr>
    </w:tbl>
    <w:p/>
    <w:p>
      <w:pPr>
        <w:spacing w:lineRule="auto" w:line="360" w:before="0" w:after="0"/>
        <w:ind w:firstLine="480"/>
      </w:pPr>
      <w:r>
        <w:rPr>
          <w:rFonts w:ascii="Times New Roman" w:hAnsi="Times New Roman" w:eastAsia="宋体"/>
          <w:sz w:val="24"/>
        </w:rPr>
        <w:t>水域布置计算对泊位长度安全余量作单独说明，是因为该项会传递到船舶靠泊和通航安全。正文先交代取值口径，再说明它在图纸、计算或施工中的落点，使参数不是停留在资料摘录层面。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针对前沿底高程，本设计采用先定尺度、再核算能力、最后回到图纸表达的写法。这样处理后，审阅时可以直接看到该项与船舶靠泊和通航安全之间的对应关系。</w:t>
      </w:r>
    </w:p>
    <w:p>
      <w:pPr>
        <w:spacing w:lineRule="auto" w:line="360" w:before="0" w:after="0"/>
        <w:ind w:firstLine="480"/>
      </w:pPr>
      <w:r>
        <w:rPr>
          <w:rFonts w:ascii="Times New Roman" w:hAnsi="Times New Roman" w:eastAsia="宋体"/>
          <w:sz w:val="24"/>
        </w:rPr>
        <w:t>航道有效宽度取值偏小会压缩安全或施工余量，取值偏大又会增加工程量。本说明书按初步设计深度采用适中偏保守的控制值，并在后续章节保留施工图复核接口。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从现场实施看，回旋水域椭圆长轴还会影响施工顺序、材料组织和质量检查。正文把这些影响写入相邻段落，避免图纸有尺寸而说明书缺少工程解释。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水域布置计算中的回旋水域短轴同时具有设计和管理意义。它既是计算输入，也是后续概预算、施工组织和运行维护的判断依据，因此需要在正文中给出明确说明。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围绕拖轮辅助空间，本设计重点核对三件事：是否满足规范和船型需求，是否能在A1图纸中清楚表达，是否会改变船舶靠泊和通航安全的工程量或安全储备。</w:t>
      </w:r>
    </w:p>
    <w:p>
      <w:pPr>
        <w:spacing w:lineRule="auto" w:line="360" w:before="0" w:after="0"/>
        <w:ind w:firstLine="480"/>
      </w:pPr>
      <w:r>
        <w:rPr>
          <w:rFonts w:ascii="Times New Roman" w:hAnsi="Times New Roman" w:eastAsia="宋体"/>
          <w:sz w:val="24"/>
        </w:rPr>
        <w:t>若后续详勘或施工条件发生变化，港池遮蔽条件是需要优先复核的项目之一。本阶段先把采用值、影响范围和复核方向写清楚，便于施工图阶段继续深化。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施工船作业水域的说明与船舶靠泊和通航安全相互衔接。正文采用工程语言解释其作用，而不把它写成泛泛的背景材料，从而压缩自然状况篇幅并提高设计章节比重。</w:t>
      </w:r>
    </w:p>
    <w:p>
      <w:pPr>
        <w:pStyle w:val="2"/>
        <w:jc w:val="left"/>
      </w:pPr>
      <w:r>
        <w:rPr>
          <w:rFonts w:ascii="Times New Roman" w:hAnsi="Times New Roman" w:eastAsia="宋体"/>
          <w:b/>
          <w:sz w:val="24"/>
        </w:rPr>
        <w:t xml:space="preserve"> 陆域布置与库场尺度计算</w:t>
      </w:r>
    </w:p>
    <w:p>
      <w:pPr>
        <w:spacing w:lineRule="auto" w:line="360" w:before="0" w:after="0"/>
        <w:ind w:firstLine="480"/>
      </w:pPr>
      <w:r>
        <w:rPr>
          <w:rFonts w:ascii="Times New Roman" w:hAnsi="Times New Roman" w:eastAsia="宋体"/>
          <w:sz w:val="24"/>
        </w:rPr>
        <w:t>陆域采用前沿作业带、重箱堆场、空箱堆场、冷藏箱区、危险品箱区、查验区、铁路装卸区、闸口和道路系统分区布置。堆场靠近前沿，闸口与外部道路衔接，铁路装卸区布置在后方侧向区域，以减少集卡与外集卡交叉。</w:t>
      </w:r>
    </w:p>
    <w:p>
      <w:pPr>
        <w:tabs>
          <w:tab w:pos="4100" w:val="center"/>
          <w:tab w:pos="8200" w:val="right"/>
        </w:tabs>
        <w:spacing w:lineRule="auto" w:line="360" w:before="0" w:after="0"/>
        <w:jc w:val="left"/>
      </w:pPr>
      <w:r>
        <w:tab/>
      </w:r>
      <m:oMath>
        <m:sSub>
          <m:e>
            <m:r>
              <m:t>N</m:t>
            </m:r>
          </m:e>
          <m:sub>
            <m:r>
              <m:t>y</m:t>
            </m:r>
          </m:sub>
        </m:sSub>
        <m:r>
          <m:rPr>
            <m:sty m:val="p"/>
          </m:rPr>
          <m:t>=</m:t>
        </m:r>
        <m:sSub>
          <m:e>
            <m:r>
              <m:t>Q</m:t>
            </m:r>
          </m:e>
          <m:sub>
            <m:r>
              <m:t>h</m:t>
            </m:r>
          </m:sub>
        </m:sSub>
        <m:sSub>
          <m:e>
            <m:r>
              <m:t>t</m:t>
            </m:r>
          </m:e>
          <m:sub>
            <m:r>
              <m:t>s</m:t>
            </m:r>
          </m:sub>
        </m:sSub>
        <m:r>
          <m:rPr>
            <m:sty m:val="p"/>
          </m:rPr>
          <m:t>/</m:t>
        </m:r>
        <m:r>
          <m:t>365</m:t>
        </m:r>
      </m:oMath>
      <w:r>
        <w:rPr>
          <w:rFonts w:ascii="Times New Roman" w:hAnsi="Times New Roman" w:eastAsia="宋体"/>
          <w:sz w:val="24"/>
        </w:rPr>
        <w:tab/>
        <w:t>（3.4）</w:t>
      </w:r>
    </w:p>
    <w:p>
      <w:pPr>
        <w:spacing w:lineRule="auto" w:line="360" w:before="0" w:after="0"/>
        <w:ind w:firstLine="480"/>
      </w:pPr>
      <w:r>
        <w:rPr>
          <w:rFonts w:ascii="Times New Roman" w:hAnsi="Times New Roman" w:eastAsia="宋体"/>
          <w:sz w:val="24"/>
        </w:rPr>
        <w:t>式中，Ny为平均在场箱量，Qh为年通过能力，ts为平均堆存时间。进口重箱堆存时间取5~7d时，平均在场箱量约6849~9589TEU。</w:t>
      </w:r>
    </w:p>
    <w:p>
      <w:pPr>
        <w:tabs>
          <w:tab w:pos="4100" w:val="center"/>
          <w:tab w:pos="8200" w:val="right"/>
        </w:tabs>
        <w:spacing w:lineRule="auto" w:line="360" w:before="0" w:after="0"/>
        <w:jc w:val="left"/>
      </w:pPr>
      <w:r>
        <w:tab/>
      </w:r>
      <m:oMath>
        <m:sSub>
          <m:e>
            <m:r>
              <m:t>N</m:t>
            </m:r>
          </m:e>
          <m:sub>
            <m:r>
              <m:t>c</m:t>
            </m:r>
          </m:sub>
        </m:sSub>
        <m:r>
          <m:rPr>
            <m:sty m:val="p"/>
          </m:rPr>
          <m:t>=</m:t>
        </m:r>
        <m:sSub>
          <m:e>
            <m:r>
              <m:t>A</m:t>
            </m:r>
          </m:e>
          <m:sub>
            <m:r>
              <m:t>y</m:t>
            </m:r>
          </m:sub>
        </m:sSub>
        <m:sSub>
          <m:e>
            <m:r>
              <m:t>n</m:t>
            </m:r>
          </m:e>
          <m:sub>
            <m:r>
              <m:t>h</m:t>
            </m:r>
          </m:sub>
        </m:sSub>
        <m:r>
          <m:t>η</m:t>
        </m:r>
        <m:r>
          <m:rPr>
            <m:sty m:val="p"/>
          </m:rPr>
          <m:t>/</m:t>
        </m:r>
        <m:sSub>
          <m:e>
            <m:r>
              <m:t>a</m:t>
            </m:r>
          </m:e>
          <m:sub>
            <m:r>
              <m:t>t</m:t>
            </m:r>
          </m:sub>
        </m:sSub>
      </m:oMath>
      <w:r>
        <w:rPr>
          <w:rFonts w:ascii="Times New Roman" w:hAnsi="Times New Roman" w:eastAsia="宋体"/>
          <w:sz w:val="24"/>
        </w:rPr>
        <w:tab/>
        <w:t>（3.5）</w:t>
      </w:r>
    </w:p>
    <w:p>
      <w:pPr>
        <w:spacing w:lineRule="auto" w:line="360" w:before="0" w:after="0"/>
        <w:ind w:firstLine="480"/>
      </w:pPr>
      <w:r>
        <w:rPr>
          <w:rFonts w:ascii="Times New Roman" w:hAnsi="Times New Roman" w:eastAsia="宋体"/>
          <w:sz w:val="24"/>
        </w:rPr>
        <w:t>式中，Nc为堆场容量，Ay为堆场面积，nh为平均堆高，η为面积利用系数，at为单TEU占地折算面积。该公式用于检查堆场面积、堆高和周转能力是否匹配。</w:t>
      </w:r>
    </w:p>
    <w:p>
      <w:pPr>
        <w:spacing w:lineRule="auto" w:line="360" w:before="0" w:after="0"/>
        <w:ind w:firstLine="480"/>
      </w:pPr>
      <w:r>
        <w:rPr>
          <w:rFonts w:ascii="Times New Roman" w:hAnsi="Times New Roman" w:eastAsia="宋体"/>
          <w:sz w:val="24"/>
        </w:rPr>
        <w:t>岸桥与集卡协同会影响前沿拥堵，岸桥-集卡协作优化研究指出，车辆调度和作业面组织是提升集装箱码头效率的重要因素</w:t>
      </w:r>
      <w:r>
        <w:rPr>
          <w:rFonts w:ascii="Times New Roman" w:hAnsi="Times New Roman" w:eastAsia="宋体"/>
          <w:sz w:val="24"/>
          <w:vertAlign w:val="superscript"/>
        </w:rPr>
        <w:t>[12]</w:t>
      </w:r>
      <w:r>
        <w:rPr>
          <w:rFonts w:ascii="Times New Roman" w:hAnsi="Times New Roman" w:eastAsia="宋体"/>
          <w:sz w:val="24"/>
        </w:rPr>
        <w:t>。集卡路径选择研究也表明，场内道路的单向组织和冲突点控制会影响车辆周转时间</w:t>
      </w:r>
      <w:r>
        <w:rPr>
          <w:rFonts w:ascii="Times New Roman" w:hAnsi="Times New Roman" w:eastAsia="宋体"/>
          <w:sz w:val="24"/>
          <w:vertAlign w:val="superscript"/>
        </w:rPr>
        <w:t>[13]</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表3-2 陆域功能分区与面积控制</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448"/>
        <w:gridCol w:w="388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分区</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主要功能</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布置要求</w:t>
            </w:r>
          </w:p>
        </w:tc>
      </w:tr>
      <w:tr>
        <w:tc>
          <w:tcPr>
            <w:tcW w:type="dxa" w:w="2016"/>
            <w:vAlign w:val="center"/>
          </w:tcPr>
          <w:p>
            <w:pPr>
              <w:spacing w:lineRule="auto" w:line="276"/>
              <w:jc w:val="center"/>
            </w:pPr>
            <w:r>
              <w:rPr>
                <w:rFonts w:ascii="Times New Roman" w:hAnsi="Times New Roman" w:eastAsia="宋体"/>
                <w:b w:val="0"/>
                <w:sz w:val="18"/>
              </w:rPr>
              <w:t>前沿作业带</w:t>
            </w:r>
          </w:p>
        </w:tc>
        <w:tc>
          <w:tcPr>
            <w:tcW w:type="dxa" w:w="2448"/>
            <w:vAlign w:val="center"/>
          </w:tcPr>
          <w:p>
            <w:pPr>
              <w:spacing w:lineRule="auto" w:line="276"/>
              <w:jc w:val="center"/>
            </w:pPr>
            <w:r>
              <w:rPr>
                <w:rFonts w:ascii="Times New Roman" w:hAnsi="Times New Roman" w:eastAsia="宋体"/>
                <w:b w:val="0"/>
                <w:sz w:val="18"/>
              </w:rPr>
              <w:t>岸桥作业、集卡通行、设备检修</w:t>
            </w:r>
          </w:p>
        </w:tc>
        <w:tc>
          <w:tcPr>
            <w:tcW w:type="dxa" w:w="3888"/>
            <w:vAlign w:val="center"/>
          </w:tcPr>
          <w:p>
            <w:pPr>
              <w:spacing w:lineRule="auto" w:line="276"/>
              <w:jc w:val="center"/>
            </w:pPr>
            <w:r>
              <w:rPr>
                <w:rFonts w:ascii="Times New Roman" w:hAnsi="Times New Roman" w:eastAsia="宋体"/>
                <w:b w:val="0"/>
                <w:sz w:val="18"/>
              </w:rPr>
              <w:t>与泊位线平行，保持连续宽度</w:t>
            </w:r>
          </w:p>
        </w:tc>
      </w:tr>
      <w:tr>
        <w:tc>
          <w:tcPr>
            <w:tcW w:type="dxa" w:w="2016"/>
            <w:vAlign w:val="center"/>
          </w:tcPr>
          <w:p>
            <w:pPr>
              <w:spacing w:lineRule="auto" w:line="276"/>
              <w:jc w:val="center"/>
            </w:pPr>
            <w:r>
              <w:rPr>
                <w:rFonts w:ascii="Times New Roman" w:hAnsi="Times New Roman" w:eastAsia="宋体"/>
                <w:b w:val="0"/>
                <w:sz w:val="18"/>
              </w:rPr>
              <w:t>重箱区</w:t>
            </w:r>
          </w:p>
        </w:tc>
        <w:tc>
          <w:tcPr>
            <w:tcW w:type="dxa" w:w="2448"/>
            <w:vAlign w:val="center"/>
          </w:tcPr>
          <w:p>
            <w:pPr>
              <w:spacing w:lineRule="auto" w:line="276"/>
              <w:jc w:val="center"/>
            </w:pPr>
            <w:r>
              <w:rPr>
                <w:rFonts w:ascii="Times New Roman" w:hAnsi="Times New Roman" w:eastAsia="宋体"/>
                <w:b w:val="0"/>
                <w:sz w:val="18"/>
              </w:rPr>
              <w:t>进口重箱堆存</w:t>
            </w:r>
          </w:p>
        </w:tc>
        <w:tc>
          <w:tcPr>
            <w:tcW w:type="dxa" w:w="3888"/>
            <w:vAlign w:val="center"/>
          </w:tcPr>
          <w:p>
            <w:pPr>
              <w:spacing w:lineRule="auto" w:line="276"/>
              <w:jc w:val="center"/>
            </w:pPr>
            <w:r>
              <w:rPr>
                <w:rFonts w:ascii="Times New Roman" w:hAnsi="Times New Roman" w:eastAsia="宋体"/>
                <w:b w:val="0"/>
                <w:sz w:val="18"/>
              </w:rPr>
              <w:t>靠近前沿和查验区</w:t>
            </w:r>
          </w:p>
        </w:tc>
      </w:tr>
      <w:tr>
        <w:tc>
          <w:tcPr>
            <w:tcW w:type="dxa" w:w="2016"/>
            <w:vAlign w:val="center"/>
          </w:tcPr>
          <w:p>
            <w:pPr>
              <w:spacing w:lineRule="auto" w:line="276"/>
              <w:jc w:val="center"/>
            </w:pPr>
            <w:r>
              <w:rPr>
                <w:rFonts w:ascii="Times New Roman" w:hAnsi="Times New Roman" w:eastAsia="宋体"/>
                <w:b w:val="0"/>
                <w:sz w:val="18"/>
              </w:rPr>
              <w:t>空箱区</w:t>
            </w:r>
          </w:p>
        </w:tc>
        <w:tc>
          <w:tcPr>
            <w:tcW w:type="dxa" w:w="2448"/>
            <w:vAlign w:val="center"/>
          </w:tcPr>
          <w:p>
            <w:pPr>
              <w:spacing w:lineRule="auto" w:line="276"/>
              <w:jc w:val="center"/>
            </w:pPr>
            <w:r>
              <w:rPr>
                <w:rFonts w:ascii="Times New Roman" w:hAnsi="Times New Roman" w:eastAsia="宋体"/>
                <w:b w:val="0"/>
                <w:sz w:val="18"/>
              </w:rPr>
              <w:t>空箱堆存和调箱</w:t>
            </w:r>
          </w:p>
        </w:tc>
        <w:tc>
          <w:tcPr>
            <w:tcW w:type="dxa" w:w="3888"/>
            <w:vAlign w:val="center"/>
          </w:tcPr>
          <w:p>
            <w:pPr>
              <w:spacing w:lineRule="auto" w:line="276"/>
              <w:jc w:val="center"/>
            </w:pPr>
            <w:r>
              <w:rPr>
                <w:rFonts w:ascii="Times New Roman" w:hAnsi="Times New Roman" w:eastAsia="宋体"/>
                <w:b w:val="0"/>
                <w:sz w:val="18"/>
              </w:rPr>
              <w:t>靠近维修和外运通道</w:t>
            </w:r>
          </w:p>
        </w:tc>
      </w:tr>
      <w:tr>
        <w:tc>
          <w:tcPr>
            <w:tcW w:type="dxa" w:w="2016"/>
            <w:vAlign w:val="center"/>
          </w:tcPr>
          <w:p>
            <w:pPr>
              <w:spacing w:lineRule="auto" w:line="276"/>
              <w:jc w:val="center"/>
            </w:pPr>
            <w:r>
              <w:rPr>
                <w:rFonts w:ascii="Times New Roman" w:hAnsi="Times New Roman" w:eastAsia="宋体"/>
                <w:b w:val="0"/>
                <w:sz w:val="18"/>
              </w:rPr>
              <w:t>冷藏箱区</w:t>
            </w:r>
          </w:p>
        </w:tc>
        <w:tc>
          <w:tcPr>
            <w:tcW w:type="dxa" w:w="2448"/>
            <w:vAlign w:val="center"/>
          </w:tcPr>
          <w:p>
            <w:pPr>
              <w:spacing w:lineRule="auto" w:line="276"/>
              <w:jc w:val="center"/>
            </w:pPr>
            <w:r>
              <w:rPr>
                <w:rFonts w:ascii="Times New Roman" w:hAnsi="Times New Roman" w:eastAsia="宋体"/>
                <w:b w:val="0"/>
                <w:sz w:val="18"/>
              </w:rPr>
              <w:t>冷藏箱供电与监控</w:t>
            </w:r>
          </w:p>
        </w:tc>
        <w:tc>
          <w:tcPr>
            <w:tcW w:type="dxa" w:w="3888"/>
            <w:vAlign w:val="center"/>
          </w:tcPr>
          <w:p>
            <w:pPr>
              <w:spacing w:lineRule="auto" w:line="276"/>
              <w:jc w:val="center"/>
            </w:pPr>
            <w:r>
              <w:rPr>
                <w:rFonts w:ascii="Times New Roman" w:hAnsi="Times New Roman" w:eastAsia="宋体"/>
                <w:b w:val="0"/>
                <w:sz w:val="18"/>
              </w:rPr>
              <w:t>靠近电源和巡检通道</w:t>
            </w:r>
          </w:p>
        </w:tc>
      </w:tr>
      <w:tr>
        <w:tc>
          <w:tcPr>
            <w:tcW w:type="dxa" w:w="2016"/>
            <w:vAlign w:val="center"/>
          </w:tcPr>
          <w:p>
            <w:pPr>
              <w:spacing w:lineRule="auto" w:line="276"/>
              <w:jc w:val="center"/>
            </w:pPr>
            <w:r>
              <w:rPr>
                <w:rFonts w:ascii="Times New Roman" w:hAnsi="Times New Roman" w:eastAsia="宋体"/>
                <w:b w:val="0"/>
                <w:sz w:val="18"/>
              </w:rPr>
              <w:t>危险品箱区</w:t>
            </w:r>
          </w:p>
        </w:tc>
        <w:tc>
          <w:tcPr>
            <w:tcW w:type="dxa" w:w="2448"/>
            <w:vAlign w:val="center"/>
          </w:tcPr>
          <w:p>
            <w:pPr>
              <w:spacing w:lineRule="auto" w:line="276"/>
              <w:jc w:val="center"/>
            </w:pPr>
            <w:r>
              <w:rPr>
                <w:rFonts w:ascii="Times New Roman" w:hAnsi="Times New Roman" w:eastAsia="宋体"/>
                <w:b w:val="0"/>
                <w:sz w:val="18"/>
              </w:rPr>
              <w:t>危险品箱临时堆存</w:t>
            </w:r>
          </w:p>
        </w:tc>
        <w:tc>
          <w:tcPr>
            <w:tcW w:type="dxa" w:w="3888"/>
            <w:vAlign w:val="center"/>
          </w:tcPr>
          <w:p>
            <w:pPr>
              <w:spacing w:lineRule="auto" w:line="276"/>
              <w:jc w:val="center"/>
            </w:pPr>
            <w:r>
              <w:rPr>
                <w:rFonts w:ascii="Times New Roman" w:hAnsi="Times New Roman" w:eastAsia="宋体"/>
                <w:b w:val="0"/>
                <w:sz w:val="18"/>
              </w:rPr>
              <w:t>独立隔离并设置消防通道</w:t>
            </w:r>
          </w:p>
        </w:tc>
      </w:tr>
      <w:tr>
        <w:tc>
          <w:tcPr>
            <w:tcW w:type="dxa" w:w="2016"/>
            <w:vAlign w:val="center"/>
          </w:tcPr>
          <w:p>
            <w:pPr>
              <w:spacing w:lineRule="auto" w:line="276"/>
              <w:jc w:val="center"/>
            </w:pPr>
            <w:r>
              <w:rPr>
                <w:rFonts w:ascii="Times New Roman" w:hAnsi="Times New Roman" w:eastAsia="宋体"/>
                <w:b w:val="0"/>
                <w:sz w:val="18"/>
              </w:rPr>
              <w:t>铁路装卸区</w:t>
            </w:r>
          </w:p>
        </w:tc>
        <w:tc>
          <w:tcPr>
            <w:tcW w:type="dxa" w:w="2448"/>
            <w:vAlign w:val="center"/>
          </w:tcPr>
          <w:p>
            <w:pPr>
              <w:spacing w:lineRule="auto" w:line="276"/>
              <w:jc w:val="center"/>
            </w:pPr>
            <w:r>
              <w:rPr>
                <w:rFonts w:ascii="Times New Roman" w:hAnsi="Times New Roman" w:eastAsia="宋体"/>
                <w:b w:val="0"/>
                <w:sz w:val="18"/>
              </w:rPr>
              <w:t>铁海联运换装</w:t>
            </w:r>
          </w:p>
        </w:tc>
        <w:tc>
          <w:tcPr>
            <w:tcW w:type="dxa" w:w="3888"/>
            <w:vAlign w:val="center"/>
          </w:tcPr>
          <w:p>
            <w:pPr>
              <w:spacing w:lineRule="auto" w:line="276"/>
              <w:jc w:val="center"/>
            </w:pPr>
            <w:r>
              <w:rPr>
                <w:rFonts w:ascii="Times New Roman" w:hAnsi="Times New Roman" w:eastAsia="宋体"/>
                <w:b w:val="0"/>
                <w:sz w:val="18"/>
              </w:rPr>
              <w:t>与后方铁路装卸线衔接</w:t>
            </w:r>
          </w:p>
        </w:tc>
      </w:tr>
      <w:tr>
        <w:tc>
          <w:tcPr>
            <w:tcW w:type="dxa" w:w="2016"/>
            <w:vAlign w:val="center"/>
          </w:tcPr>
          <w:p>
            <w:pPr>
              <w:spacing w:lineRule="auto" w:line="276"/>
              <w:jc w:val="center"/>
            </w:pPr>
            <w:r>
              <w:rPr>
                <w:rFonts w:ascii="Times New Roman" w:hAnsi="Times New Roman" w:eastAsia="宋体"/>
                <w:b w:val="0"/>
                <w:sz w:val="18"/>
              </w:rPr>
              <w:t>闸口区</w:t>
            </w:r>
          </w:p>
        </w:tc>
        <w:tc>
          <w:tcPr>
            <w:tcW w:type="dxa" w:w="2448"/>
            <w:vAlign w:val="center"/>
          </w:tcPr>
          <w:p>
            <w:pPr>
              <w:spacing w:lineRule="auto" w:line="276"/>
              <w:jc w:val="center"/>
            </w:pPr>
            <w:r>
              <w:rPr>
                <w:rFonts w:ascii="Times New Roman" w:hAnsi="Times New Roman" w:eastAsia="宋体"/>
                <w:b w:val="0"/>
                <w:sz w:val="18"/>
              </w:rPr>
              <w:t>车辆进出和单证核验</w:t>
            </w:r>
          </w:p>
        </w:tc>
        <w:tc>
          <w:tcPr>
            <w:tcW w:type="dxa" w:w="3888"/>
            <w:vAlign w:val="center"/>
          </w:tcPr>
          <w:p>
            <w:pPr>
              <w:spacing w:lineRule="auto" w:line="276"/>
              <w:jc w:val="center"/>
            </w:pPr>
            <w:r>
              <w:rPr>
                <w:rFonts w:ascii="Times New Roman" w:hAnsi="Times New Roman" w:eastAsia="宋体"/>
                <w:b w:val="0"/>
                <w:sz w:val="18"/>
              </w:rPr>
              <w:t>与外部道路顺接，减少回流</w:t>
            </w:r>
          </w:p>
        </w:tc>
      </w:tr>
    </w:tbl>
    <w:p/>
    <w:p>
      <w:pPr>
        <w:spacing w:lineRule="auto" w:line="360" w:before="0" w:after="0"/>
        <w:ind w:firstLine="480"/>
      </w:pPr>
      <w:r>
        <w:rPr>
          <w:rFonts w:ascii="Times New Roman" w:hAnsi="Times New Roman" w:eastAsia="宋体"/>
          <w:sz w:val="24"/>
        </w:rPr>
        <w:t>库场尺度计算对重箱平均堆存期作单独说明，是因为该项会传递到堆场容量和车辆周转效率。正文先交代取值口径，再说明它在图纸、计算或施工中的落点，使参数不是停留在资料摘录层面。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针对空箱周转期，本设计采用先定尺度、再核算能力、最后回到图纸表达的写法。这样处理后，审阅时可以直接看到该项与堆场容量和车辆周转效率之间的对应关系。</w:t>
      </w:r>
    </w:p>
    <w:p>
      <w:pPr>
        <w:spacing w:lineRule="auto" w:line="360" w:before="0" w:after="0"/>
        <w:ind w:firstLine="480"/>
      </w:pPr>
      <w:r>
        <w:rPr>
          <w:rFonts w:ascii="Times New Roman" w:hAnsi="Times New Roman" w:eastAsia="宋体"/>
          <w:sz w:val="24"/>
        </w:rPr>
        <w:t>冷藏箱插座比例取值偏小会压缩安全或施工余量，取值偏大又会增加工程量。本说明书按初步设计深度采用适中偏保守的控制值，并在后续章节保留施工图复核接口。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从现场实施看，危险品箱隔离距离还会影响施工顺序、材料组织和质量检查。正文把这些影响写入相邻段落，避免图纸有尺寸而说明书缺少工程解释。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库场尺度计算中的RTG跨距同时具有设计和管理意义。它既是计算输入，也是后续概预算、施工组织和运行维护的判断依据，因此需要在正文中给出明确说明。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围绕主干道宽度，本设计重点核对三件事：是否满足规范和船型需求，是否能在A1图纸中清楚表达，是否会改变堆场容量和车辆周转效率的工程量或安全储备。</w:t>
      </w:r>
    </w:p>
    <w:p>
      <w:pPr>
        <w:spacing w:lineRule="auto" w:line="360" w:before="0" w:after="0"/>
        <w:ind w:firstLine="480"/>
      </w:pPr>
      <w:r>
        <w:rPr>
          <w:rFonts w:ascii="Times New Roman" w:hAnsi="Times New Roman" w:eastAsia="宋体"/>
          <w:sz w:val="24"/>
        </w:rPr>
        <w:t>若后续详勘或施工条件发生变化，集卡会车宽度是需要优先复核的项目之一。本阶段先把采用值、影响范围和复核方向写清楚，便于施工图阶段继续深化。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铁路装卸线长度的说明与堆场容量和车辆周转效率相互衔接。正文采用工程语言解释其作用，而不把它写成泛泛的背景材料，从而压缩自然状况篇幅并提高设计章节比重。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库场尺度计算对闸口车道数作单独说明，是因为该项会传递到堆场容量和车辆周转效率。正文先交代取值口径，再说明它在图纸、计算或施工中的落点，使参数不是停留在资料摘录层面。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针对查验平台面积，本设计采用先定尺度、再核算能力、最后回到图纸表达的写法。这样处理后，审阅时可以直接看到该项与堆场容量和车辆周转效率之间的对应关系。</w:t>
      </w:r>
    </w:p>
    <w:p>
      <w:pPr>
        <w:keepNext/>
        <w:keepLines/>
        <w:spacing w:before="120" w:after="0"/>
        <w:jc w:val="center"/>
      </w:pPr>
      <w:r>
        <w:drawing>
          <wp:inline xmlns:a="http://schemas.openxmlformats.org/drawingml/2006/main" xmlns:pic="http://schemas.openxmlformats.org/drawingml/2006/picture">
            <wp:extent cx="4297680" cy="5399649"/>
            <wp:docPr id="3" name="Picture 3"/>
            <wp:cNvGraphicFramePr>
              <a:graphicFrameLocks noChangeAspect="1"/>
            </wp:cNvGraphicFramePr>
            <a:graphic>
              <a:graphicData uri="http://schemas.openxmlformats.org/drawingml/2006/picture">
                <pic:pic>
                  <pic:nvPicPr>
                    <pic:cNvPr id="0" name="fig3-2-yard-functional-zone-cad.png"/>
                    <pic:cNvPicPr/>
                  </pic:nvPicPr>
                  <pic:blipFill>
                    <a:blip r:embed="rId32"/>
                    <a:stretch>
                      <a:fillRect/>
                    </a:stretch>
                  </pic:blipFill>
                  <pic:spPr>
                    <a:xfrm>
                      <a:off x="0" y="0"/>
                      <a:ext cx="4297680" cy="5399649"/>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图3-1 堆场功能分区局部CAD图</w:t>
      </w:r>
    </w:p>
    <w:p>
      <w:pPr>
        <w:spacing w:lineRule="auto" w:line="360" w:before="0" w:after="0"/>
        <w:ind w:firstLine="480"/>
      </w:pPr>
      <w:r>
        <w:rPr>
          <w:rFonts w:ascii="Times New Roman" w:hAnsi="Times New Roman" w:eastAsia="宋体"/>
          <w:sz w:val="24"/>
        </w:rPr>
        <w:t>该局部图把总平面图中的堆场主体区域单独放大，便于说明重箱区、空箱区、冷藏箱区、危险品箱区、查验区和预留发展区之间的相对位置。堆场内部按纵向箱区组织，箱区之间保留横向通道，既满足RTG跨内作业，也给集卡转向、消防通道和检修通道留出空间。</w:t>
      </w:r>
    </w:p>
    <w:p>
      <w:pPr>
        <w:spacing w:lineRule="auto" w:line="360" w:before="0" w:after="0"/>
        <w:ind w:firstLine="480"/>
      </w:pPr>
      <w:r>
        <w:rPr>
          <w:rFonts w:ascii="Times New Roman" w:hAnsi="Times New Roman" w:eastAsia="宋体"/>
          <w:sz w:val="24"/>
        </w:rPr>
        <w:t>堆场尺度核算时，不能只按总面积判断是否够用，还应把箱位排列、通道损失、冷藏箱插座带、危险品隔离距离和查验作业等待区一并考虑。本设计将堆场面积分为有效箱位面积、交通转换面积和辅助管理面积三部分，使平面图中的面积能够和通过能力计算对应。</w:t>
      </w:r>
    </w:p>
    <w:p>
      <w:pPr>
        <w:keepNext/>
        <w:spacing w:lineRule="auto" w:line="300" w:before="0" w:after="120"/>
        <w:jc w:val="center"/>
      </w:pPr>
      <w:r>
        <w:rPr>
          <w:rFonts w:ascii="Times New Roman" w:hAnsi="Times New Roman" w:eastAsia="宋体"/>
          <w:b w:val="0"/>
          <w:sz w:val="20"/>
        </w:rPr>
        <w:t>表3-4 堆场分区补充核对表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2232"/>
        <w:gridCol w:w="2376"/>
        <w:gridCol w:w="252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分区</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平面控制</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运行要求</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与通过能力关系</w:t>
            </w:r>
          </w:p>
        </w:tc>
      </w:tr>
      <w:tr>
        <w:tc>
          <w:tcPr>
            <w:tcW w:type="dxa" w:w="1512"/>
            <w:vAlign w:val="center"/>
          </w:tcPr>
          <w:p>
            <w:pPr>
              <w:spacing w:lineRule="auto" w:line="276"/>
              <w:jc w:val="center"/>
            </w:pPr>
            <w:r>
              <w:rPr>
                <w:rFonts w:ascii="Times New Roman" w:hAnsi="Times New Roman" w:eastAsia="宋体"/>
                <w:b w:val="0"/>
                <w:sz w:val="18"/>
              </w:rPr>
              <w:t>重箱区</w:t>
            </w:r>
          </w:p>
        </w:tc>
        <w:tc>
          <w:tcPr>
            <w:tcW w:type="dxa" w:w="2232"/>
            <w:vAlign w:val="center"/>
          </w:tcPr>
          <w:p>
            <w:pPr>
              <w:spacing w:lineRule="auto" w:line="276"/>
              <w:jc w:val="center"/>
            </w:pPr>
            <w:r>
              <w:rPr>
                <w:rFonts w:ascii="Times New Roman" w:hAnsi="Times New Roman" w:eastAsia="宋体"/>
                <w:b w:val="0"/>
                <w:sz w:val="18"/>
              </w:rPr>
              <w:t>靠近前沿和主通道</w:t>
            </w:r>
          </w:p>
        </w:tc>
        <w:tc>
          <w:tcPr>
            <w:tcW w:type="dxa" w:w="2376"/>
            <w:vAlign w:val="center"/>
          </w:tcPr>
          <w:p>
            <w:pPr>
              <w:spacing w:lineRule="auto" w:line="276"/>
              <w:jc w:val="center"/>
            </w:pPr>
            <w:r>
              <w:rPr>
                <w:rFonts w:ascii="Times New Roman" w:hAnsi="Times New Roman" w:eastAsia="宋体"/>
                <w:b w:val="0"/>
                <w:sz w:val="18"/>
              </w:rPr>
              <w:t>减少进口箱二次倒运</w:t>
            </w:r>
          </w:p>
        </w:tc>
        <w:tc>
          <w:tcPr>
            <w:tcW w:type="dxa" w:w="2520"/>
            <w:vAlign w:val="center"/>
          </w:tcPr>
          <w:p>
            <w:pPr>
              <w:spacing w:lineRule="auto" w:line="276"/>
              <w:jc w:val="center"/>
            </w:pPr>
            <w:r>
              <w:rPr>
                <w:rFonts w:ascii="Times New Roman" w:hAnsi="Times New Roman" w:eastAsia="宋体"/>
                <w:b w:val="0"/>
                <w:sz w:val="18"/>
              </w:rPr>
              <w:t>影响堆存容量</w:t>
            </w:r>
          </w:p>
        </w:tc>
      </w:tr>
      <w:tr>
        <w:tc>
          <w:tcPr>
            <w:tcW w:type="dxa" w:w="1512"/>
            <w:vAlign w:val="center"/>
          </w:tcPr>
          <w:p>
            <w:pPr>
              <w:spacing w:lineRule="auto" w:line="276"/>
              <w:jc w:val="center"/>
            </w:pPr>
            <w:r>
              <w:rPr>
                <w:rFonts w:ascii="Times New Roman" w:hAnsi="Times New Roman" w:eastAsia="宋体"/>
                <w:b w:val="0"/>
                <w:sz w:val="18"/>
              </w:rPr>
              <w:t>空箱区</w:t>
            </w:r>
          </w:p>
        </w:tc>
        <w:tc>
          <w:tcPr>
            <w:tcW w:type="dxa" w:w="2232"/>
            <w:vAlign w:val="center"/>
          </w:tcPr>
          <w:p>
            <w:pPr>
              <w:spacing w:lineRule="auto" w:line="276"/>
              <w:jc w:val="center"/>
            </w:pPr>
            <w:r>
              <w:rPr>
                <w:rFonts w:ascii="Times New Roman" w:hAnsi="Times New Roman" w:eastAsia="宋体"/>
                <w:b w:val="0"/>
                <w:sz w:val="18"/>
              </w:rPr>
              <w:t>布置在重箱区后侧</w:t>
            </w:r>
          </w:p>
        </w:tc>
        <w:tc>
          <w:tcPr>
            <w:tcW w:type="dxa" w:w="2376"/>
            <w:vAlign w:val="center"/>
          </w:tcPr>
          <w:p>
            <w:pPr>
              <w:spacing w:lineRule="auto" w:line="276"/>
              <w:jc w:val="center"/>
            </w:pPr>
            <w:r>
              <w:rPr>
                <w:rFonts w:ascii="Times New Roman" w:hAnsi="Times New Roman" w:eastAsia="宋体"/>
                <w:b w:val="0"/>
                <w:sz w:val="18"/>
              </w:rPr>
              <w:t>便于空箱调拨</w:t>
            </w:r>
          </w:p>
        </w:tc>
        <w:tc>
          <w:tcPr>
            <w:tcW w:type="dxa" w:w="2520"/>
            <w:vAlign w:val="center"/>
          </w:tcPr>
          <w:p>
            <w:pPr>
              <w:spacing w:lineRule="auto" w:line="276"/>
              <w:jc w:val="center"/>
            </w:pPr>
            <w:r>
              <w:rPr>
                <w:rFonts w:ascii="Times New Roman" w:hAnsi="Times New Roman" w:eastAsia="宋体"/>
                <w:b w:val="0"/>
                <w:sz w:val="18"/>
              </w:rPr>
              <w:t>影响空箱周转</w:t>
            </w:r>
          </w:p>
        </w:tc>
      </w:tr>
      <w:tr>
        <w:tc>
          <w:tcPr>
            <w:tcW w:type="dxa" w:w="1512"/>
            <w:vAlign w:val="center"/>
          </w:tcPr>
          <w:p>
            <w:pPr>
              <w:spacing w:lineRule="auto" w:line="276"/>
              <w:jc w:val="center"/>
            </w:pPr>
            <w:r>
              <w:rPr>
                <w:rFonts w:ascii="Times New Roman" w:hAnsi="Times New Roman" w:eastAsia="宋体"/>
                <w:b w:val="0"/>
                <w:sz w:val="18"/>
              </w:rPr>
              <w:t>冷藏箱区</w:t>
            </w:r>
          </w:p>
        </w:tc>
        <w:tc>
          <w:tcPr>
            <w:tcW w:type="dxa" w:w="2232"/>
            <w:vAlign w:val="center"/>
          </w:tcPr>
          <w:p>
            <w:pPr>
              <w:spacing w:lineRule="auto" w:line="276"/>
              <w:jc w:val="center"/>
            </w:pPr>
            <w:r>
              <w:rPr>
                <w:rFonts w:ascii="Times New Roman" w:hAnsi="Times New Roman" w:eastAsia="宋体"/>
                <w:b w:val="0"/>
                <w:sz w:val="18"/>
              </w:rPr>
              <w:t>靠近电源和检修通道</w:t>
            </w:r>
          </w:p>
        </w:tc>
        <w:tc>
          <w:tcPr>
            <w:tcW w:type="dxa" w:w="2376"/>
            <w:vAlign w:val="center"/>
          </w:tcPr>
          <w:p>
            <w:pPr>
              <w:spacing w:lineRule="auto" w:line="276"/>
              <w:jc w:val="center"/>
            </w:pPr>
            <w:r>
              <w:rPr>
                <w:rFonts w:ascii="Times New Roman" w:hAnsi="Times New Roman" w:eastAsia="宋体"/>
                <w:b w:val="0"/>
                <w:sz w:val="18"/>
              </w:rPr>
              <w:t>设置插座与巡检空间</w:t>
            </w:r>
          </w:p>
        </w:tc>
        <w:tc>
          <w:tcPr>
            <w:tcW w:type="dxa" w:w="2520"/>
            <w:vAlign w:val="center"/>
          </w:tcPr>
          <w:p>
            <w:pPr>
              <w:spacing w:lineRule="auto" w:line="276"/>
              <w:jc w:val="center"/>
            </w:pPr>
            <w:r>
              <w:rPr>
                <w:rFonts w:ascii="Times New Roman" w:hAnsi="Times New Roman" w:eastAsia="宋体"/>
                <w:b w:val="0"/>
                <w:sz w:val="18"/>
              </w:rPr>
              <w:t>影响特殊箱服务能力</w:t>
            </w:r>
          </w:p>
        </w:tc>
      </w:tr>
      <w:tr>
        <w:tc>
          <w:tcPr>
            <w:tcW w:type="dxa" w:w="1512"/>
            <w:vAlign w:val="center"/>
          </w:tcPr>
          <w:p>
            <w:pPr>
              <w:spacing w:lineRule="auto" w:line="276"/>
              <w:jc w:val="center"/>
            </w:pPr>
            <w:r>
              <w:rPr>
                <w:rFonts w:ascii="Times New Roman" w:hAnsi="Times New Roman" w:eastAsia="宋体"/>
                <w:b w:val="0"/>
                <w:sz w:val="18"/>
              </w:rPr>
              <w:t>危险品箱区</w:t>
            </w:r>
          </w:p>
        </w:tc>
        <w:tc>
          <w:tcPr>
            <w:tcW w:type="dxa" w:w="2232"/>
            <w:vAlign w:val="center"/>
          </w:tcPr>
          <w:p>
            <w:pPr>
              <w:spacing w:lineRule="auto" w:line="276"/>
              <w:jc w:val="center"/>
            </w:pPr>
            <w:r>
              <w:rPr>
                <w:rFonts w:ascii="Times New Roman" w:hAnsi="Times New Roman" w:eastAsia="宋体"/>
                <w:b w:val="0"/>
                <w:sz w:val="18"/>
              </w:rPr>
              <w:t>与普通箱区隔离</w:t>
            </w:r>
          </w:p>
        </w:tc>
        <w:tc>
          <w:tcPr>
            <w:tcW w:type="dxa" w:w="2376"/>
            <w:vAlign w:val="center"/>
          </w:tcPr>
          <w:p>
            <w:pPr>
              <w:spacing w:lineRule="auto" w:line="276"/>
              <w:jc w:val="center"/>
            </w:pPr>
            <w:r>
              <w:rPr>
                <w:rFonts w:ascii="Times New Roman" w:hAnsi="Times New Roman" w:eastAsia="宋体"/>
                <w:b w:val="0"/>
                <w:sz w:val="18"/>
              </w:rPr>
              <w:t>满足消防和安全距离</w:t>
            </w:r>
          </w:p>
        </w:tc>
        <w:tc>
          <w:tcPr>
            <w:tcW w:type="dxa" w:w="2520"/>
            <w:vAlign w:val="center"/>
          </w:tcPr>
          <w:p>
            <w:pPr>
              <w:spacing w:lineRule="auto" w:line="276"/>
              <w:jc w:val="center"/>
            </w:pPr>
            <w:r>
              <w:rPr>
                <w:rFonts w:ascii="Times New Roman" w:hAnsi="Times New Roman" w:eastAsia="宋体"/>
                <w:b w:val="0"/>
                <w:sz w:val="18"/>
              </w:rPr>
              <w:t>影响安全管理</w:t>
            </w:r>
          </w:p>
        </w:tc>
      </w:tr>
      <w:tr>
        <w:tc>
          <w:tcPr>
            <w:tcW w:type="dxa" w:w="1512"/>
            <w:vAlign w:val="center"/>
          </w:tcPr>
          <w:p>
            <w:pPr>
              <w:spacing w:lineRule="auto" w:line="276"/>
              <w:jc w:val="center"/>
            </w:pPr>
            <w:r>
              <w:rPr>
                <w:rFonts w:ascii="Times New Roman" w:hAnsi="Times New Roman" w:eastAsia="宋体"/>
                <w:b w:val="0"/>
                <w:sz w:val="18"/>
              </w:rPr>
              <w:t>查验区</w:t>
            </w:r>
          </w:p>
        </w:tc>
        <w:tc>
          <w:tcPr>
            <w:tcW w:type="dxa" w:w="2232"/>
            <w:vAlign w:val="center"/>
          </w:tcPr>
          <w:p>
            <w:pPr>
              <w:spacing w:lineRule="auto" w:line="276"/>
              <w:jc w:val="center"/>
            </w:pPr>
            <w:r>
              <w:rPr>
                <w:rFonts w:ascii="Times New Roman" w:hAnsi="Times New Roman" w:eastAsia="宋体"/>
                <w:b w:val="0"/>
                <w:sz w:val="18"/>
              </w:rPr>
              <w:t>靠近闸口和监管通道</w:t>
            </w:r>
          </w:p>
        </w:tc>
        <w:tc>
          <w:tcPr>
            <w:tcW w:type="dxa" w:w="2376"/>
            <w:vAlign w:val="center"/>
          </w:tcPr>
          <w:p>
            <w:pPr>
              <w:spacing w:lineRule="auto" w:line="276"/>
              <w:jc w:val="center"/>
            </w:pPr>
            <w:r>
              <w:rPr>
                <w:rFonts w:ascii="Times New Roman" w:hAnsi="Times New Roman" w:eastAsia="宋体"/>
                <w:b w:val="0"/>
                <w:sz w:val="18"/>
              </w:rPr>
              <w:t>便于拆箱查验</w:t>
            </w:r>
          </w:p>
        </w:tc>
        <w:tc>
          <w:tcPr>
            <w:tcW w:type="dxa" w:w="2520"/>
            <w:vAlign w:val="center"/>
          </w:tcPr>
          <w:p>
            <w:pPr>
              <w:spacing w:lineRule="auto" w:line="276"/>
              <w:jc w:val="center"/>
            </w:pPr>
            <w:r>
              <w:rPr>
                <w:rFonts w:ascii="Times New Roman" w:hAnsi="Times New Roman" w:eastAsia="宋体"/>
                <w:b w:val="0"/>
                <w:sz w:val="18"/>
              </w:rPr>
              <w:t>影响通关效率</w:t>
            </w:r>
          </w:p>
        </w:tc>
      </w:tr>
      <w:tr>
        <w:tc>
          <w:tcPr>
            <w:tcW w:type="dxa" w:w="1512"/>
            <w:vAlign w:val="center"/>
          </w:tcPr>
          <w:p>
            <w:pPr>
              <w:spacing w:lineRule="auto" w:line="276"/>
              <w:jc w:val="center"/>
            </w:pPr>
            <w:r>
              <w:rPr>
                <w:rFonts w:ascii="Times New Roman" w:hAnsi="Times New Roman" w:eastAsia="宋体"/>
                <w:b w:val="0"/>
                <w:sz w:val="18"/>
              </w:rPr>
              <w:t>预留区</w:t>
            </w:r>
          </w:p>
        </w:tc>
        <w:tc>
          <w:tcPr>
            <w:tcW w:type="dxa" w:w="2232"/>
            <w:vAlign w:val="center"/>
          </w:tcPr>
          <w:p>
            <w:pPr>
              <w:spacing w:lineRule="auto" w:line="276"/>
              <w:jc w:val="center"/>
            </w:pPr>
            <w:r>
              <w:rPr>
                <w:rFonts w:ascii="Times New Roman" w:hAnsi="Times New Roman" w:eastAsia="宋体"/>
                <w:b w:val="0"/>
                <w:sz w:val="18"/>
              </w:rPr>
              <w:t>靠近后方道路</w:t>
            </w:r>
          </w:p>
        </w:tc>
        <w:tc>
          <w:tcPr>
            <w:tcW w:type="dxa" w:w="2376"/>
            <w:vAlign w:val="center"/>
          </w:tcPr>
          <w:p>
            <w:pPr>
              <w:spacing w:lineRule="auto" w:line="276"/>
              <w:jc w:val="center"/>
            </w:pPr>
            <w:r>
              <w:rPr>
                <w:rFonts w:ascii="Times New Roman" w:hAnsi="Times New Roman" w:eastAsia="宋体"/>
                <w:b w:val="0"/>
                <w:sz w:val="18"/>
              </w:rPr>
              <w:t>服务远期扩展</w:t>
            </w:r>
          </w:p>
        </w:tc>
        <w:tc>
          <w:tcPr>
            <w:tcW w:type="dxa" w:w="2520"/>
            <w:vAlign w:val="center"/>
          </w:tcPr>
          <w:p>
            <w:pPr>
              <w:spacing w:lineRule="auto" w:line="276"/>
              <w:jc w:val="center"/>
            </w:pPr>
            <w:r>
              <w:rPr>
                <w:rFonts w:ascii="Times New Roman" w:hAnsi="Times New Roman" w:eastAsia="宋体"/>
                <w:b w:val="0"/>
                <w:sz w:val="18"/>
              </w:rPr>
              <w:t>影响发展弹性</w:t>
            </w:r>
          </w:p>
        </w:tc>
      </w:tr>
    </w:tbl>
    <w:p/>
    <w:p>
      <w:pPr>
        <w:pStyle w:val="2"/>
        <w:jc w:val="left"/>
      </w:pPr>
      <w:r>
        <w:rPr>
          <w:rFonts w:ascii="Times New Roman" w:hAnsi="Times New Roman" w:eastAsia="宋体"/>
          <w:b/>
          <w:sz w:val="24"/>
        </w:rPr>
        <w:t xml:space="preserve"> 装卸工艺选择</w:t>
      </w:r>
    </w:p>
    <w:p>
      <w:pPr>
        <w:spacing w:lineRule="auto" w:line="360" w:before="0" w:after="0"/>
        <w:ind w:firstLine="480"/>
      </w:pPr>
      <w:r>
        <w:rPr>
          <w:rFonts w:ascii="Times New Roman" w:hAnsi="Times New Roman" w:eastAsia="宋体"/>
          <w:sz w:val="24"/>
        </w:rPr>
        <w:t>本工程推荐采用“岸边集装箱起重机+集装箱牵引车+轮胎式场桥”的常规专业化集装箱码头工艺。岸桥负责船岸装卸，牵引车负责前沿至堆场的水平运输，RTG负责堆场内堆拆箱和装卸车。</w:t>
      </w:r>
    </w:p>
    <w:p>
      <w:pPr>
        <w:spacing w:lineRule="auto" w:line="360" w:before="0" w:after="0"/>
        <w:ind w:firstLine="480"/>
      </w:pPr>
      <w:r>
        <w:rPr>
          <w:rFonts w:ascii="Times New Roman" w:hAnsi="Times New Roman" w:eastAsia="宋体"/>
          <w:sz w:val="24"/>
        </w:rPr>
        <w:t>装卸机械配置优化仿真研究表明，设备数量应根据系统瓶颈确定，单独增加某一类设备并不一定提高整体吞吐能力</w:t>
      </w:r>
      <w:r>
        <w:rPr>
          <w:rFonts w:ascii="Times New Roman" w:hAnsi="Times New Roman" w:eastAsia="宋体"/>
          <w:sz w:val="24"/>
          <w:vertAlign w:val="superscript"/>
        </w:rPr>
        <w:t>[14]</w:t>
      </w:r>
      <w:r>
        <w:rPr>
          <w:rFonts w:ascii="Times New Roman" w:hAnsi="Times New Roman" w:eastAsia="宋体"/>
          <w:sz w:val="24"/>
        </w:rPr>
        <w:t>。铁路装卸线与堆场总体布置研究说明，铁海联运场景下应把铁路装卸区纳入堆场总体交通组织</w:t>
      </w:r>
      <w:r>
        <w:rPr>
          <w:rFonts w:ascii="Times New Roman" w:hAnsi="Times New Roman" w:eastAsia="宋体"/>
          <w:sz w:val="24"/>
          <w:vertAlign w:val="superscript"/>
        </w:rPr>
        <w:t>[15]</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自动化集装箱码头设备研究可为远期升级提供参考，但本工程为3万吨级中型泊位，初步设计采用成熟、投资可控、施工和维护经验充分的RTG工艺更稳妥</w:t>
      </w:r>
      <w:r>
        <w:rPr>
          <w:rFonts w:ascii="Times New Roman" w:hAnsi="Times New Roman" w:eastAsia="宋体"/>
          <w:sz w:val="24"/>
          <w:vertAlign w:val="superscript"/>
        </w:rPr>
        <w:t>[16]</w:t>
      </w:r>
      <w:r>
        <w:rPr>
          <w:rFonts w:ascii="Times New Roman" w:hAnsi="Times New Roman" w:eastAsia="宋体"/>
          <w:sz w:val="24"/>
        </w:rPr>
        <w:t>。堆场布局优化研究进一步说明，箱区方向、道路组织和设备运行方式会共同影响平均作业时间</w:t>
      </w:r>
      <w:r>
        <w:rPr>
          <w:rFonts w:ascii="Times New Roman" w:hAnsi="Times New Roman" w:eastAsia="宋体"/>
          <w:sz w:val="24"/>
          <w:vertAlign w:val="superscript"/>
        </w:rPr>
        <w:t>[17]</w:t>
      </w:r>
      <w:r>
        <w:rPr>
          <w:rFonts w:ascii="Times New Roman" w:hAnsi="Times New Roman" w:eastAsia="宋体"/>
          <w:sz w:val="24"/>
        </w:rPr>
        <w:t>。</w:t>
      </w:r>
    </w:p>
    <w:p>
      <w:pPr>
        <w:tabs>
          <w:tab w:pos="4100" w:val="center"/>
          <w:tab w:pos="8200" w:val="right"/>
        </w:tabs>
        <w:spacing w:lineRule="auto" w:line="360" w:before="0" w:after="0"/>
        <w:jc w:val="left"/>
      </w:pPr>
      <w:r>
        <w:tab/>
      </w:r>
      <m:oMath>
        <m:sSub>
          <m:e>
            <m:r>
              <m:t>P</m:t>
            </m:r>
          </m:e>
          <m:sub>
            <m:r>
              <m:t>q</m:t>
            </m:r>
          </m:sub>
        </m:sSub>
        <m:r>
          <m:rPr>
            <m:sty m:val="p"/>
          </m:rPr>
          <m:t>=</m:t>
        </m:r>
        <m:r>
          <m:t>N</m:t>
        </m:r>
        <m:r>
          <m:t>q</m:t>
        </m:r>
        <m:r>
          <m:t>K</m:t>
        </m:r>
      </m:oMath>
      <w:r>
        <w:rPr>
          <w:rFonts w:ascii="Times New Roman" w:hAnsi="Times New Roman" w:eastAsia="宋体"/>
          <w:sz w:val="24"/>
        </w:rPr>
        <w:tab/>
        <w:t>（3.6）</w:t>
      </w:r>
    </w:p>
    <w:p>
      <w:pPr>
        <w:spacing w:lineRule="auto" w:line="360" w:before="0" w:after="0"/>
        <w:ind w:firstLine="480"/>
      </w:pPr>
      <w:r>
        <w:rPr>
          <w:rFonts w:ascii="Times New Roman" w:hAnsi="Times New Roman" w:eastAsia="宋体"/>
          <w:sz w:val="24"/>
        </w:rPr>
        <w:t>取N=5台、q=30TEU/h、K=0.70，则岸桥有效小时能力约105TEU/h。该能力需要与集卡数量和RTG作业能力同步匹配，否则会在前沿或堆场形成等待。</w:t>
      </w:r>
    </w:p>
    <w:p>
      <w:pPr>
        <w:tabs>
          <w:tab w:pos="4100" w:val="center"/>
          <w:tab w:pos="8200" w:val="right"/>
        </w:tabs>
        <w:spacing w:lineRule="auto" w:line="360" w:before="0" w:after="0"/>
        <w:jc w:val="left"/>
      </w:pPr>
      <w:r>
        <w:tab/>
      </w:r>
      <m:oMath>
        <m:sSub>
          <m:e>
            <m:r>
              <m:t>n</m:t>
            </m:r>
          </m:e>
          <m:sub>
            <m:r>
              <m:t>t</m:t>
            </m:r>
          </m:sub>
        </m:sSub>
        <m:r>
          <m:rPr>
            <m:sty m:val="p"/>
          </m:rPr>
          <m:t>=</m:t>
        </m:r>
        <m:sSub>
          <m:e>
            <m:r>
              <m:t>P</m:t>
            </m:r>
          </m:e>
          <m:sub>
            <m:r>
              <m:t>q</m:t>
            </m:r>
          </m:sub>
        </m:sSub>
        <m:sSub>
          <m:e>
            <m:r>
              <m:t>t</m:t>
            </m:r>
          </m:e>
          <m:sub>
            <m:r>
              <m:t>c</m:t>
            </m:r>
          </m:sub>
        </m:sSub>
        <m:r>
          <m:rPr>
            <m:sty m:val="p"/>
          </m:rPr>
          <m:t>/</m:t>
        </m:r>
        <m:r>
          <m:t>60</m:t>
        </m:r>
      </m:oMath>
      <w:r>
        <w:rPr>
          <w:rFonts w:ascii="Times New Roman" w:hAnsi="Times New Roman" w:eastAsia="宋体"/>
          <w:sz w:val="24"/>
        </w:rPr>
        <w:tab/>
        <w:t>（3.7）</w:t>
      </w:r>
    </w:p>
    <w:p>
      <w:pPr>
        <w:spacing w:lineRule="auto" w:line="360" w:before="0" w:after="0"/>
        <w:ind w:firstLine="480"/>
      </w:pPr>
      <w:r>
        <w:rPr>
          <w:rFonts w:ascii="Times New Roman" w:hAnsi="Times New Roman" w:eastAsia="宋体"/>
          <w:sz w:val="24"/>
        </w:rPr>
        <w:t>式中，nt为集卡需求量，tc为单循环时间。若前沿至堆场往返、等待、装卸和交接总循环时间按18~22min考虑，则高峰需要约32~39台集卡，结合备用和维修取40台左右。</w:t>
      </w:r>
    </w:p>
    <w:p>
      <w:pPr>
        <w:keepNext/>
        <w:spacing w:lineRule="auto" w:line="300" w:before="0" w:after="120"/>
        <w:jc w:val="center"/>
      </w:pPr>
      <w:r>
        <w:rPr>
          <w:rFonts w:ascii="Times New Roman" w:hAnsi="Times New Roman" w:eastAsia="宋体"/>
          <w:b w:val="0"/>
          <w:sz w:val="20"/>
        </w:rPr>
        <w:t>表3-3 装卸设备配置汇总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1296"/>
        <w:gridCol w:w="1872"/>
        <w:gridCol w:w="345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设备</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设计说明</w:t>
            </w:r>
          </w:p>
        </w:tc>
      </w:tr>
      <w:tr>
        <w:tc>
          <w:tcPr>
            <w:tcW w:type="dxa" w:w="1728"/>
            <w:vAlign w:val="center"/>
          </w:tcPr>
          <w:p>
            <w:pPr>
              <w:spacing w:lineRule="auto" w:line="276"/>
              <w:jc w:val="center"/>
            </w:pPr>
            <w:r>
              <w:rPr>
                <w:rFonts w:ascii="Times New Roman" w:hAnsi="Times New Roman" w:eastAsia="宋体"/>
                <w:b w:val="0"/>
                <w:sz w:val="18"/>
              </w:rPr>
              <w:t>岸边集装箱起重机</w:t>
            </w:r>
          </w:p>
        </w:tc>
        <w:tc>
          <w:tcPr>
            <w:tcW w:type="dxa" w:w="1296"/>
            <w:vAlign w:val="center"/>
          </w:tcPr>
          <w:p>
            <w:pPr>
              <w:spacing w:lineRule="auto" w:line="276"/>
              <w:jc w:val="center"/>
            </w:pPr>
            <w:r>
              <w:rPr>
                <w:rFonts w:ascii="Times New Roman" w:hAnsi="Times New Roman" w:eastAsia="宋体"/>
                <w:b w:val="0"/>
                <w:sz w:val="18"/>
              </w:rPr>
              <w:t>5台</w:t>
            </w:r>
          </w:p>
        </w:tc>
        <w:tc>
          <w:tcPr>
            <w:tcW w:type="dxa" w:w="1872"/>
            <w:vAlign w:val="center"/>
          </w:tcPr>
          <w:p>
            <w:pPr>
              <w:spacing w:lineRule="auto" w:line="276"/>
              <w:jc w:val="center"/>
            </w:pPr>
            <w:r>
              <w:rPr>
                <w:rFonts w:ascii="Times New Roman" w:hAnsi="Times New Roman" w:eastAsia="宋体"/>
                <w:b w:val="0"/>
                <w:sz w:val="18"/>
              </w:rPr>
              <w:t>30TEU/h</w:t>
            </w:r>
          </w:p>
        </w:tc>
        <w:tc>
          <w:tcPr>
            <w:tcW w:type="dxa" w:w="3456"/>
            <w:vAlign w:val="center"/>
          </w:tcPr>
          <w:p>
            <w:pPr>
              <w:spacing w:lineRule="auto" w:line="276"/>
              <w:jc w:val="center"/>
            </w:pPr>
            <w:r>
              <w:rPr>
                <w:rFonts w:ascii="Times New Roman" w:hAnsi="Times New Roman" w:eastAsia="宋体"/>
                <w:b w:val="0"/>
                <w:sz w:val="18"/>
              </w:rPr>
              <w:t>满足船岸主作业能力</w:t>
            </w:r>
          </w:p>
        </w:tc>
      </w:tr>
      <w:tr>
        <w:tc>
          <w:tcPr>
            <w:tcW w:type="dxa" w:w="1728"/>
            <w:vAlign w:val="center"/>
          </w:tcPr>
          <w:p>
            <w:pPr>
              <w:spacing w:lineRule="auto" w:line="276"/>
              <w:jc w:val="center"/>
            </w:pPr>
            <w:r>
              <w:rPr>
                <w:rFonts w:ascii="Times New Roman" w:hAnsi="Times New Roman" w:eastAsia="宋体"/>
                <w:b w:val="0"/>
                <w:sz w:val="18"/>
              </w:rPr>
              <w:t>集装箱牵引车</w:t>
            </w:r>
          </w:p>
        </w:tc>
        <w:tc>
          <w:tcPr>
            <w:tcW w:type="dxa" w:w="1296"/>
            <w:vAlign w:val="center"/>
          </w:tcPr>
          <w:p>
            <w:pPr>
              <w:spacing w:lineRule="auto" w:line="276"/>
              <w:jc w:val="center"/>
            </w:pPr>
            <w:r>
              <w:rPr>
                <w:rFonts w:ascii="Times New Roman" w:hAnsi="Times New Roman" w:eastAsia="宋体"/>
                <w:b w:val="0"/>
                <w:sz w:val="18"/>
              </w:rPr>
              <w:t>约40台</w:t>
            </w:r>
          </w:p>
        </w:tc>
        <w:tc>
          <w:tcPr>
            <w:tcW w:type="dxa" w:w="1872"/>
            <w:vAlign w:val="center"/>
          </w:tcPr>
          <w:p>
            <w:pPr>
              <w:spacing w:lineRule="auto" w:line="276"/>
              <w:jc w:val="center"/>
            </w:pPr>
            <w:r>
              <w:rPr>
                <w:rFonts w:ascii="Times New Roman" w:hAnsi="Times New Roman" w:eastAsia="宋体"/>
                <w:b w:val="0"/>
                <w:sz w:val="18"/>
              </w:rPr>
              <w:t>半挂车配套</w:t>
            </w:r>
          </w:p>
        </w:tc>
        <w:tc>
          <w:tcPr>
            <w:tcW w:type="dxa" w:w="3456"/>
            <w:vAlign w:val="center"/>
          </w:tcPr>
          <w:p>
            <w:pPr>
              <w:spacing w:lineRule="auto" w:line="276"/>
              <w:jc w:val="center"/>
            </w:pPr>
            <w:r>
              <w:rPr>
                <w:rFonts w:ascii="Times New Roman" w:hAnsi="Times New Roman" w:eastAsia="宋体"/>
                <w:b w:val="0"/>
                <w:sz w:val="18"/>
              </w:rPr>
              <w:t>覆盖高峰水平运输循环</w:t>
            </w:r>
          </w:p>
        </w:tc>
      </w:tr>
      <w:tr>
        <w:tc>
          <w:tcPr>
            <w:tcW w:type="dxa" w:w="1728"/>
            <w:vAlign w:val="center"/>
          </w:tcPr>
          <w:p>
            <w:pPr>
              <w:spacing w:lineRule="auto" w:line="276"/>
              <w:jc w:val="center"/>
            </w:pPr>
            <w:r>
              <w:rPr>
                <w:rFonts w:ascii="Times New Roman" w:hAnsi="Times New Roman" w:eastAsia="宋体"/>
                <w:b w:val="0"/>
                <w:sz w:val="18"/>
              </w:rPr>
              <w:t>轮胎式场桥</w:t>
            </w:r>
          </w:p>
        </w:tc>
        <w:tc>
          <w:tcPr>
            <w:tcW w:type="dxa" w:w="1296"/>
            <w:vAlign w:val="center"/>
          </w:tcPr>
          <w:p>
            <w:pPr>
              <w:spacing w:lineRule="auto" w:line="276"/>
              <w:jc w:val="center"/>
            </w:pPr>
            <w:r>
              <w:rPr>
                <w:rFonts w:ascii="Times New Roman" w:hAnsi="Times New Roman" w:eastAsia="宋体"/>
                <w:b w:val="0"/>
                <w:sz w:val="18"/>
              </w:rPr>
              <w:t>12台</w:t>
            </w:r>
          </w:p>
        </w:tc>
        <w:tc>
          <w:tcPr>
            <w:tcW w:type="dxa" w:w="1872"/>
            <w:vAlign w:val="center"/>
          </w:tcPr>
          <w:p>
            <w:pPr>
              <w:spacing w:lineRule="auto" w:line="276"/>
              <w:jc w:val="center"/>
            </w:pPr>
            <w:r>
              <w:rPr>
                <w:rFonts w:ascii="Times New Roman" w:hAnsi="Times New Roman" w:eastAsia="宋体"/>
                <w:b w:val="0"/>
                <w:sz w:val="18"/>
              </w:rPr>
              <w:t>RTG</w:t>
            </w:r>
          </w:p>
        </w:tc>
        <w:tc>
          <w:tcPr>
            <w:tcW w:type="dxa" w:w="3456"/>
            <w:vAlign w:val="center"/>
          </w:tcPr>
          <w:p>
            <w:pPr>
              <w:spacing w:lineRule="auto" w:line="276"/>
              <w:jc w:val="center"/>
            </w:pPr>
            <w:r>
              <w:rPr>
                <w:rFonts w:ascii="Times New Roman" w:hAnsi="Times New Roman" w:eastAsia="宋体"/>
                <w:b w:val="0"/>
                <w:sz w:val="18"/>
              </w:rPr>
              <w:t>重箱区、空箱区和铁路换装配套</w:t>
            </w:r>
          </w:p>
        </w:tc>
      </w:tr>
      <w:tr>
        <w:tc>
          <w:tcPr>
            <w:tcW w:type="dxa" w:w="1728"/>
            <w:vAlign w:val="center"/>
          </w:tcPr>
          <w:p>
            <w:pPr>
              <w:spacing w:lineRule="auto" w:line="276"/>
              <w:jc w:val="center"/>
            </w:pPr>
            <w:r>
              <w:rPr>
                <w:rFonts w:ascii="Times New Roman" w:hAnsi="Times New Roman" w:eastAsia="宋体"/>
                <w:b w:val="0"/>
                <w:sz w:val="18"/>
              </w:rPr>
              <w:t>叉车/正面吊</w:t>
            </w:r>
          </w:p>
        </w:tc>
        <w:tc>
          <w:tcPr>
            <w:tcW w:type="dxa" w:w="1296"/>
            <w:vAlign w:val="center"/>
          </w:tcPr>
          <w:p>
            <w:pPr>
              <w:spacing w:lineRule="auto" w:line="276"/>
              <w:jc w:val="center"/>
            </w:pPr>
            <w:r>
              <w:rPr>
                <w:rFonts w:ascii="Times New Roman" w:hAnsi="Times New Roman" w:eastAsia="宋体"/>
                <w:b w:val="0"/>
                <w:sz w:val="18"/>
              </w:rPr>
              <w:t>若干</w:t>
            </w:r>
          </w:p>
        </w:tc>
        <w:tc>
          <w:tcPr>
            <w:tcW w:type="dxa" w:w="1872"/>
            <w:vAlign w:val="center"/>
          </w:tcPr>
          <w:p>
            <w:pPr>
              <w:spacing w:lineRule="auto" w:line="276"/>
              <w:jc w:val="center"/>
            </w:pPr>
            <w:r>
              <w:rPr>
                <w:rFonts w:ascii="Times New Roman" w:hAnsi="Times New Roman" w:eastAsia="宋体"/>
                <w:b w:val="0"/>
                <w:sz w:val="18"/>
              </w:rPr>
              <w:t>辅助作业</w:t>
            </w:r>
          </w:p>
        </w:tc>
        <w:tc>
          <w:tcPr>
            <w:tcW w:type="dxa" w:w="3456"/>
            <w:vAlign w:val="center"/>
          </w:tcPr>
          <w:p>
            <w:pPr>
              <w:spacing w:lineRule="auto" w:line="276"/>
              <w:jc w:val="center"/>
            </w:pPr>
            <w:r>
              <w:rPr>
                <w:rFonts w:ascii="Times New Roman" w:hAnsi="Times New Roman" w:eastAsia="宋体"/>
                <w:b w:val="0"/>
                <w:sz w:val="18"/>
              </w:rPr>
              <w:t>空箱、维修和异常箱处理</w:t>
            </w:r>
          </w:p>
        </w:tc>
      </w:tr>
      <w:tr>
        <w:tc>
          <w:tcPr>
            <w:tcW w:type="dxa" w:w="1728"/>
            <w:vAlign w:val="center"/>
          </w:tcPr>
          <w:p>
            <w:pPr>
              <w:spacing w:lineRule="auto" w:line="276"/>
              <w:jc w:val="center"/>
            </w:pPr>
            <w:r>
              <w:rPr>
                <w:rFonts w:ascii="Times New Roman" w:hAnsi="Times New Roman" w:eastAsia="宋体"/>
                <w:b w:val="0"/>
                <w:sz w:val="18"/>
              </w:rPr>
              <w:t>闸口车道</w:t>
            </w:r>
          </w:p>
        </w:tc>
        <w:tc>
          <w:tcPr>
            <w:tcW w:type="dxa" w:w="1296"/>
            <w:vAlign w:val="center"/>
          </w:tcPr>
          <w:p>
            <w:pPr>
              <w:spacing w:lineRule="auto" w:line="276"/>
              <w:jc w:val="center"/>
            </w:pPr>
            <w:r>
              <w:rPr>
                <w:rFonts w:ascii="Times New Roman" w:hAnsi="Times New Roman" w:eastAsia="宋体"/>
                <w:b w:val="0"/>
                <w:sz w:val="18"/>
              </w:rPr>
              <w:t>6~8条</w:t>
            </w:r>
          </w:p>
        </w:tc>
        <w:tc>
          <w:tcPr>
            <w:tcW w:type="dxa" w:w="1872"/>
            <w:vAlign w:val="center"/>
          </w:tcPr>
          <w:p>
            <w:pPr>
              <w:spacing w:lineRule="auto" w:line="276"/>
              <w:jc w:val="center"/>
            </w:pPr>
            <w:r>
              <w:rPr>
                <w:rFonts w:ascii="Times New Roman" w:hAnsi="Times New Roman" w:eastAsia="宋体"/>
                <w:b w:val="0"/>
                <w:sz w:val="18"/>
              </w:rPr>
              <w:t>进出分设</w:t>
            </w:r>
          </w:p>
        </w:tc>
        <w:tc>
          <w:tcPr>
            <w:tcW w:type="dxa" w:w="3456"/>
            <w:vAlign w:val="center"/>
          </w:tcPr>
          <w:p>
            <w:pPr>
              <w:spacing w:lineRule="auto" w:line="276"/>
              <w:jc w:val="center"/>
            </w:pPr>
            <w:r>
              <w:rPr>
                <w:rFonts w:ascii="Times New Roman" w:hAnsi="Times New Roman" w:eastAsia="宋体"/>
                <w:b w:val="0"/>
                <w:sz w:val="18"/>
              </w:rPr>
              <w:t>减少外集卡排队</w:t>
            </w:r>
          </w:p>
        </w:tc>
      </w:tr>
    </w:tbl>
    <w:p/>
    <w:p>
      <w:pPr>
        <w:spacing w:lineRule="auto" w:line="360" w:before="0" w:after="0"/>
        <w:ind w:firstLine="480"/>
      </w:pPr>
      <w:r>
        <w:rPr>
          <w:rFonts w:ascii="Times New Roman" w:hAnsi="Times New Roman" w:eastAsia="宋体"/>
          <w:sz w:val="24"/>
        </w:rPr>
        <w:t>装卸工艺选择对岸桥作业循环作单独说明，是因为该项会传递到泊位通过能力和堆场运行稳定性。正文先交代取值口径，再说明它在图纸、计算或施工中的落点，使参数不是停留在资料摘录层面。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针对集卡调度，本设计采用先定尺度、再核算能力、最后回到图纸表达的写法。这样处理后，审阅时可以直接看到该项与泊位通过能力和堆场运行稳定性之间的对应关系。</w:t>
      </w:r>
    </w:p>
    <w:p>
      <w:pPr>
        <w:spacing w:lineRule="auto" w:line="360" w:before="0" w:after="0"/>
        <w:ind w:firstLine="480"/>
      </w:pPr>
      <w:r>
        <w:rPr>
          <w:rFonts w:ascii="Times New Roman" w:hAnsi="Times New Roman" w:eastAsia="宋体"/>
          <w:sz w:val="24"/>
        </w:rPr>
        <w:t>RTG堆场交接取值偏小会压缩安全或施工余量，取值偏大又会增加工程量。本说明书按初步设计深度采用适中偏保守的控制值，并在后续章节保留施工图复核接口。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从现场实施看，查验箱调箱还会影响施工顺序、材料组织和质量检查。正文把这些影响写入相邻段落，避免图纸有尺寸而说明书缺少工程解释。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装卸工艺选择中的冷藏箱巡检同时具有设计和管理意义。它既是计算输入，也是后续概预算、施工组织和运行维护的判断依据，因此需要在正文中给出明确说明。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围绕危险品箱交接，本设计重点核对三件事：是否满足规范和船型需求，是否能在A1图纸中清楚表达，是否会改变泊位通过能力和堆场运行稳定性的工程量或安全储备。</w:t>
      </w:r>
    </w:p>
    <w:p>
      <w:pPr>
        <w:spacing w:lineRule="auto" w:line="360" w:before="0" w:after="0"/>
        <w:ind w:firstLine="480"/>
      </w:pPr>
      <w:r>
        <w:rPr>
          <w:rFonts w:ascii="Times New Roman" w:hAnsi="Times New Roman" w:eastAsia="宋体"/>
          <w:sz w:val="24"/>
        </w:rPr>
        <w:t>若后续详勘或施工条件发生变化，铁路换装是需要优先复核的项目之一。本阶段先把采用值、影响范围和复核方向写清楚，便于施工图阶段继续深化。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闸口预约的说明与泊位通过能力和堆场运行稳定性相互衔接。正文采用工程语言解释其作用，而不把它写成泛泛的背景材料，从而压缩自然状况篇幅并提高设计章节比重。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装卸工艺选择对设备维修备用作单独说明，是因为该项会传递到泊位通过能力和堆场运行稳定性。正文先交代取值口径，再说明它在图纸、计算或施工中的落点，使参数不是停留在资料摘录层面。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针对雨季作业组织，本设计采用先定尺度、再核算能力、最后回到图纸表达的写法。这样处理后，审阅时可以直接看到该项与泊位通过能力和堆场运行稳定性之间的对应关系。</w:t>
      </w:r>
    </w:p>
    <w:p>
      <w:pPr>
        <w:pStyle w:val="2"/>
        <w:jc w:val="left"/>
      </w:pPr>
      <w:r>
        <w:rPr>
          <w:rFonts w:ascii="Times New Roman" w:hAnsi="Times New Roman" w:eastAsia="宋体"/>
          <w:b/>
          <w:sz w:val="24"/>
        </w:rPr>
        <w:t xml:space="preserve"> 总平面布置图说明</w:t>
      </w:r>
    </w:p>
    <w:p>
      <w:pPr>
        <w:keepNext/>
        <w:keepLines/>
        <w:spacing w:before="120" w:after="0"/>
        <w:jc w:val="center"/>
      </w:pPr>
      <w:r>
        <w:drawing>
          <wp:inline xmlns:a="http://schemas.openxmlformats.org/drawingml/2006/main" xmlns:pic="http://schemas.openxmlformats.org/drawingml/2006/picture">
            <wp:extent cx="5349240" cy="3778500"/>
            <wp:docPr id="4" name="Picture 4"/>
            <wp:cNvGraphicFramePr>
              <a:graphicFrameLocks noChangeAspect="1"/>
            </wp:cNvGraphicFramePr>
            <a:graphic>
              <a:graphicData uri="http://schemas.openxmlformats.org/drawingml/2006/picture">
                <pic:pic>
                  <pic:nvPicPr>
                    <pic:cNvPr id="0" name="G-01_general_layout_revised_rail_road.png"/>
                    <pic:cNvPicPr/>
                  </pic:nvPicPr>
                  <pic:blipFill>
                    <a:blip r:embed="rId33"/>
                    <a:stretch>
                      <a:fillRect/>
                    </a:stretch>
                  </pic:blipFill>
                  <pic:spPr>
                    <a:xfrm>
                      <a:off x="0" y="0"/>
                      <a:ext cx="5349240" cy="377850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图3-2 集装箱码头总平面布置图</w:t>
      </w:r>
    </w:p>
    <w:p>
      <w:pPr>
        <w:spacing w:lineRule="auto" w:line="360" w:before="0" w:after="0"/>
        <w:ind w:firstLine="480"/>
      </w:pPr>
      <w:r>
        <w:rPr>
          <w:rFonts w:ascii="Times New Roman" w:hAnsi="Times New Roman" w:eastAsia="宋体"/>
          <w:sz w:val="24"/>
        </w:rPr>
        <w:t>总平面图采用A1横向图框，图中明确区分水域、岸线、陆域建筑、堆场、道路和铁路装卸区。水域部分包括泊位前沿、停泊水域、回旋水域和航道；陆域部分包括前沿作业带、重箱区、空箱区、冷藏箱区、危险品箱区、查验区、闸口、铁路装卸线和预留发展区。</w:t>
      </w:r>
    </w:p>
    <w:p>
      <w:pPr>
        <w:spacing w:lineRule="auto" w:line="360" w:before="0" w:after="0"/>
        <w:ind w:firstLine="480"/>
      </w:pPr>
      <w:r>
        <w:rPr>
          <w:rFonts w:ascii="Times New Roman" w:hAnsi="Times New Roman" w:eastAsia="宋体"/>
          <w:sz w:val="24"/>
        </w:rPr>
        <w:t>本轮图纸已经按老师意见处理图框和标注问题：所有主体内容收在图框内，图框采用外细内粗表达，标高文字左对齐，标题栏位置不再与图面内容冲突。说明书对总平面图的解释也同步按功能分区、尺度来源和工艺流线展开。</w:t>
      </w:r>
    </w:p>
    <w:p>
      <w:pPr>
        <w:spacing w:lineRule="auto" w:line="360" w:before="0" w:after="0"/>
        <w:ind w:firstLine="480"/>
      </w:pPr>
      <w:r>
        <w:rPr>
          <w:rFonts w:ascii="Times New Roman" w:hAnsi="Times New Roman" w:eastAsia="宋体"/>
          <w:sz w:val="24"/>
        </w:rPr>
        <w:t>堆场车道工艺仿真分析表明，场内交通组织会影响设备等待和车辆绕行</w:t>
      </w:r>
      <w:r>
        <w:rPr>
          <w:rFonts w:ascii="Times New Roman" w:hAnsi="Times New Roman" w:eastAsia="宋体"/>
          <w:sz w:val="24"/>
          <w:vertAlign w:val="superscript"/>
        </w:rPr>
        <w:t>[18]</w:t>
      </w:r>
      <w:r>
        <w:rPr>
          <w:rFonts w:ascii="Times New Roman" w:hAnsi="Times New Roman" w:eastAsia="宋体"/>
          <w:sz w:val="24"/>
        </w:rPr>
        <w:t>。外部运输车辆在多式联运堆场中的运行时间也受箱区方向、道路入口和交接点布置影响</w:t>
      </w:r>
      <w:r>
        <w:rPr>
          <w:rFonts w:ascii="Times New Roman" w:hAnsi="Times New Roman" w:eastAsia="宋体"/>
          <w:sz w:val="24"/>
          <w:vertAlign w:val="superscript"/>
        </w:rPr>
        <w:t>[19]</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无冲突场桥路径与集卡调度研究说明，箱区之间的行车冲突和设备等待需要在布置阶段提前控制</w:t>
      </w:r>
      <w:r>
        <w:rPr>
          <w:rFonts w:ascii="Times New Roman" w:hAnsi="Times New Roman" w:eastAsia="宋体"/>
          <w:sz w:val="24"/>
          <w:vertAlign w:val="superscript"/>
        </w:rPr>
        <w:t>[20]</w:t>
      </w:r>
      <w:r>
        <w:rPr>
          <w:rFonts w:ascii="Times New Roman" w:hAnsi="Times New Roman" w:eastAsia="宋体"/>
          <w:sz w:val="24"/>
        </w:rPr>
        <w:t>。小型集装箱码头效率评价研究进一步指出，中型码头应重视场地紧凑性与车辆流线之间的平衡</w:t>
      </w:r>
      <w:r>
        <w:rPr>
          <w:rFonts w:ascii="Times New Roman" w:hAnsi="Times New Roman" w:eastAsia="宋体"/>
          <w:sz w:val="24"/>
          <w:vertAlign w:val="superscript"/>
        </w:rPr>
        <w:t>[21]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总平面图说明对水域边界作单独说明，是因为该项会传递到设计书中的平面参数和装卸工艺。正文先交代取值口径，再说明它在图纸、计算或施工中的落点，使参数不是停留在资料摘录层面。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针对岸线布置，本设计采用先定尺度、再核算能力、最后回到图纸表达的写法。这样处理后，审阅时可以直接看到该项与设计书中的平面参数和装卸工艺之间的对应关系。</w:t>
      </w:r>
    </w:p>
    <w:p>
      <w:pPr>
        <w:spacing w:lineRule="auto" w:line="360" w:before="0" w:after="0"/>
        <w:ind w:firstLine="480"/>
      </w:pPr>
      <w:r>
        <w:rPr>
          <w:rFonts w:ascii="Times New Roman" w:hAnsi="Times New Roman" w:eastAsia="宋体"/>
          <w:sz w:val="24"/>
        </w:rPr>
        <w:t>前沿轨道线取值偏小会压缩安全或施工余量，取值偏大又会增加工程量。本说明书按初步设计深度采用适中偏保守的控制值，并在后续章节保留施工图复核接口。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从现场实施看，堆场箱区还会影响施工顺序、材料组织和质量检查。正文把这些影响写入相邻段落，避免图纸有尺寸而说明书缺少工程解释。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总平面图说明中的铁路装卸带同时具有设计和管理意义。它既是计算输入，也是后续概预算、施工组织和运行维护的判断依据，因此需要在正文中给出明确说明。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围绕闸口方向，本设计重点核对三件事：是否满足规范和船型需求，是否能在A1图纸中清楚表达，是否会改变设计书中的平面参数和装卸工艺的工程量或安全储备。</w:t>
      </w:r>
    </w:p>
    <w:p>
      <w:pPr>
        <w:spacing w:lineRule="auto" w:line="360" w:before="0" w:after="0"/>
        <w:ind w:firstLine="480"/>
      </w:pPr>
      <w:r>
        <w:rPr>
          <w:rFonts w:ascii="Times New Roman" w:hAnsi="Times New Roman" w:eastAsia="宋体"/>
          <w:sz w:val="24"/>
        </w:rPr>
        <w:t>若后续详勘或施工条件发生变化，消防环道是需要优先复核的项目之一。本阶段先把采用值、影响范围和复核方向写清楚，便于施工图阶段继续深化。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雨水排水走向的说明与设计书中的平面参数和装卸工艺相互衔接。正文采用工程语言解释其作用，而不把它写成泛泛的背景材料，从而压缩自然状况篇幅并提高设计章节比重。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总平面图说明对预留发展接口作单独说明，是因为该项会传递到设计书中的平面参数和装卸工艺。正文先交代取值口径，再说明它在图纸、计算或施工中的落点，使参数不是停留在资料摘录层面。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针对图纸分区表达，本设计采用先定尺度、再核算能力、最后回到图纸表达的写法。这样处理后，审阅时可以直接看到该项与设计书中的平面参数和装卸工艺之间的对应关系。</w:t>
      </w:r>
    </w:p>
    <w:p>
      <w:pPr>
        <w:keepNext/>
        <w:keepLines/>
        <w:spacing w:before="120" w:after="0"/>
        <w:jc w:val="center"/>
      </w:pPr>
      <w:r>
        <w:drawing>
          <wp:inline xmlns:a="http://schemas.openxmlformats.org/drawingml/2006/main" xmlns:pic="http://schemas.openxmlformats.org/drawingml/2006/picture">
            <wp:extent cx="5120640" cy="1847883"/>
            <wp:docPr id="5" name="Picture 5"/>
            <wp:cNvGraphicFramePr>
              <a:graphicFrameLocks noChangeAspect="1"/>
            </wp:cNvGraphicFramePr>
            <a:graphic>
              <a:graphicData uri="http://schemas.openxmlformats.org/drawingml/2006/picture">
                <pic:pic>
                  <pic:nvPicPr>
                    <pic:cNvPr id="0" name="fig3-3-quay-apron-road-cad.png"/>
                    <pic:cNvPicPr/>
                  </pic:nvPicPr>
                  <pic:blipFill>
                    <a:blip r:embed="rId34"/>
                    <a:stretch>
                      <a:fillRect/>
                    </a:stretch>
                  </pic:blipFill>
                  <pic:spPr>
                    <a:xfrm>
                      <a:off x="0" y="0"/>
                      <a:ext cx="5120640" cy="1847883"/>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图3-3 前沿作业带与道路衔接局部CAD图</w:t>
      </w:r>
    </w:p>
    <w:p>
      <w:pPr>
        <w:spacing w:lineRule="auto" w:line="360" w:before="0" w:after="0"/>
        <w:ind w:firstLine="480"/>
      </w:pPr>
      <w:r>
        <w:rPr>
          <w:rFonts w:ascii="Times New Roman" w:hAnsi="Times New Roman" w:eastAsia="宋体"/>
          <w:sz w:val="24"/>
        </w:rPr>
        <w:t>该局部图放大前沿作业带、岸桥轨道、集卡通道和堆场入口之间的衔接关系。前沿作业带是船舶装卸和水平运输交汇最密集的区域，宽度不足会导致岸桥下交接、集卡排队和维修通道互相干扰。</w:t>
      </w:r>
    </w:p>
    <w:p>
      <w:pPr>
        <w:spacing w:lineRule="auto" w:line="360" w:before="0" w:after="0"/>
        <w:ind w:firstLine="480"/>
      </w:pPr>
      <w:r>
        <w:rPr>
          <w:rFonts w:ascii="Times New Roman" w:hAnsi="Times New Roman" w:eastAsia="宋体"/>
          <w:sz w:val="24"/>
        </w:rPr>
        <w:t>前沿道路组织采用单向循环和局部会车空间结合的方式。靠海侧优先保证岸桥作业和护舷、系船柱维护，陆侧优先保证集卡进入堆场，中间通道用于短时等待和异常箱处理。该布置使装卸工艺流程与总平面布置能够互相解释。</w:t>
      </w:r>
    </w:p>
    <w:p>
      <w:pPr>
        <w:keepNext/>
        <w:keepLines/>
        <w:spacing w:before="120" w:after="0"/>
        <w:jc w:val="center"/>
      </w:pPr>
      <w:r>
        <w:drawing>
          <wp:inline xmlns:a="http://schemas.openxmlformats.org/drawingml/2006/main" xmlns:pic="http://schemas.openxmlformats.org/drawingml/2006/picture">
            <wp:extent cx="5120640" cy="5156449"/>
            <wp:docPr id="6" name="Picture 6"/>
            <wp:cNvGraphicFramePr>
              <a:graphicFrameLocks noChangeAspect="1"/>
            </wp:cNvGraphicFramePr>
            <a:graphic>
              <a:graphicData uri="http://schemas.openxmlformats.org/drawingml/2006/picture">
                <pic:pic>
                  <pic:nvPicPr>
                    <pic:cNvPr id="0" name="fig3-4-gate-rail-interface-cad.png"/>
                    <pic:cNvPicPr/>
                  </pic:nvPicPr>
                  <pic:blipFill>
                    <a:blip r:embed="rId35"/>
                    <a:stretch>
                      <a:fillRect/>
                    </a:stretch>
                  </pic:blipFill>
                  <pic:spPr>
                    <a:xfrm>
                      <a:off x="0" y="0"/>
                      <a:ext cx="5120640" cy="5156449"/>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图3-4 闸口与铁路换装区局部CAD图</w:t>
      </w:r>
    </w:p>
    <w:p>
      <w:pPr>
        <w:spacing w:lineRule="auto" w:line="360" w:before="0" w:after="0"/>
        <w:ind w:firstLine="480"/>
      </w:pPr>
      <w:r>
        <w:rPr>
          <w:rFonts w:ascii="Times New Roman" w:hAnsi="Times New Roman" w:eastAsia="宋体"/>
          <w:sz w:val="24"/>
        </w:rPr>
        <w:t>该局部图放大闸口、铁路换装区和后方道路的接口。进口箱离开堆场时，既可能通过公路闸口疏运，也可能进入铁路装卸线，因此后方集疏运不能只按单一公路出口考虑。</w:t>
      </w:r>
    </w:p>
    <w:p>
      <w:pPr>
        <w:spacing w:lineRule="auto" w:line="360" w:before="0" w:after="0"/>
        <w:ind w:firstLine="480"/>
      </w:pPr>
      <w:r>
        <w:rPr>
          <w:rFonts w:ascii="Times New Roman" w:hAnsi="Times New Roman" w:eastAsia="宋体"/>
          <w:sz w:val="24"/>
        </w:rPr>
        <w:t>铁路换装区与闸口区之间应保持清晰分流：铁路作业线侧重批量换装，闸口侧重车辆查验和单箱放行。若两类交通在同一短距离内交叉，会降低疏港效率并增加安全管理难度；本设计通过平面分区和道路方向控制降低冲突。</w:t>
      </w:r>
    </w:p>
    <w:p>
      <w:pPr>
        <w:keepNext/>
        <w:spacing w:lineRule="auto" w:line="300" w:before="0" w:after="120"/>
        <w:jc w:val="center"/>
      </w:pPr>
      <w:r>
        <w:rPr>
          <w:rFonts w:ascii="Times New Roman" w:hAnsi="Times New Roman" w:eastAsia="宋体"/>
          <w:b w:val="0"/>
          <w:sz w:val="20"/>
        </w:rPr>
        <w:t>表3-5 前沿与后方交通组织补充表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016"/>
        <w:gridCol w:w="2376"/>
        <w:gridCol w:w="273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交通节点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主要车辆</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控制问题</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设计处理</w:t>
            </w:r>
          </w:p>
        </w:tc>
      </w:tr>
      <w:tr>
        <w:tc>
          <w:tcPr>
            <w:tcW w:type="dxa" w:w="1656"/>
            <w:vAlign w:val="center"/>
          </w:tcPr>
          <w:p>
            <w:pPr>
              <w:spacing w:lineRule="auto" w:line="276"/>
              <w:jc w:val="center"/>
            </w:pPr>
            <w:r>
              <w:rPr>
                <w:rFonts w:ascii="Times New Roman" w:hAnsi="Times New Roman" w:eastAsia="宋体"/>
                <w:b w:val="0"/>
                <w:sz w:val="18"/>
              </w:rPr>
              <w:t>岸桥下交接</w:t>
            </w:r>
          </w:p>
        </w:tc>
        <w:tc>
          <w:tcPr>
            <w:tcW w:type="dxa" w:w="2016"/>
            <w:vAlign w:val="center"/>
          </w:tcPr>
          <w:p>
            <w:pPr>
              <w:spacing w:lineRule="auto" w:line="276"/>
              <w:jc w:val="center"/>
            </w:pPr>
            <w:r>
              <w:rPr>
                <w:rFonts w:ascii="Times New Roman" w:hAnsi="Times New Roman" w:eastAsia="宋体"/>
                <w:b w:val="0"/>
                <w:sz w:val="18"/>
              </w:rPr>
              <w:t>集卡、牵引车</w:t>
            </w:r>
          </w:p>
        </w:tc>
        <w:tc>
          <w:tcPr>
            <w:tcW w:type="dxa" w:w="2376"/>
            <w:vAlign w:val="center"/>
          </w:tcPr>
          <w:p>
            <w:pPr>
              <w:spacing w:lineRule="auto" w:line="276"/>
              <w:jc w:val="center"/>
            </w:pPr>
            <w:r>
              <w:rPr>
                <w:rFonts w:ascii="Times New Roman" w:hAnsi="Times New Roman" w:eastAsia="宋体"/>
                <w:b w:val="0"/>
                <w:sz w:val="18"/>
              </w:rPr>
              <w:t>短时排队和交接安全</w:t>
            </w:r>
          </w:p>
        </w:tc>
        <w:tc>
          <w:tcPr>
            <w:tcW w:type="dxa" w:w="2736"/>
            <w:vAlign w:val="center"/>
          </w:tcPr>
          <w:p>
            <w:pPr>
              <w:spacing w:lineRule="auto" w:line="276"/>
              <w:jc w:val="center"/>
            </w:pPr>
            <w:r>
              <w:rPr>
                <w:rFonts w:ascii="Times New Roman" w:hAnsi="Times New Roman" w:eastAsia="宋体"/>
                <w:b w:val="0"/>
                <w:sz w:val="18"/>
              </w:rPr>
              <w:t>设置前沿作业带</w:t>
            </w:r>
          </w:p>
        </w:tc>
      </w:tr>
      <w:tr>
        <w:tc>
          <w:tcPr>
            <w:tcW w:type="dxa" w:w="1656"/>
            <w:vAlign w:val="center"/>
          </w:tcPr>
          <w:p>
            <w:pPr>
              <w:spacing w:lineRule="auto" w:line="276"/>
              <w:jc w:val="center"/>
            </w:pPr>
            <w:r>
              <w:rPr>
                <w:rFonts w:ascii="Times New Roman" w:hAnsi="Times New Roman" w:eastAsia="宋体"/>
                <w:b w:val="0"/>
                <w:sz w:val="18"/>
              </w:rPr>
              <w:t>堆场入口</w:t>
            </w:r>
          </w:p>
        </w:tc>
        <w:tc>
          <w:tcPr>
            <w:tcW w:type="dxa" w:w="2016"/>
            <w:vAlign w:val="center"/>
          </w:tcPr>
          <w:p>
            <w:pPr>
              <w:spacing w:lineRule="auto" w:line="276"/>
              <w:jc w:val="center"/>
            </w:pPr>
            <w:r>
              <w:rPr>
                <w:rFonts w:ascii="Times New Roman" w:hAnsi="Times New Roman" w:eastAsia="宋体"/>
                <w:b w:val="0"/>
                <w:sz w:val="18"/>
              </w:rPr>
              <w:t>集卡、RTG服务车辆</w:t>
            </w:r>
          </w:p>
        </w:tc>
        <w:tc>
          <w:tcPr>
            <w:tcW w:type="dxa" w:w="2376"/>
            <w:vAlign w:val="center"/>
          </w:tcPr>
          <w:p>
            <w:pPr>
              <w:spacing w:lineRule="auto" w:line="276"/>
              <w:jc w:val="center"/>
            </w:pPr>
            <w:r>
              <w:rPr>
                <w:rFonts w:ascii="Times New Roman" w:hAnsi="Times New Roman" w:eastAsia="宋体"/>
                <w:b w:val="0"/>
                <w:sz w:val="18"/>
              </w:rPr>
              <w:t>进出堆场冲突</w:t>
            </w:r>
          </w:p>
        </w:tc>
        <w:tc>
          <w:tcPr>
            <w:tcW w:type="dxa" w:w="2736"/>
            <w:vAlign w:val="center"/>
          </w:tcPr>
          <w:p>
            <w:pPr>
              <w:spacing w:lineRule="auto" w:line="276"/>
              <w:jc w:val="center"/>
            </w:pPr>
            <w:r>
              <w:rPr>
                <w:rFonts w:ascii="Times New Roman" w:hAnsi="Times New Roman" w:eastAsia="宋体"/>
                <w:b w:val="0"/>
                <w:sz w:val="18"/>
              </w:rPr>
              <w:t>采用单向循环</w:t>
            </w:r>
          </w:p>
        </w:tc>
      </w:tr>
      <w:tr>
        <w:tc>
          <w:tcPr>
            <w:tcW w:type="dxa" w:w="1656"/>
            <w:vAlign w:val="center"/>
          </w:tcPr>
          <w:p>
            <w:pPr>
              <w:spacing w:lineRule="auto" w:line="276"/>
              <w:jc w:val="center"/>
            </w:pPr>
            <w:r>
              <w:rPr>
                <w:rFonts w:ascii="Times New Roman" w:hAnsi="Times New Roman" w:eastAsia="宋体"/>
                <w:b w:val="0"/>
                <w:sz w:val="18"/>
              </w:rPr>
              <w:t>闸口区</w:t>
            </w:r>
          </w:p>
        </w:tc>
        <w:tc>
          <w:tcPr>
            <w:tcW w:type="dxa" w:w="2016"/>
            <w:vAlign w:val="center"/>
          </w:tcPr>
          <w:p>
            <w:pPr>
              <w:spacing w:lineRule="auto" w:line="276"/>
              <w:jc w:val="center"/>
            </w:pPr>
            <w:r>
              <w:rPr>
                <w:rFonts w:ascii="Times New Roman" w:hAnsi="Times New Roman" w:eastAsia="宋体"/>
                <w:b w:val="0"/>
                <w:sz w:val="18"/>
              </w:rPr>
              <w:t>外集卡、查验车辆</w:t>
            </w:r>
          </w:p>
        </w:tc>
        <w:tc>
          <w:tcPr>
            <w:tcW w:type="dxa" w:w="2376"/>
            <w:vAlign w:val="center"/>
          </w:tcPr>
          <w:p>
            <w:pPr>
              <w:spacing w:lineRule="auto" w:line="276"/>
              <w:jc w:val="center"/>
            </w:pPr>
            <w:r>
              <w:rPr>
                <w:rFonts w:ascii="Times New Roman" w:hAnsi="Times New Roman" w:eastAsia="宋体"/>
                <w:b w:val="0"/>
                <w:sz w:val="18"/>
              </w:rPr>
              <w:t>排队外溢</w:t>
            </w:r>
          </w:p>
        </w:tc>
        <w:tc>
          <w:tcPr>
            <w:tcW w:type="dxa" w:w="2736"/>
            <w:vAlign w:val="center"/>
          </w:tcPr>
          <w:p>
            <w:pPr>
              <w:spacing w:lineRule="auto" w:line="276"/>
              <w:jc w:val="center"/>
            </w:pPr>
            <w:r>
              <w:rPr>
                <w:rFonts w:ascii="Times New Roman" w:hAnsi="Times New Roman" w:eastAsia="宋体"/>
                <w:b w:val="0"/>
                <w:sz w:val="18"/>
              </w:rPr>
              <w:t>布置缓冲通道</w:t>
            </w:r>
          </w:p>
        </w:tc>
      </w:tr>
      <w:tr>
        <w:tc>
          <w:tcPr>
            <w:tcW w:type="dxa" w:w="1656"/>
            <w:vAlign w:val="center"/>
          </w:tcPr>
          <w:p>
            <w:pPr>
              <w:spacing w:lineRule="auto" w:line="276"/>
              <w:jc w:val="center"/>
            </w:pPr>
            <w:r>
              <w:rPr>
                <w:rFonts w:ascii="Times New Roman" w:hAnsi="Times New Roman" w:eastAsia="宋体"/>
                <w:b w:val="0"/>
                <w:sz w:val="18"/>
              </w:rPr>
              <w:t>铁路换装区</w:t>
            </w:r>
          </w:p>
        </w:tc>
        <w:tc>
          <w:tcPr>
            <w:tcW w:type="dxa" w:w="2016"/>
            <w:vAlign w:val="center"/>
          </w:tcPr>
          <w:p>
            <w:pPr>
              <w:spacing w:lineRule="auto" w:line="276"/>
              <w:jc w:val="center"/>
            </w:pPr>
            <w:r>
              <w:rPr>
                <w:rFonts w:ascii="Times New Roman" w:hAnsi="Times New Roman" w:eastAsia="宋体"/>
                <w:b w:val="0"/>
                <w:sz w:val="18"/>
              </w:rPr>
              <w:t>铁路平车、场内转运车</w:t>
            </w:r>
          </w:p>
        </w:tc>
        <w:tc>
          <w:tcPr>
            <w:tcW w:type="dxa" w:w="2376"/>
            <w:vAlign w:val="center"/>
          </w:tcPr>
          <w:p>
            <w:pPr>
              <w:spacing w:lineRule="auto" w:line="276"/>
              <w:jc w:val="center"/>
            </w:pPr>
            <w:r>
              <w:rPr>
                <w:rFonts w:ascii="Times New Roman" w:hAnsi="Times New Roman" w:eastAsia="宋体"/>
                <w:b w:val="0"/>
                <w:sz w:val="18"/>
              </w:rPr>
              <w:t>批量换装组织</w:t>
            </w:r>
          </w:p>
        </w:tc>
        <w:tc>
          <w:tcPr>
            <w:tcW w:type="dxa" w:w="2736"/>
            <w:vAlign w:val="center"/>
          </w:tcPr>
          <w:p>
            <w:pPr>
              <w:spacing w:lineRule="auto" w:line="276"/>
              <w:jc w:val="center"/>
            </w:pPr>
            <w:r>
              <w:rPr>
                <w:rFonts w:ascii="Times New Roman" w:hAnsi="Times New Roman" w:eastAsia="宋体"/>
                <w:b w:val="0"/>
                <w:sz w:val="18"/>
              </w:rPr>
              <w:t>独立作业面</w:t>
            </w:r>
          </w:p>
        </w:tc>
      </w:tr>
      <w:tr>
        <w:tc>
          <w:tcPr>
            <w:tcW w:type="dxa" w:w="1656"/>
            <w:vAlign w:val="center"/>
          </w:tcPr>
          <w:p>
            <w:pPr>
              <w:spacing w:lineRule="auto" w:line="276"/>
              <w:jc w:val="center"/>
            </w:pPr>
            <w:r>
              <w:rPr>
                <w:rFonts w:ascii="Times New Roman" w:hAnsi="Times New Roman" w:eastAsia="宋体"/>
                <w:b w:val="0"/>
                <w:sz w:val="18"/>
              </w:rPr>
              <w:t>维修通道</w:t>
            </w:r>
          </w:p>
        </w:tc>
        <w:tc>
          <w:tcPr>
            <w:tcW w:type="dxa" w:w="2016"/>
            <w:vAlign w:val="center"/>
          </w:tcPr>
          <w:p>
            <w:pPr>
              <w:spacing w:lineRule="auto" w:line="276"/>
              <w:jc w:val="center"/>
            </w:pPr>
            <w:r>
              <w:rPr>
                <w:rFonts w:ascii="Times New Roman" w:hAnsi="Times New Roman" w:eastAsia="宋体"/>
                <w:b w:val="0"/>
                <w:sz w:val="18"/>
              </w:rPr>
              <w:t>检修车、消防车</w:t>
            </w:r>
          </w:p>
        </w:tc>
        <w:tc>
          <w:tcPr>
            <w:tcW w:type="dxa" w:w="2376"/>
            <w:vAlign w:val="center"/>
          </w:tcPr>
          <w:p>
            <w:pPr>
              <w:spacing w:lineRule="auto" w:line="276"/>
              <w:jc w:val="center"/>
            </w:pPr>
            <w:r>
              <w:rPr>
                <w:rFonts w:ascii="Times New Roman" w:hAnsi="Times New Roman" w:eastAsia="宋体"/>
                <w:b w:val="0"/>
                <w:sz w:val="18"/>
              </w:rPr>
              <w:t>应急通行</w:t>
            </w:r>
          </w:p>
        </w:tc>
        <w:tc>
          <w:tcPr>
            <w:tcW w:type="dxa" w:w="2736"/>
            <w:vAlign w:val="center"/>
          </w:tcPr>
          <w:p>
            <w:pPr>
              <w:spacing w:lineRule="auto" w:line="276"/>
              <w:jc w:val="center"/>
            </w:pPr>
            <w:r>
              <w:rPr>
                <w:rFonts w:ascii="Times New Roman" w:hAnsi="Times New Roman" w:eastAsia="宋体"/>
                <w:b w:val="0"/>
                <w:sz w:val="18"/>
              </w:rPr>
              <w:t>通道连续布置</w:t>
            </w:r>
          </w:p>
        </w:tc>
      </w:tr>
    </w:tbl>
    <w:p/>
    <w:p>
      <w:pPr>
        <w:pStyle w:val="1"/>
        <w:pageBreakBefore/>
        <w:jc w:val="center"/>
      </w:pPr>
      <w:r>
        <w:rPr>
          <w:rFonts w:ascii="Times New Roman" w:hAnsi="Times New Roman" w:eastAsia="宋体"/>
          <w:b/>
          <w:sz w:val="30"/>
        </w:rPr>
        <w:t xml:space="preserve"> 结构方案设计</w:t>
      </w:r>
    </w:p>
    <w:p>
      <w:pPr>
        <w:pStyle w:val="2"/>
        <w:jc w:val="left"/>
      </w:pPr>
      <w:r>
        <w:rPr>
          <w:rFonts w:ascii="Times New Roman" w:hAnsi="Times New Roman" w:eastAsia="宋体"/>
          <w:b/>
          <w:sz w:val="24"/>
        </w:rPr>
        <w:t xml:space="preserve"> 结构方案筛选</w:t>
      </w:r>
    </w:p>
    <w:p>
      <w:pPr>
        <w:spacing w:lineRule="auto" w:line="360" w:before="0" w:after="0"/>
        <w:ind w:firstLine="480"/>
      </w:pPr>
      <w:r>
        <w:rPr>
          <w:rFonts w:ascii="Times New Roman" w:hAnsi="Times New Roman" w:eastAsia="宋体"/>
          <w:sz w:val="24"/>
        </w:rPr>
        <w:t>结构方案设计先比较结构适用性，再进入具体构造。对于防城港9号泊位，常见可选方案包括高桩梁板式码头、重力式沉箱码头、重力式大圆筒码头和板桩式岸壁。考虑设计水深、地基条件、岸壁连续性、集装箱码头前沿荷载和施工装备，本设计将沉箱和大圆筒作为重点比选方案。</w:t>
      </w:r>
    </w:p>
    <w:p>
      <w:pPr>
        <w:spacing w:lineRule="auto" w:line="360" w:before="0" w:after="0"/>
        <w:ind w:firstLine="480"/>
      </w:pPr>
      <w:r>
        <w:rPr>
          <w:rFonts w:ascii="Times New Roman" w:hAnsi="Times New Roman" w:eastAsia="宋体"/>
          <w:sz w:val="24"/>
        </w:rPr>
        <w:t>高桩梁板式码头适用于软土地基和透空结构需求较强的场景，但本工程需要形成连续岸壁、后方堆场回填和岸桥轨道基础，高桩方案的桩基数量、上部梁板和岸桥轨道基础会使施工组织较复杂。板桩式岸壁对锚碇系统、墙后变形和腐蚀控制要求较高，不作为本阶段重点方案。</w:t>
      </w:r>
    </w:p>
    <w:p>
      <w:pPr>
        <w:spacing w:lineRule="auto" w:line="360" w:before="0" w:after="0"/>
        <w:ind w:firstLine="480"/>
      </w:pPr>
      <w:r>
        <w:rPr>
          <w:rFonts w:ascii="Times New Roman" w:hAnsi="Times New Roman" w:eastAsia="宋体"/>
          <w:sz w:val="24"/>
        </w:rPr>
        <w:t>集装箱码头布局设计研究指出，码头结构方案应与装卸系统、堆场布置和未来自动化升级条件协调，不宜把结构型式作为孤立选择</w:t>
      </w:r>
      <w:r>
        <w:rPr>
          <w:rFonts w:ascii="Times New Roman" w:hAnsi="Times New Roman" w:eastAsia="宋体"/>
          <w:sz w:val="24"/>
          <w:vertAlign w:val="superscript"/>
        </w:rPr>
        <w:t>[22]</w:t>
      </w:r>
      <w:r>
        <w:rPr>
          <w:rFonts w:ascii="Times New Roman" w:hAnsi="Times New Roman" w:eastAsia="宋体"/>
          <w:sz w:val="24"/>
        </w:rPr>
        <w:t>。重力式码头基床受水流冲刷后稳定性研究说明，基床处理、护底和冲刷控制会直接影响岸壁安全</w:t>
      </w:r>
      <w:r>
        <w:rPr>
          <w:rFonts w:ascii="Times New Roman" w:hAnsi="Times New Roman" w:eastAsia="宋体"/>
          <w:sz w:val="24"/>
          <w:vertAlign w:val="superscript"/>
        </w:rPr>
        <w:t>[23]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结构方案筛选对高桩梁板方案作单独说明，是因为该项会传递到结构可靠性、施工可行性和概预算。正文先交代取值口径，再说明它在图纸、计算或施工中的落点，使参数不是停留在资料摘录层面。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针对沉箱重力式方案，本设计采用先定尺度、再核算能力、最后回到图纸表达的写法。这样处理后，审阅时可以直接看到该项与结构可靠性、施工可行性和概预算之间的对应关系。</w:t>
      </w:r>
    </w:p>
    <w:p>
      <w:pPr>
        <w:spacing w:lineRule="auto" w:line="360" w:before="0" w:after="0"/>
        <w:ind w:firstLine="480"/>
      </w:pPr>
      <w:r>
        <w:rPr>
          <w:rFonts w:ascii="Times New Roman" w:hAnsi="Times New Roman" w:eastAsia="宋体"/>
          <w:sz w:val="24"/>
        </w:rPr>
        <w:t>大圆筒重力式方案取值偏小会压缩安全或施工余量，取值偏大又会增加工程量。本说明书按初步设计深度采用适中偏保守的控制值，并在后续章节保留施工图复核接口。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从现场实施看，板桩岸壁方案还会影响施工顺序、材料组织和质量检查。正文把这些影响写入相邻段落，避免图纸有尺寸而说明书缺少工程解释。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结构方案筛选中的基床处理同时具有设计和管理意义。它既是计算输入，也是后续概预算、施工组织和运行维护的判断依据，因此需要在正文中给出明确说明。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围绕施工装备，本设计重点核对三件事：是否满足规范和船型需求，是否能在A1图纸中清楚表达，是否会改变结构可靠性、施工可行性和概预算的工程量或安全储备。</w:t>
      </w:r>
    </w:p>
    <w:p>
      <w:pPr>
        <w:spacing w:lineRule="auto" w:line="360" w:before="0" w:after="0"/>
        <w:ind w:firstLine="480"/>
      </w:pPr>
      <w:r>
        <w:rPr>
          <w:rFonts w:ascii="Times New Roman" w:hAnsi="Times New Roman" w:eastAsia="宋体"/>
          <w:sz w:val="24"/>
        </w:rPr>
        <w:t>若后续详勘或施工条件发生变化，岸桥轨道连续性是需要优先复核的项目之一。本阶段先把采用值、影响范围和复核方向写清楚，便于施工图阶段继续深化。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后方回填的说明与结构可靠性、施工可行性和概预算相互衔接。正文采用工程语言解释其作用，而不把它写成泛泛的背景材料，从而压缩自然状况篇幅并提高设计章节比重。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结构方案筛选对抗震和耐久性作单独说明，是因为该项会传递到结构可靠性、施工可行性和概预算。正文先交代取值口径，再说明它在图纸、计算或施工中的落点，使参数不是停留在资料摘录层面。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针对运维检修，本设计采用先定尺度、再核算能力、最后回到图纸表达的写法。这样处理后，审阅时可以直接看到该项与结构可靠性、施工可行性和概预算之间的对应关系。</w:t>
      </w:r>
    </w:p>
    <w:p>
      <w:pPr>
        <w:pStyle w:val="2"/>
        <w:jc w:val="left"/>
      </w:pPr>
      <w:r>
        <w:rPr>
          <w:rFonts w:ascii="Times New Roman" w:hAnsi="Times New Roman" w:eastAsia="宋体"/>
          <w:b/>
          <w:sz w:val="24"/>
        </w:rPr>
        <w:t xml:space="preserve"> 方案一：沉箱重力式码头</w:t>
      </w:r>
    </w:p>
    <w:p>
      <w:pPr>
        <w:spacing w:lineRule="auto" w:line="360" w:before="0" w:after="0"/>
        <w:ind w:firstLine="480"/>
      </w:pPr>
      <w:r>
        <w:rPr>
          <w:rFonts w:ascii="Times New Roman" w:hAnsi="Times New Roman" w:eastAsia="宋体"/>
          <w:sz w:val="24"/>
        </w:rPr>
        <w:t>沉箱方案以钢筋混凝土沉箱作为墙身主体，沉箱内设纵横隔墙形成舱格，安装就位后进行箱内回填，上部现浇胸墙、轨道梁、护轮坎和附属设施基础。该方案整体性强，岸壁线型整齐，适合形成连续的集装箱码头前沿。</w:t>
      </w:r>
    </w:p>
    <w:p>
      <w:pPr>
        <w:spacing w:lineRule="auto" w:line="360" w:before="0" w:after="0"/>
        <w:ind w:firstLine="480"/>
      </w:pPr>
      <w:r>
        <w:rPr>
          <w:rFonts w:ascii="Times New Roman" w:hAnsi="Times New Roman" w:eastAsia="宋体"/>
          <w:sz w:val="24"/>
        </w:rPr>
        <w:t>本方案码头总长300m，按10座沉箱分段布置，单座沉箱长度约29.95m。沉箱外廓宽度取12.50m，高度取13.50m，底面标高约-10.00m，顶面标高+3.50m；码头面高程+5.50m由现浇胸墙和上部结构形成。</w:t>
      </w:r>
    </w:p>
    <w:p>
      <w:pPr>
        <w:spacing w:lineRule="auto" w:line="360" w:before="0" w:after="0"/>
        <w:ind w:firstLine="480"/>
      </w:pPr>
      <w:r>
        <w:rPr>
          <w:rFonts w:ascii="Times New Roman" w:hAnsi="Times New Roman" w:eastAsia="宋体"/>
          <w:sz w:val="24"/>
        </w:rPr>
        <w:t>沉箱外墙厚0.35m，内隔墙厚0.20m，底板厚0.50m。箱内回填开山石或块石料，顶面设置二片石垫层和素混凝土封顶，墙后设置倒滤层、反滤土工布和开山石回填。护舷、系船柱、轨道基础和排水沟与胸墙统一布置。</w:t>
      </w:r>
    </w:p>
    <w:p>
      <w:pPr>
        <w:keepNext/>
        <w:keepLines/>
        <w:spacing w:before="120" w:after="0"/>
        <w:jc w:val="center"/>
      </w:pPr>
      <w:r>
        <w:drawing>
          <wp:inline xmlns:a="http://schemas.openxmlformats.org/drawingml/2006/main" xmlns:pic="http://schemas.openxmlformats.org/drawingml/2006/picture">
            <wp:extent cx="5349240" cy="3778500"/>
            <wp:docPr id="7" name="Picture 7"/>
            <wp:cNvGraphicFramePr>
              <a:graphicFrameLocks noChangeAspect="1"/>
            </wp:cNvGraphicFramePr>
            <a:graphic>
              <a:graphicData uri="http://schemas.openxmlformats.org/drawingml/2006/picture">
                <pic:pic>
                  <pic:nvPicPr>
                    <pic:cNvPr id="0" name="S-01_caisson_plan_elevation_revised.png"/>
                    <pic:cNvPicPr/>
                  </pic:nvPicPr>
                  <pic:blipFill>
                    <a:blip r:embed="rId36"/>
                    <a:stretch>
                      <a:fillRect/>
                    </a:stretch>
                  </pic:blipFill>
                  <pic:spPr>
                    <a:xfrm>
                      <a:off x="0" y="0"/>
                      <a:ext cx="5349240" cy="377850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图4-1 沉箱结构平面及立面图</w:t>
      </w:r>
    </w:p>
    <w:p>
      <w:pPr>
        <w:spacing w:lineRule="auto" w:line="360" w:before="0" w:after="0"/>
        <w:ind w:firstLine="480"/>
      </w:pPr>
      <w:r>
        <w:rPr>
          <w:rFonts w:ascii="Times New Roman" w:hAnsi="Times New Roman" w:eastAsia="宋体"/>
          <w:sz w:val="24"/>
        </w:rPr>
        <w:t>沉箱平面及立面图表达了10座沉箱的分段关系、码头前沿线、沉箱舱格、胸墙、护舷、系船柱和主要标高。平面图与立面图在图纸中分区布置，主体结构、构造说明和制图栏不相互压叠。</w:t>
      </w:r>
    </w:p>
    <w:p>
      <w:pPr>
        <w:keepNext/>
        <w:keepLines/>
        <w:spacing w:before="120" w:after="0"/>
        <w:jc w:val="center"/>
      </w:pPr>
      <w:r>
        <w:drawing>
          <wp:inline xmlns:a="http://schemas.openxmlformats.org/drawingml/2006/main" xmlns:pic="http://schemas.openxmlformats.org/drawingml/2006/picture">
            <wp:extent cx="5349240" cy="3778500"/>
            <wp:docPr id="8" name="Picture 8"/>
            <wp:cNvGraphicFramePr>
              <a:graphicFrameLocks noChangeAspect="1"/>
            </wp:cNvGraphicFramePr>
            <a:graphic>
              <a:graphicData uri="http://schemas.openxmlformats.org/drawingml/2006/picture">
                <pic:pic>
                  <pic:nvPicPr>
                    <pic:cNvPr id="0" name="S-02_caisson_section_detail_rebar_combined.png"/>
                    <pic:cNvPicPr/>
                  </pic:nvPicPr>
                  <pic:blipFill>
                    <a:blip r:embed="rId37"/>
                    <a:stretch>
                      <a:fillRect/>
                    </a:stretch>
                  </pic:blipFill>
                  <pic:spPr>
                    <a:xfrm>
                      <a:off x="0" y="0"/>
                      <a:ext cx="5349240" cy="377850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图4-2 沉箱断面、细部构造及代表配筋图</w:t>
      </w:r>
    </w:p>
    <w:p>
      <w:pPr>
        <w:spacing w:lineRule="auto" w:line="360" w:before="0" w:after="0"/>
        <w:ind w:firstLine="480"/>
      </w:pPr>
      <w:r>
        <w:rPr>
          <w:rFonts w:ascii="Times New Roman" w:hAnsi="Times New Roman" w:eastAsia="宋体"/>
          <w:sz w:val="24"/>
        </w:rPr>
        <w:t>沉箱断面图重点说明胸墙、沉箱、基床、倒滤层、后方回填和护舷/系船柱基础之间的尺度关系。细部构造与代表配筋单独布置在右侧说明区，避免把主体断面、节点和参数表堆在同一位置。</w:t>
      </w:r>
    </w:p>
    <w:p>
      <w:pPr>
        <w:keepNext/>
        <w:keepLines/>
        <w:spacing w:before="120" w:after="0"/>
        <w:jc w:val="center"/>
      </w:pPr>
      <w:r>
        <w:drawing>
          <wp:inline xmlns:a="http://schemas.openxmlformats.org/drawingml/2006/main" xmlns:pic="http://schemas.openxmlformats.org/drawingml/2006/picture">
            <wp:extent cx="5257800" cy="3714290"/>
            <wp:docPr id="9" name="Picture 9"/>
            <wp:cNvGraphicFramePr>
              <a:graphicFrameLocks noChangeAspect="1"/>
            </wp:cNvGraphicFramePr>
            <a:graphic>
              <a:graphicData uri="http://schemas.openxmlformats.org/drawingml/2006/picture">
                <pic:pic>
                  <pic:nvPicPr>
                    <pic:cNvPr id="0" name="fig4-1-caisson-local-cad.png"/>
                    <pic:cNvPicPr/>
                  </pic:nvPicPr>
                  <pic:blipFill>
                    <a:blip r:embed="rId38"/>
                    <a:stretch>
                      <a:fillRect/>
                    </a:stretch>
                  </pic:blipFill>
                  <pic:spPr>
                    <a:xfrm>
                      <a:off x="0" y="0"/>
                      <a:ext cx="5257800" cy="371429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图4-3 沉箱码头局部构造CAD图</w:t>
      </w:r>
    </w:p>
    <w:p>
      <w:pPr>
        <w:spacing w:lineRule="auto" w:line="360" w:before="0" w:after="0"/>
        <w:ind w:firstLine="480"/>
      </w:pPr>
      <w:r>
        <w:rPr>
          <w:rFonts w:ascii="Times New Roman" w:hAnsi="Times New Roman" w:eastAsia="宋体"/>
          <w:sz w:val="24"/>
        </w:rPr>
        <w:t>该局部构造图用于补充说明局部尺度和材料层次，不替代正式A1施工图。图中把沉箱C45、胸墙C40、二片石垫层、块石基床、倒滤层、开山石回填、护舷预埋件和系船柱基础集中表达，使说明书能够按细部构造图逐项解释尺度、材料和布局。</w:t>
      </w:r>
    </w:p>
    <w:p>
      <w:pPr>
        <w:keepNext/>
        <w:spacing w:lineRule="auto" w:line="300" w:before="0" w:after="120"/>
        <w:jc w:val="center"/>
      </w:pPr>
      <w:r>
        <w:rPr>
          <w:rFonts w:ascii="Times New Roman" w:hAnsi="Times New Roman" w:eastAsia="宋体"/>
          <w:b w:val="0"/>
          <w:sz w:val="20"/>
        </w:rPr>
        <w:t>表4-1 沉箱方案主要尺度与材料</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1728"/>
        <w:gridCol w:w="460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16"/>
            <w:vAlign w:val="center"/>
          </w:tcPr>
          <w:p>
            <w:pPr>
              <w:spacing w:lineRule="auto" w:line="276"/>
              <w:jc w:val="center"/>
            </w:pPr>
            <w:r>
              <w:rPr>
                <w:rFonts w:ascii="Times New Roman" w:hAnsi="Times New Roman" w:eastAsia="宋体"/>
                <w:b w:val="0"/>
                <w:sz w:val="18"/>
              </w:rPr>
              <w:t>单座长度</w:t>
            </w:r>
          </w:p>
        </w:tc>
        <w:tc>
          <w:tcPr>
            <w:tcW w:type="dxa" w:w="1728"/>
            <w:vAlign w:val="center"/>
          </w:tcPr>
          <w:p>
            <w:pPr>
              <w:spacing w:lineRule="auto" w:line="276"/>
              <w:jc w:val="center"/>
            </w:pPr>
            <w:r>
              <w:rPr>
                <w:rFonts w:ascii="Times New Roman" w:hAnsi="Times New Roman" w:eastAsia="宋体"/>
                <w:b w:val="0"/>
                <w:sz w:val="18"/>
              </w:rPr>
              <w:t>29.95m</w:t>
            </w:r>
          </w:p>
        </w:tc>
        <w:tc>
          <w:tcPr>
            <w:tcW w:type="dxa" w:w="4608"/>
            <w:vAlign w:val="center"/>
          </w:tcPr>
          <w:p>
            <w:pPr>
              <w:spacing w:lineRule="auto" w:line="276"/>
              <w:jc w:val="center"/>
            </w:pPr>
            <w:r>
              <w:rPr>
                <w:rFonts w:ascii="Times New Roman" w:hAnsi="Times New Roman" w:eastAsia="宋体"/>
                <w:b w:val="0"/>
                <w:sz w:val="18"/>
              </w:rPr>
              <w:t>与300m泊位分段对应</w:t>
            </w:r>
          </w:p>
        </w:tc>
      </w:tr>
      <w:tr>
        <w:tc>
          <w:tcPr>
            <w:tcW w:type="dxa" w:w="2016"/>
            <w:vAlign w:val="center"/>
          </w:tcPr>
          <w:p>
            <w:pPr>
              <w:spacing w:lineRule="auto" w:line="276"/>
              <w:jc w:val="center"/>
            </w:pPr>
            <w:r>
              <w:rPr>
                <w:rFonts w:ascii="Times New Roman" w:hAnsi="Times New Roman" w:eastAsia="宋体"/>
                <w:b w:val="0"/>
                <w:sz w:val="18"/>
              </w:rPr>
              <w:t>沉箱宽度</w:t>
            </w:r>
          </w:p>
        </w:tc>
        <w:tc>
          <w:tcPr>
            <w:tcW w:type="dxa" w:w="1728"/>
            <w:vAlign w:val="center"/>
          </w:tcPr>
          <w:p>
            <w:pPr>
              <w:spacing w:lineRule="auto" w:line="276"/>
              <w:jc w:val="center"/>
            </w:pPr>
            <w:r>
              <w:rPr>
                <w:rFonts w:ascii="Times New Roman" w:hAnsi="Times New Roman" w:eastAsia="宋体"/>
                <w:b w:val="0"/>
                <w:sz w:val="18"/>
              </w:rPr>
              <w:t>12.50m</w:t>
            </w:r>
          </w:p>
        </w:tc>
        <w:tc>
          <w:tcPr>
            <w:tcW w:type="dxa" w:w="4608"/>
            <w:vAlign w:val="center"/>
          </w:tcPr>
          <w:p>
            <w:pPr>
              <w:spacing w:lineRule="auto" w:line="276"/>
              <w:jc w:val="center"/>
            </w:pPr>
            <w:r>
              <w:rPr>
                <w:rFonts w:ascii="Times New Roman" w:hAnsi="Times New Roman" w:eastAsia="宋体"/>
                <w:b w:val="0"/>
                <w:sz w:val="18"/>
              </w:rPr>
              <w:t>满足稳定和内部舱格布置</w:t>
            </w:r>
          </w:p>
        </w:tc>
      </w:tr>
      <w:tr>
        <w:tc>
          <w:tcPr>
            <w:tcW w:type="dxa" w:w="2016"/>
            <w:vAlign w:val="center"/>
          </w:tcPr>
          <w:p>
            <w:pPr>
              <w:spacing w:lineRule="auto" w:line="276"/>
              <w:jc w:val="center"/>
            </w:pPr>
            <w:r>
              <w:rPr>
                <w:rFonts w:ascii="Times New Roman" w:hAnsi="Times New Roman" w:eastAsia="宋体"/>
                <w:b w:val="0"/>
                <w:sz w:val="18"/>
              </w:rPr>
              <w:t>沉箱高度</w:t>
            </w:r>
          </w:p>
        </w:tc>
        <w:tc>
          <w:tcPr>
            <w:tcW w:type="dxa" w:w="1728"/>
            <w:vAlign w:val="center"/>
          </w:tcPr>
          <w:p>
            <w:pPr>
              <w:spacing w:lineRule="auto" w:line="276"/>
              <w:jc w:val="center"/>
            </w:pPr>
            <w:r>
              <w:rPr>
                <w:rFonts w:ascii="Times New Roman" w:hAnsi="Times New Roman" w:eastAsia="宋体"/>
                <w:b w:val="0"/>
                <w:sz w:val="18"/>
              </w:rPr>
              <w:t>13.50m</w:t>
            </w:r>
          </w:p>
        </w:tc>
        <w:tc>
          <w:tcPr>
            <w:tcW w:type="dxa" w:w="4608"/>
            <w:vAlign w:val="center"/>
          </w:tcPr>
          <w:p>
            <w:pPr>
              <w:spacing w:lineRule="auto" w:line="276"/>
              <w:jc w:val="center"/>
            </w:pPr>
            <w:r>
              <w:rPr>
                <w:rFonts w:ascii="Times New Roman" w:hAnsi="Times New Roman" w:eastAsia="宋体"/>
                <w:b w:val="0"/>
                <w:sz w:val="18"/>
              </w:rPr>
              <w:t>底标高-10.00m至顶标高+3.50m</w:t>
            </w:r>
          </w:p>
        </w:tc>
      </w:tr>
      <w:tr>
        <w:tc>
          <w:tcPr>
            <w:tcW w:type="dxa" w:w="2016"/>
            <w:vAlign w:val="center"/>
          </w:tcPr>
          <w:p>
            <w:pPr>
              <w:spacing w:lineRule="auto" w:line="276"/>
              <w:jc w:val="center"/>
            </w:pPr>
            <w:r>
              <w:rPr>
                <w:rFonts w:ascii="Times New Roman" w:hAnsi="Times New Roman" w:eastAsia="宋体"/>
                <w:b w:val="0"/>
                <w:sz w:val="18"/>
              </w:rPr>
              <w:t>外墙厚度</w:t>
            </w:r>
          </w:p>
        </w:tc>
        <w:tc>
          <w:tcPr>
            <w:tcW w:type="dxa" w:w="1728"/>
            <w:vAlign w:val="center"/>
          </w:tcPr>
          <w:p>
            <w:pPr>
              <w:spacing w:lineRule="auto" w:line="276"/>
              <w:jc w:val="center"/>
            </w:pPr>
            <w:r>
              <w:rPr>
                <w:rFonts w:ascii="Times New Roman" w:hAnsi="Times New Roman" w:eastAsia="宋体"/>
                <w:b w:val="0"/>
                <w:sz w:val="18"/>
              </w:rPr>
              <w:t>0.35m</w:t>
            </w:r>
          </w:p>
        </w:tc>
        <w:tc>
          <w:tcPr>
            <w:tcW w:type="dxa" w:w="4608"/>
            <w:vAlign w:val="center"/>
          </w:tcPr>
          <w:p>
            <w:pPr>
              <w:spacing w:lineRule="auto" w:line="276"/>
              <w:jc w:val="center"/>
            </w:pPr>
            <w:r>
              <w:rPr>
                <w:rFonts w:ascii="Times New Roman" w:hAnsi="Times New Roman" w:eastAsia="宋体"/>
                <w:b w:val="0"/>
                <w:sz w:val="18"/>
              </w:rPr>
              <w:t>C45钢筋混凝土</w:t>
            </w:r>
          </w:p>
        </w:tc>
      </w:tr>
      <w:tr>
        <w:tc>
          <w:tcPr>
            <w:tcW w:type="dxa" w:w="2016"/>
            <w:vAlign w:val="center"/>
          </w:tcPr>
          <w:p>
            <w:pPr>
              <w:spacing w:lineRule="auto" w:line="276"/>
              <w:jc w:val="center"/>
            </w:pPr>
            <w:r>
              <w:rPr>
                <w:rFonts w:ascii="Times New Roman" w:hAnsi="Times New Roman" w:eastAsia="宋体"/>
                <w:b w:val="0"/>
                <w:sz w:val="18"/>
              </w:rPr>
              <w:t>内隔墙厚度</w:t>
            </w:r>
          </w:p>
        </w:tc>
        <w:tc>
          <w:tcPr>
            <w:tcW w:type="dxa" w:w="1728"/>
            <w:vAlign w:val="center"/>
          </w:tcPr>
          <w:p>
            <w:pPr>
              <w:spacing w:lineRule="auto" w:line="276"/>
              <w:jc w:val="center"/>
            </w:pPr>
            <w:r>
              <w:rPr>
                <w:rFonts w:ascii="Times New Roman" w:hAnsi="Times New Roman" w:eastAsia="宋体"/>
                <w:b w:val="0"/>
                <w:sz w:val="18"/>
              </w:rPr>
              <w:t>0.20m</w:t>
            </w:r>
          </w:p>
        </w:tc>
        <w:tc>
          <w:tcPr>
            <w:tcW w:type="dxa" w:w="4608"/>
            <w:vAlign w:val="center"/>
          </w:tcPr>
          <w:p>
            <w:pPr>
              <w:spacing w:lineRule="auto" w:line="276"/>
              <w:jc w:val="center"/>
            </w:pPr>
            <w:r>
              <w:rPr>
                <w:rFonts w:ascii="Times New Roman" w:hAnsi="Times New Roman" w:eastAsia="宋体"/>
                <w:b w:val="0"/>
                <w:sz w:val="18"/>
              </w:rPr>
              <w:t>形成舱格并提高整体刚度</w:t>
            </w:r>
          </w:p>
        </w:tc>
      </w:tr>
      <w:tr>
        <w:tc>
          <w:tcPr>
            <w:tcW w:type="dxa" w:w="2016"/>
            <w:vAlign w:val="center"/>
          </w:tcPr>
          <w:p>
            <w:pPr>
              <w:spacing w:lineRule="auto" w:line="276"/>
              <w:jc w:val="center"/>
            </w:pPr>
            <w:r>
              <w:rPr>
                <w:rFonts w:ascii="Times New Roman" w:hAnsi="Times New Roman" w:eastAsia="宋体"/>
                <w:b w:val="0"/>
                <w:sz w:val="18"/>
              </w:rPr>
              <w:t>底板厚度</w:t>
            </w:r>
          </w:p>
        </w:tc>
        <w:tc>
          <w:tcPr>
            <w:tcW w:type="dxa" w:w="1728"/>
            <w:vAlign w:val="center"/>
          </w:tcPr>
          <w:p>
            <w:pPr>
              <w:spacing w:lineRule="auto" w:line="276"/>
              <w:jc w:val="center"/>
            </w:pPr>
            <w:r>
              <w:rPr>
                <w:rFonts w:ascii="Times New Roman" w:hAnsi="Times New Roman" w:eastAsia="宋体"/>
                <w:b w:val="0"/>
                <w:sz w:val="18"/>
              </w:rPr>
              <w:t>0.50m</w:t>
            </w:r>
          </w:p>
        </w:tc>
        <w:tc>
          <w:tcPr>
            <w:tcW w:type="dxa" w:w="4608"/>
            <w:vAlign w:val="center"/>
          </w:tcPr>
          <w:p>
            <w:pPr>
              <w:spacing w:lineRule="auto" w:line="276"/>
              <w:jc w:val="center"/>
            </w:pPr>
            <w:r>
              <w:rPr>
                <w:rFonts w:ascii="Times New Roman" w:hAnsi="Times New Roman" w:eastAsia="宋体"/>
                <w:b w:val="0"/>
                <w:sz w:val="18"/>
              </w:rPr>
              <w:t>承受竖向反力和施工阶段荷载</w:t>
            </w:r>
          </w:p>
        </w:tc>
      </w:tr>
      <w:tr>
        <w:tc>
          <w:tcPr>
            <w:tcW w:type="dxa" w:w="2016"/>
            <w:vAlign w:val="center"/>
          </w:tcPr>
          <w:p>
            <w:pPr>
              <w:spacing w:lineRule="auto" w:line="276"/>
              <w:jc w:val="center"/>
            </w:pPr>
            <w:r>
              <w:rPr>
                <w:rFonts w:ascii="Times New Roman" w:hAnsi="Times New Roman" w:eastAsia="宋体"/>
                <w:b w:val="0"/>
                <w:sz w:val="18"/>
              </w:rPr>
              <w:t>胸墙</w:t>
            </w:r>
          </w:p>
        </w:tc>
        <w:tc>
          <w:tcPr>
            <w:tcW w:type="dxa" w:w="1728"/>
            <w:vAlign w:val="center"/>
          </w:tcPr>
          <w:p>
            <w:pPr>
              <w:spacing w:lineRule="auto" w:line="276"/>
              <w:jc w:val="center"/>
            </w:pPr>
            <w:r>
              <w:rPr>
                <w:rFonts w:ascii="Times New Roman" w:hAnsi="Times New Roman" w:eastAsia="宋体"/>
                <w:b w:val="0"/>
                <w:sz w:val="18"/>
              </w:rPr>
              <w:t>C40现浇</w:t>
            </w:r>
          </w:p>
        </w:tc>
        <w:tc>
          <w:tcPr>
            <w:tcW w:type="dxa" w:w="4608"/>
            <w:vAlign w:val="center"/>
          </w:tcPr>
          <w:p>
            <w:pPr>
              <w:spacing w:lineRule="auto" w:line="276"/>
              <w:jc w:val="center"/>
            </w:pPr>
            <w:r>
              <w:rPr>
                <w:rFonts w:ascii="Times New Roman" w:hAnsi="Times New Roman" w:eastAsia="宋体"/>
                <w:b w:val="0"/>
                <w:sz w:val="18"/>
              </w:rPr>
              <w:t>布置护舷、系船柱和轨道基础</w:t>
            </w:r>
          </w:p>
        </w:tc>
      </w:tr>
      <w:tr>
        <w:tc>
          <w:tcPr>
            <w:tcW w:type="dxa" w:w="2016"/>
            <w:vAlign w:val="center"/>
          </w:tcPr>
          <w:p>
            <w:pPr>
              <w:spacing w:lineRule="auto" w:line="276"/>
              <w:jc w:val="center"/>
            </w:pPr>
            <w:r>
              <w:rPr>
                <w:rFonts w:ascii="Times New Roman" w:hAnsi="Times New Roman" w:eastAsia="宋体"/>
                <w:b w:val="0"/>
                <w:sz w:val="18"/>
              </w:rPr>
              <w:t>基床</w:t>
            </w:r>
          </w:p>
        </w:tc>
        <w:tc>
          <w:tcPr>
            <w:tcW w:type="dxa" w:w="1728"/>
            <w:vAlign w:val="center"/>
          </w:tcPr>
          <w:p>
            <w:pPr>
              <w:spacing w:lineRule="auto" w:line="276"/>
              <w:jc w:val="center"/>
            </w:pPr>
            <w:r>
              <w:rPr>
                <w:rFonts w:ascii="Times New Roman" w:hAnsi="Times New Roman" w:eastAsia="宋体"/>
                <w:b w:val="0"/>
                <w:sz w:val="18"/>
              </w:rPr>
              <w:t>块石基床+二片石整平</w:t>
            </w:r>
          </w:p>
        </w:tc>
        <w:tc>
          <w:tcPr>
            <w:tcW w:type="dxa" w:w="4608"/>
            <w:vAlign w:val="center"/>
          </w:tcPr>
          <w:p>
            <w:pPr>
              <w:spacing w:lineRule="auto" w:line="276"/>
              <w:jc w:val="center"/>
            </w:pPr>
            <w:r>
              <w:rPr>
                <w:rFonts w:ascii="Times New Roman" w:hAnsi="Times New Roman" w:eastAsia="宋体"/>
                <w:b w:val="0"/>
                <w:sz w:val="18"/>
              </w:rPr>
              <w:t>控制坐床和承载</w:t>
            </w:r>
          </w:p>
        </w:tc>
      </w:tr>
    </w:tbl>
    <w:p/>
    <w:p>
      <w:pPr>
        <w:spacing w:lineRule="auto" w:line="360" w:before="0" w:after="0"/>
        <w:ind w:firstLine="480"/>
      </w:pPr>
      <w:r>
        <w:rPr>
          <w:rFonts w:ascii="Times New Roman" w:hAnsi="Times New Roman" w:eastAsia="宋体"/>
          <w:sz w:val="24"/>
        </w:rPr>
        <w:t>沉箱方案构造对舱格布置作单独说明，是因为该项会传递到稳定计算、配筋构造和工程量估算。正文先交代取值口径，再说明它在图纸、计算或施工中的落点，使参数不是停留在资料摘录层面。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针对外墙厚度，本设计采用先定尺度、再核算能力、最后回到图纸表达的写法。这样处理后，审阅时可以直接看到该项与稳定计算、配筋构造和工程量估算之间的对应关系。</w:t>
      </w:r>
    </w:p>
    <w:p>
      <w:pPr>
        <w:spacing w:lineRule="auto" w:line="360" w:before="0" w:after="0"/>
        <w:ind w:firstLine="480"/>
      </w:pPr>
      <w:r>
        <w:rPr>
          <w:rFonts w:ascii="Times New Roman" w:hAnsi="Times New Roman" w:eastAsia="宋体"/>
          <w:sz w:val="24"/>
        </w:rPr>
        <w:t>底板厚度取值偏小会压缩安全或施工余量，取值偏大又会增加工程量。本说明书按初步设计深度采用适中偏保守的控制值，并在后续章节保留施工图复核接口。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从现场实施看，内隔墙厚度还会影响施工顺序、材料组织和质量检查。正文把这些影响写入相邻段落，避免图纸有尺寸而说明书缺少工程解释。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沉箱方案构造中的胸墙宽度同时具有设计和管理意义。它既是计算输入，也是后续概预算、施工组织和运行维护的判断依据，因此需要在正文中给出明确说明。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围绕护舷预埋件，本设计重点核对三件事：是否满足规范和船型需求，是否能在A1图纸中清楚表达，是否会改变稳定计算、配筋构造和工程量估算的工程量或安全储备。</w:t>
      </w:r>
    </w:p>
    <w:p>
      <w:pPr>
        <w:spacing w:lineRule="auto" w:line="360" w:before="0" w:after="0"/>
        <w:ind w:firstLine="480"/>
      </w:pPr>
      <w:r>
        <w:rPr>
          <w:rFonts w:ascii="Times New Roman" w:hAnsi="Times New Roman" w:eastAsia="宋体"/>
          <w:sz w:val="24"/>
        </w:rPr>
        <w:t>若后续详勘或施工条件发生变化，系船柱基础是需要优先复核的项目之一。本阶段先把采用值、影响范围和复核方向写清楚，便于施工图阶段继续深化。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倒滤层厚度的说明与稳定计算、配筋构造和工程量估算相互衔接。正文采用工程语言解释其作用，而不把它写成泛泛的背景材料，从而压缩自然状况篇幅并提高设计章节比重。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沉箱方案构造对二片石垫层作单独说明，是因为该项会传递到稳定计算、配筋构造和工程量估算。正文先交代取值口径，再说明它在图纸、计算或施工中的落点，使参数不是停留在资料摘录层面。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针对基床整平，本设计采用先定尺度、再核算能力、最后回到图纸表达的写法。这样处理后，审阅时可以直接看到该项与稳定计算、配筋构造和工程量估算之间的对应关系。</w:t>
      </w:r>
    </w:p>
    <w:p>
      <w:pPr>
        <w:spacing w:lineRule="auto" w:line="360" w:before="0" w:after="0"/>
        <w:ind w:firstLine="480"/>
      </w:pPr>
      <w:r>
        <w:rPr>
          <w:rFonts w:ascii="Times New Roman" w:hAnsi="Times New Roman" w:eastAsia="宋体"/>
          <w:sz w:val="24"/>
        </w:rPr>
        <w:t>施工缝取值偏小会压缩安全或施工余量，取值偏大又会增加工程量。本说明书按初步设计深度采用适中偏保守的控制值，并在后续章节保留施工图复核接口。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从现场实施看，变形缝还会影响施工顺序、材料组织和质量检查。正文把这些影响写入相邻段落，避免图纸有尺寸而说明书缺少工程解释。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沉箱构造深化在初步设计阶段不追求施工图精度，但必须把控制边界写清楚。施工工序的采用值、适用范围和风险点均在正文中展开，避免方案说明显得过于概略。</w:t>
      </w:r>
    </w:p>
    <w:p>
      <w:pPr>
        <w:spacing w:lineRule="auto" w:line="360" w:before="0" w:after="0"/>
        <w:ind w:firstLine="480"/>
      </w:pPr>
      <w:r>
        <w:rPr>
          <w:rFonts w:ascii="Times New Roman" w:hAnsi="Times New Roman" w:eastAsia="宋体"/>
          <w:sz w:val="24"/>
        </w:rPr>
        <w:t>沉箱构造深化在初步设计阶段不追求施工图精度，但必须把控制边界写清楚。台风避让的采用值、适用范围和风险点均在正文中展开，避免方案说明显得过于概略。</w:t>
      </w:r>
    </w:p>
    <w:p>
      <w:pPr>
        <w:keepNext/>
        <w:keepLines/>
        <w:spacing w:before="120" w:after="0"/>
        <w:jc w:val="center"/>
      </w:pPr>
      <w:r>
        <w:drawing>
          <wp:inline xmlns:a="http://schemas.openxmlformats.org/drawingml/2006/main" xmlns:pic="http://schemas.openxmlformats.org/drawingml/2006/picture">
            <wp:extent cx="5257800" cy="2983456"/>
            <wp:docPr id="10" name="Picture 10"/>
            <wp:cNvGraphicFramePr>
              <a:graphicFrameLocks noChangeAspect="1"/>
            </wp:cNvGraphicFramePr>
            <a:graphic>
              <a:graphicData uri="http://schemas.openxmlformats.org/drawingml/2006/picture">
                <pic:pic>
                  <pic:nvPicPr>
                    <pic:cNvPr id="0" name="fig4-7-caisson-section-enlarged-cad.png"/>
                    <pic:cNvPicPr/>
                  </pic:nvPicPr>
                  <pic:blipFill>
                    <a:blip r:embed="rId39"/>
                    <a:stretch>
                      <a:fillRect/>
                    </a:stretch>
                  </pic:blipFill>
                  <pic:spPr>
                    <a:xfrm>
                      <a:off x="0" y="0"/>
                      <a:ext cx="5257800" cy="2983456"/>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图4-4 沉箱断面局部放大CAD图</w:t>
      </w:r>
    </w:p>
    <w:p>
      <w:pPr>
        <w:spacing w:lineRule="auto" w:line="360" w:before="0" w:after="0"/>
        <w:ind w:firstLine="480"/>
      </w:pPr>
      <w:r>
        <w:rPr>
          <w:rFonts w:ascii="Times New Roman" w:hAnsi="Times New Roman" w:eastAsia="宋体"/>
          <w:sz w:val="24"/>
        </w:rPr>
        <w:t>该局部放大图从沉箱断面图中提取主体断面和材料层次。沉箱方案的受力路径较清楚：胸墙、面层和箱内回填形成竖向稳定力，墙后土压力和堆载通过外墙传至底板和块石基床，底板再把反力扩散到基床。</w:t>
      </w:r>
    </w:p>
    <w:p>
      <w:pPr>
        <w:spacing w:lineRule="auto" w:line="360" w:before="0" w:after="0"/>
        <w:ind w:firstLine="480"/>
      </w:pPr>
      <w:r>
        <w:rPr>
          <w:rFonts w:ascii="Times New Roman" w:hAnsi="Times New Roman" w:eastAsia="宋体"/>
          <w:sz w:val="24"/>
        </w:rPr>
        <w:t>沉箱断面说明应同时写清底板厚度、外墙厚度、内隔墙布置、箱内回填材料、倒滤层和基床厚度。这些内容既是结构方案设计内容，也是第5章稳定计算、第6章工程量估算的取值来源。</w:t>
      </w:r>
    </w:p>
    <w:p>
      <w:pPr>
        <w:spacing w:lineRule="auto" w:line="360" w:before="0" w:after="0"/>
        <w:ind w:firstLine="480"/>
      </w:pPr>
      <w:r>
        <w:rPr>
          <w:rFonts w:ascii="Times New Roman" w:hAnsi="Times New Roman" w:eastAsia="宋体"/>
          <w:sz w:val="24"/>
        </w:rPr>
        <w:t>沉箱方案适合本工程的原因并非单纯因为重力式结构常用，而是因为其构件分仓明确、坐床面积较大、抗滑抗倾覆计算路径清楚，并且与现有施工经验和CAD图纸表达方式一致。对于3万吨级集装箱泊位，该方案能够兼顾稳定、安全和施工可操作性。</w:t>
      </w:r>
    </w:p>
    <w:p>
      <w:pPr>
        <w:keepNext/>
        <w:spacing w:lineRule="auto" w:line="300" w:before="0" w:after="120"/>
        <w:jc w:val="center"/>
      </w:pPr>
      <w:r>
        <w:rPr>
          <w:rFonts w:ascii="Times New Roman" w:hAnsi="Times New Roman" w:eastAsia="宋体"/>
          <w:b w:val="0"/>
          <w:sz w:val="20"/>
        </w:rPr>
        <w:t>表4-3 沉箱方案断面构造补充说明</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088"/>
        <w:gridCol w:w="2376"/>
        <w:gridCol w:w="252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构造部位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尺度或材料</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作用</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后续章节对应</w:t>
            </w:r>
          </w:p>
        </w:tc>
      </w:tr>
      <w:tr>
        <w:tc>
          <w:tcPr>
            <w:tcW w:type="dxa" w:w="1584"/>
            <w:vAlign w:val="center"/>
          </w:tcPr>
          <w:p>
            <w:pPr>
              <w:spacing w:lineRule="auto" w:line="276"/>
              <w:jc w:val="center"/>
            </w:pPr>
            <w:r>
              <w:rPr>
                <w:rFonts w:ascii="Times New Roman" w:hAnsi="Times New Roman" w:eastAsia="宋体"/>
                <w:b w:val="0"/>
                <w:sz w:val="18"/>
              </w:rPr>
              <w:t>胸墙</w:t>
            </w:r>
          </w:p>
        </w:tc>
        <w:tc>
          <w:tcPr>
            <w:tcW w:type="dxa" w:w="2088"/>
            <w:vAlign w:val="center"/>
          </w:tcPr>
          <w:p>
            <w:pPr>
              <w:spacing w:lineRule="auto" w:line="276"/>
              <w:jc w:val="center"/>
            </w:pPr>
            <w:r>
              <w:rPr>
                <w:rFonts w:ascii="Times New Roman" w:hAnsi="Times New Roman" w:eastAsia="宋体"/>
                <w:b w:val="0"/>
                <w:sz w:val="18"/>
              </w:rPr>
              <w:t>C40现浇混凝土</w:t>
            </w:r>
          </w:p>
        </w:tc>
        <w:tc>
          <w:tcPr>
            <w:tcW w:type="dxa" w:w="2376"/>
            <w:vAlign w:val="center"/>
          </w:tcPr>
          <w:p>
            <w:pPr>
              <w:spacing w:lineRule="auto" w:line="276"/>
              <w:jc w:val="center"/>
            </w:pPr>
            <w:r>
              <w:rPr>
                <w:rFonts w:ascii="Times New Roman" w:hAnsi="Times New Roman" w:eastAsia="宋体"/>
                <w:b w:val="0"/>
                <w:sz w:val="18"/>
              </w:rPr>
              <w:t>承受系船柱、护舷和面层荷载</w:t>
            </w:r>
          </w:p>
        </w:tc>
        <w:tc>
          <w:tcPr>
            <w:tcW w:type="dxa" w:w="2520"/>
            <w:vAlign w:val="center"/>
          </w:tcPr>
          <w:p>
            <w:pPr>
              <w:spacing w:lineRule="auto" w:line="276"/>
              <w:jc w:val="center"/>
            </w:pPr>
            <w:r>
              <w:rPr>
                <w:rFonts w:ascii="Times New Roman" w:hAnsi="Times New Roman" w:eastAsia="宋体"/>
                <w:b w:val="0"/>
                <w:sz w:val="18"/>
              </w:rPr>
              <w:t>配筋与附属设施</w:t>
            </w:r>
          </w:p>
        </w:tc>
      </w:tr>
      <w:tr>
        <w:tc>
          <w:tcPr>
            <w:tcW w:type="dxa" w:w="1584"/>
            <w:vAlign w:val="center"/>
          </w:tcPr>
          <w:p>
            <w:pPr>
              <w:spacing w:lineRule="auto" w:line="276"/>
              <w:jc w:val="center"/>
            </w:pPr>
            <w:r>
              <w:rPr>
                <w:rFonts w:ascii="Times New Roman" w:hAnsi="Times New Roman" w:eastAsia="宋体"/>
                <w:b w:val="0"/>
                <w:sz w:val="18"/>
              </w:rPr>
              <w:t>外墙</w:t>
            </w:r>
          </w:p>
        </w:tc>
        <w:tc>
          <w:tcPr>
            <w:tcW w:type="dxa" w:w="2088"/>
            <w:vAlign w:val="center"/>
          </w:tcPr>
          <w:p>
            <w:pPr>
              <w:spacing w:lineRule="auto" w:line="276"/>
              <w:jc w:val="center"/>
            </w:pPr>
            <w:r>
              <w:rPr>
                <w:rFonts w:ascii="Times New Roman" w:hAnsi="Times New Roman" w:eastAsia="宋体"/>
                <w:b w:val="0"/>
                <w:sz w:val="18"/>
              </w:rPr>
              <w:t>C45钢筋混凝土</w:t>
            </w:r>
          </w:p>
        </w:tc>
        <w:tc>
          <w:tcPr>
            <w:tcW w:type="dxa" w:w="2376"/>
            <w:vAlign w:val="center"/>
          </w:tcPr>
          <w:p>
            <w:pPr>
              <w:spacing w:lineRule="auto" w:line="276"/>
              <w:jc w:val="center"/>
            </w:pPr>
            <w:r>
              <w:rPr>
                <w:rFonts w:ascii="Times New Roman" w:hAnsi="Times New Roman" w:eastAsia="宋体"/>
                <w:b w:val="0"/>
                <w:sz w:val="18"/>
              </w:rPr>
              <w:t>承受水土压力</w:t>
            </w:r>
          </w:p>
        </w:tc>
        <w:tc>
          <w:tcPr>
            <w:tcW w:type="dxa" w:w="2520"/>
            <w:vAlign w:val="center"/>
          </w:tcPr>
          <w:p>
            <w:pPr>
              <w:spacing w:lineRule="auto" w:line="276"/>
              <w:jc w:val="center"/>
            </w:pPr>
            <w:r>
              <w:rPr>
                <w:rFonts w:ascii="Times New Roman" w:hAnsi="Times New Roman" w:eastAsia="宋体"/>
                <w:b w:val="0"/>
                <w:sz w:val="18"/>
              </w:rPr>
              <w:t>内力与裂缝控制</w:t>
            </w:r>
          </w:p>
        </w:tc>
      </w:tr>
      <w:tr>
        <w:tc>
          <w:tcPr>
            <w:tcW w:type="dxa" w:w="1584"/>
            <w:vAlign w:val="center"/>
          </w:tcPr>
          <w:p>
            <w:pPr>
              <w:spacing w:lineRule="auto" w:line="276"/>
              <w:jc w:val="center"/>
            </w:pPr>
            <w:r>
              <w:rPr>
                <w:rFonts w:ascii="Times New Roman" w:hAnsi="Times New Roman" w:eastAsia="宋体"/>
                <w:b w:val="0"/>
                <w:sz w:val="18"/>
              </w:rPr>
              <w:t>内隔墙</w:t>
            </w:r>
          </w:p>
        </w:tc>
        <w:tc>
          <w:tcPr>
            <w:tcW w:type="dxa" w:w="2088"/>
            <w:vAlign w:val="center"/>
          </w:tcPr>
          <w:p>
            <w:pPr>
              <w:spacing w:lineRule="auto" w:line="276"/>
              <w:jc w:val="center"/>
            </w:pPr>
            <w:r>
              <w:rPr>
                <w:rFonts w:ascii="Times New Roman" w:hAnsi="Times New Roman" w:eastAsia="宋体"/>
                <w:b w:val="0"/>
                <w:sz w:val="18"/>
              </w:rPr>
              <w:t>分仓布置</w:t>
            </w:r>
          </w:p>
        </w:tc>
        <w:tc>
          <w:tcPr>
            <w:tcW w:type="dxa" w:w="2376"/>
            <w:vAlign w:val="center"/>
          </w:tcPr>
          <w:p>
            <w:pPr>
              <w:spacing w:lineRule="auto" w:line="276"/>
              <w:jc w:val="center"/>
            </w:pPr>
            <w:r>
              <w:rPr>
                <w:rFonts w:ascii="Times New Roman" w:hAnsi="Times New Roman" w:eastAsia="宋体"/>
                <w:b w:val="0"/>
                <w:sz w:val="18"/>
              </w:rPr>
              <w:t>提高整体刚度</w:t>
            </w:r>
          </w:p>
        </w:tc>
        <w:tc>
          <w:tcPr>
            <w:tcW w:type="dxa" w:w="2520"/>
            <w:vAlign w:val="center"/>
          </w:tcPr>
          <w:p>
            <w:pPr>
              <w:spacing w:lineRule="auto" w:line="276"/>
              <w:jc w:val="center"/>
            </w:pPr>
            <w:r>
              <w:rPr>
                <w:rFonts w:ascii="Times New Roman" w:hAnsi="Times New Roman" w:eastAsia="宋体"/>
                <w:b w:val="0"/>
                <w:sz w:val="18"/>
              </w:rPr>
              <w:t>箱内回填与稳定</w:t>
            </w:r>
          </w:p>
        </w:tc>
      </w:tr>
      <w:tr>
        <w:tc>
          <w:tcPr>
            <w:tcW w:type="dxa" w:w="1584"/>
            <w:vAlign w:val="center"/>
          </w:tcPr>
          <w:p>
            <w:pPr>
              <w:spacing w:lineRule="auto" w:line="276"/>
              <w:jc w:val="center"/>
            </w:pPr>
            <w:r>
              <w:rPr>
                <w:rFonts w:ascii="Times New Roman" w:hAnsi="Times New Roman" w:eastAsia="宋体"/>
                <w:b w:val="0"/>
                <w:sz w:val="18"/>
              </w:rPr>
              <w:t>底板</w:t>
            </w:r>
          </w:p>
        </w:tc>
        <w:tc>
          <w:tcPr>
            <w:tcW w:type="dxa" w:w="2088"/>
            <w:vAlign w:val="center"/>
          </w:tcPr>
          <w:p>
            <w:pPr>
              <w:spacing w:lineRule="auto" w:line="276"/>
              <w:jc w:val="center"/>
            </w:pPr>
            <w:r>
              <w:rPr>
                <w:rFonts w:ascii="Times New Roman" w:hAnsi="Times New Roman" w:eastAsia="宋体"/>
                <w:b w:val="0"/>
                <w:sz w:val="18"/>
              </w:rPr>
              <w:t>钢筋混凝土底板</w:t>
            </w:r>
          </w:p>
        </w:tc>
        <w:tc>
          <w:tcPr>
            <w:tcW w:type="dxa" w:w="2376"/>
            <w:vAlign w:val="center"/>
          </w:tcPr>
          <w:p>
            <w:pPr>
              <w:spacing w:lineRule="auto" w:line="276"/>
              <w:jc w:val="center"/>
            </w:pPr>
            <w:r>
              <w:rPr>
                <w:rFonts w:ascii="Times New Roman" w:hAnsi="Times New Roman" w:eastAsia="宋体"/>
                <w:b w:val="0"/>
                <w:sz w:val="18"/>
              </w:rPr>
              <w:t>传递基床反力</w:t>
            </w:r>
          </w:p>
        </w:tc>
        <w:tc>
          <w:tcPr>
            <w:tcW w:type="dxa" w:w="2520"/>
            <w:vAlign w:val="center"/>
          </w:tcPr>
          <w:p>
            <w:pPr>
              <w:spacing w:lineRule="auto" w:line="276"/>
              <w:jc w:val="center"/>
            </w:pPr>
            <w:r>
              <w:rPr>
                <w:rFonts w:ascii="Times New Roman" w:hAnsi="Times New Roman" w:eastAsia="宋体"/>
                <w:b w:val="0"/>
                <w:sz w:val="18"/>
              </w:rPr>
              <w:t>基底应力验算</w:t>
            </w:r>
          </w:p>
        </w:tc>
      </w:tr>
      <w:tr>
        <w:tc>
          <w:tcPr>
            <w:tcW w:type="dxa" w:w="1584"/>
            <w:vAlign w:val="center"/>
          </w:tcPr>
          <w:p>
            <w:pPr>
              <w:spacing w:lineRule="auto" w:line="276"/>
              <w:jc w:val="center"/>
            </w:pPr>
            <w:r>
              <w:rPr>
                <w:rFonts w:ascii="Times New Roman" w:hAnsi="Times New Roman" w:eastAsia="宋体"/>
                <w:b w:val="0"/>
                <w:sz w:val="18"/>
              </w:rPr>
              <w:t>块石基床</w:t>
            </w:r>
          </w:p>
        </w:tc>
        <w:tc>
          <w:tcPr>
            <w:tcW w:type="dxa" w:w="2088"/>
            <w:vAlign w:val="center"/>
          </w:tcPr>
          <w:p>
            <w:pPr>
              <w:spacing w:lineRule="auto" w:line="276"/>
              <w:jc w:val="center"/>
            </w:pPr>
            <w:r>
              <w:rPr>
                <w:rFonts w:ascii="Times New Roman" w:hAnsi="Times New Roman" w:eastAsia="宋体"/>
                <w:b w:val="0"/>
                <w:sz w:val="18"/>
              </w:rPr>
              <w:t>抛石+整平层</w:t>
            </w:r>
          </w:p>
        </w:tc>
        <w:tc>
          <w:tcPr>
            <w:tcW w:type="dxa" w:w="2376"/>
            <w:vAlign w:val="center"/>
          </w:tcPr>
          <w:p>
            <w:pPr>
              <w:spacing w:lineRule="auto" w:line="276"/>
              <w:jc w:val="center"/>
            </w:pPr>
            <w:r>
              <w:rPr>
                <w:rFonts w:ascii="Times New Roman" w:hAnsi="Times New Roman" w:eastAsia="宋体"/>
                <w:b w:val="0"/>
                <w:sz w:val="18"/>
              </w:rPr>
              <w:t>承载和调平</w:t>
            </w:r>
          </w:p>
        </w:tc>
        <w:tc>
          <w:tcPr>
            <w:tcW w:type="dxa" w:w="2520"/>
            <w:vAlign w:val="center"/>
          </w:tcPr>
          <w:p>
            <w:pPr>
              <w:spacing w:lineRule="auto" w:line="276"/>
              <w:jc w:val="center"/>
            </w:pPr>
            <w:r>
              <w:rPr>
                <w:rFonts w:ascii="Times New Roman" w:hAnsi="Times New Roman" w:eastAsia="宋体"/>
                <w:b w:val="0"/>
                <w:sz w:val="18"/>
              </w:rPr>
              <w:t>工程量和概预算</w:t>
            </w:r>
          </w:p>
        </w:tc>
      </w:tr>
      <w:tr>
        <w:tc>
          <w:tcPr>
            <w:tcW w:type="dxa" w:w="1584"/>
            <w:vAlign w:val="center"/>
          </w:tcPr>
          <w:p>
            <w:pPr>
              <w:spacing w:lineRule="auto" w:line="276"/>
              <w:jc w:val="center"/>
            </w:pPr>
            <w:r>
              <w:rPr>
                <w:rFonts w:ascii="Times New Roman" w:hAnsi="Times New Roman" w:eastAsia="宋体"/>
                <w:b w:val="0"/>
                <w:sz w:val="18"/>
              </w:rPr>
              <w:t>倒滤层</w:t>
            </w:r>
          </w:p>
        </w:tc>
        <w:tc>
          <w:tcPr>
            <w:tcW w:type="dxa" w:w="2088"/>
            <w:vAlign w:val="center"/>
          </w:tcPr>
          <w:p>
            <w:pPr>
              <w:spacing w:lineRule="auto" w:line="276"/>
              <w:jc w:val="center"/>
            </w:pPr>
            <w:r>
              <w:rPr>
                <w:rFonts w:ascii="Times New Roman" w:hAnsi="Times New Roman" w:eastAsia="宋体"/>
                <w:b w:val="0"/>
                <w:sz w:val="18"/>
              </w:rPr>
              <w:t>墙后反滤构造</w:t>
            </w:r>
          </w:p>
        </w:tc>
        <w:tc>
          <w:tcPr>
            <w:tcW w:type="dxa" w:w="2376"/>
            <w:vAlign w:val="center"/>
          </w:tcPr>
          <w:p>
            <w:pPr>
              <w:spacing w:lineRule="auto" w:line="276"/>
              <w:jc w:val="center"/>
            </w:pPr>
            <w:r>
              <w:rPr>
                <w:rFonts w:ascii="Times New Roman" w:hAnsi="Times New Roman" w:eastAsia="宋体"/>
                <w:b w:val="0"/>
                <w:sz w:val="18"/>
              </w:rPr>
              <w:t>防止回填流失</w:t>
            </w:r>
          </w:p>
        </w:tc>
        <w:tc>
          <w:tcPr>
            <w:tcW w:type="dxa" w:w="2520"/>
            <w:vAlign w:val="center"/>
          </w:tcPr>
          <w:p>
            <w:pPr>
              <w:spacing w:lineRule="auto" w:line="276"/>
              <w:jc w:val="center"/>
            </w:pPr>
            <w:r>
              <w:rPr>
                <w:rFonts w:ascii="Times New Roman" w:hAnsi="Times New Roman" w:eastAsia="宋体"/>
                <w:b w:val="0"/>
                <w:sz w:val="18"/>
              </w:rPr>
              <w:t>施工复核</w:t>
            </w:r>
          </w:p>
        </w:tc>
      </w:tr>
    </w:tbl>
    <w:p/>
    <w:p>
      <w:pPr>
        <w:pStyle w:val="2"/>
        <w:jc w:val="left"/>
      </w:pPr>
      <w:r>
        <w:rPr>
          <w:rFonts w:ascii="Times New Roman" w:hAnsi="Times New Roman" w:eastAsia="宋体"/>
          <w:b/>
          <w:sz w:val="24"/>
        </w:rPr>
        <w:t xml:space="preserve"> 方案二：大圆筒重力式码头</w:t>
      </w:r>
    </w:p>
    <w:p>
      <w:pPr>
        <w:spacing w:lineRule="auto" w:line="360" w:before="0" w:after="0"/>
        <w:ind w:firstLine="480"/>
      </w:pPr>
      <w:r>
        <w:rPr>
          <w:rFonts w:ascii="Times New Roman" w:hAnsi="Times New Roman" w:eastAsia="宋体"/>
          <w:sz w:val="24"/>
        </w:rPr>
        <w:t>大圆筒方案以钢筋混凝土圆筒作为墙身主体，圆筒吊装坐床后筒内回填块石或开山石，上部浇筑胸墙形成连续岸壁。该方案预制构件形式相对简单，单个构件自重大，筒内回填后可形成较大的竖向稳定力。</w:t>
      </w:r>
    </w:p>
    <w:p>
      <w:pPr>
        <w:spacing w:lineRule="auto" w:line="360" w:before="0" w:after="0"/>
        <w:ind w:firstLine="480"/>
      </w:pPr>
      <w:r>
        <w:rPr>
          <w:rFonts w:ascii="Times New Roman" w:hAnsi="Times New Roman" w:eastAsia="宋体"/>
          <w:sz w:val="24"/>
        </w:rPr>
        <w:t>本方案采用大直径圆筒沿岸线排列，圆筒直径约18m，筒壁厚约0.50m，筒顶标高+3.50m，底标高约-10.00m。筒间设置接缝和防漏构造，后方设置倒滤层、反滤土工布和回填料，前沿设置护舷和现浇胸墙。</w:t>
      </w:r>
    </w:p>
    <w:p>
      <w:pPr>
        <w:spacing w:lineRule="auto" w:line="360" w:before="0" w:after="0"/>
        <w:ind w:firstLine="480"/>
      </w:pPr>
      <w:r>
        <w:rPr>
          <w:rFonts w:ascii="Times New Roman" w:hAnsi="Times New Roman" w:eastAsia="宋体"/>
          <w:sz w:val="24"/>
        </w:rPr>
        <w:t>大圆筒方案的优点是预制模板重复性较好、筒内回填形成较大自重；不足是筒间接缝、坐床平整度、吊装装备和局部受力控制要求较高。若基床局部不平或筒间回填不密实，容易造成接缝渗漏、局部沉降或前沿线型偏差。</w:t>
      </w:r>
    </w:p>
    <w:p>
      <w:pPr>
        <w:keepNext/>
        <w:keepLines/>
        <w:spacing w:before="120" w:after="0"/>
        <w:jc w:val="center"/>
      </w:pPr>
      <w:r>
        <w:drawing>
          <wp:inline xmlns:a="http://schemas.openxmlformats.org/drawingml/2006/main" xmlns:pic="http://schemas.openxmlformats.org/drawingml/2006/picture">
            <wp:extent cx="5349240" cy="3778500"/>
            <wp:docPr id="11" name="Picture 11"/>
            <wp:cNvGraphicFramePr>
              <a:graphicFrameLocks noChangeAspect="1"/>
            </wp:cNvGraphicFramePr>
            <a:graphic>
              <a:graphicData uri="http://schemas.openxmlformats.org/drawingml/2006/picture">
                <pic:pic>
                  <pic:nvPicPr>
                    <pic:cNvPr id="0" name="C-01_large_cylinder_plan.png"/>
                    <pic:cNvPicPr/>
                  </pic:nvPicPr>
                  <pic:blipFill>
                    <a:blip r:embed="rId40"/>
                    <a:stretch>
                      <a:fillRect/>
                    </a:stretch>
                  </pic:blipFill>
                  <pic:spPr>
                    <a:xfrm>
                      <a:off x="0" y="0"/>
                      <a:ext cx="5349240" cy="377850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图4-5 大圆筒结构平面及立面图</w:t>
      </w:r>
    </w:p>
    <w:p>
      <w:pPr>
        <w:spacing w:lineRule="auto" w:line="360" w:before="0" w:after="0"/>
        <w:ind w:firstLine="480"/>
      </w:pPr>
      <w:r>
        <w:rPr>
          <w:rFonts w:ascii="Times New Roman" w:hAnsi="Times New Roman" w:eastAsia="宋体"/>
          <w:sz w:val="24"/>
        </w:rPr>
        <w:t>大圆筒平面图表达了圆筒沿岸线布置、筒间接缝、前沿线和后方回填区。立面图说明圆筒顶底标高、胸墙、护舷、系船柱和基床之间的关系。</w:t>
      </w:r>
    </w:p>
    <w:p>
      <w:pPr>
        <w:keepNext/>
        <w:keepLines/>
        <w:spacing w:before="120" w:after="0"/>
        <w:jc w:val="center"/>
      </w:pPr>
      <w:r>
        <w:drawing>
          <wp:inline xmlns:a="http://schemas.openxmlformats.org/drawingml/2006/main" xmlns:pic="http://schemas.openxmlformats.org/drawingml/2006/picture">
            <wp:extent cx="5349240" cy="3778500"/>
            <wp:docPr id="12" name="Picture 12"/>
            <wp:cNvGraphicFramePr>
              <a:graphicFrameLocks noChangeAspect="1"/>
            </wp:cNvGraphicFramePr>
            <a:graphic>
              <a:graphicData uri="http://schemas.openxmlformats.org/drawingml/2006/picture">
                <pic:pic>
                  <pic:nvPicPr>
                    <pic:cNvPr id="0" name="C-02_large_cylinder_section_detail_rebar.png"/>
                    <pic:cNvPicPr/>
                  </pic:nvPicPr>
                  <pic:blipFill>
                    <a:blip r:embed="rId41"/>
                    <a:stretch>
                      <a:fillRect/>
                    </a:stretch>
                  </pic:blipFill>
                  <pic:spPr>
                    <a:xfrm>
                      <a:off x="0" y="0"/>
                      <a:ext cx="5349240" cy="377850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图4-6 大圆筒断面、细部构造及代表配筋图</w:t>
      </w:r>
    </w:p>
    <w:p>
      <w:pPr>
        <w:spacing w:lineRule="auto" w:line="360" w:before="0" w:after="0"/>
        <w:ind w:firstLine="480"/>
      </w:pPr>
      <w:r>
        <w:rPr>
          <w:rFonts w:ascii="Times New Roman" w:hAnsi="Times New Roman" w:eastAsia="宋体"/>
          <w:sz w:val="24"/>
        </w:rPr>
        <w:t>大圆筒断面图将主体断面和右侧细部说明区分开表达，图面关系较清晰。本说明书以该图为参照，同步要求沉箱断面图也采用主体与细部分离的版式。</w:t>
      </w:r>
    </w:p>
    <w:p>
      <w:pPr>
        <w:keepNext/>
        <w:keepLines/>
        <w:spacing w:before="120" w:after="0"/>
        <w:jc w:val="center"/>
      </w:pPr>
      <w:r>
        <w:drawing>
          <wp:inline xmlns:a="http://schemas.openxmlformats.org/drawingml/2006/main" xmlns:pic="http://schemas.openxmlformats.org/drawingml/2006/picture">
            <wp:extent cx="5257800" cy="3714290"/>
            <wp:docPr id="13" name="Picture 13"/>
            <wp:cNvGraphicFramePr>
              <a:graphicFrameLocks noChangeAspect="1"/>
            </wp:cNvGraphicFramePr>
            <a:graphic>
              <a:graphicData uri="http://schemas.openxmlformats.org/drawingml/2006/picture">
                <pic:pic>
                  <pic:nvPicPr>
                    <pic:cNvPr id="0" name="fig4-2-cylinder-local-cad.png"/>
                    <pic:cNvPicPr/>
                  </pic:nvPicPr>
                  <pic:blipFill>
                    <a:blip r:embed="rId42"/>
                    <a:stretch>
                      <a:fillRect/>
                    </a:stretch>
                  </pic:blipFill>
                  <pic:spPr>
                    <a:xfrm>
                      <a:off x="0" y="0"/>
                      <a:ext cx="5257800" cy="371429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图4-7 大圆筒码头局部构造CAD图</w:t>
      </w:r>
    </w:p>
    <w:p>
      <w:pPr>
        <w:spacing w:lineRule="auto" w:line="360" w:before="0" w:after="0"/>
        <w:ind w:firstLine="480"/>
      </w:pPr>
      <w:r>
        <w:rPr>
          <w:rFonts w:ascii="Times New Roman" w:hAnsi="Times New Roman" w:eastAsia="宋体"/>
          <w:sz w:val="24"/>
        </w:rPr>
        <w:t>该局部构造图用于补充说明大圆筒筒体、筒内回填、筒间接缝、胸墙、基床和倒滤层的局部关系。与正式A1图纸相比，该图更适合在说明书中解释细部材料层次和标高关系。</w:t>
      </w:r>
    </w:p>
    <w:p>
      <w:pPr>
        <w:keepNext/>
        <w:spacing w:lineRule="auto" w:line="300" w:before="0" w:after="120"/>
        <w:jc w:val="center"/>
      </w:pPr>
      <w:r>
        <w:rPr>
          <w:rFonts w:ascii="Times New Roman" w:hAnsi="Times New Roman" w:eastAsia="宋体"/>
          <w:b w:val="0"/>
          <w:sz w:val="20"/>
        </w:rPr>
        <w:t>表4-2 大圆筒方案主要尺度与材料</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1728"/>
        <w:gridCol w:w="460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16"/>
            <w:vAlign w:val="center"/>
          </w:tcPr>
          <w:p>
            <w:pPr>
              <w:spacing w:lineRule="auto" w:line="276"/>
              <w:jc w:val="center"/>
            </w:pPr>
            <w:r>
              <w:rPr>
                <w:rFonts w:ascii="Times New Roman" w:hAnsi="Times New Roman" w:eastAsia="宋体"/>
                <w:b w:val="0"/>
                <w:sz w:val="18"/>
              </w:rPr>
              <w:t>圆筒直径</w:t>
            </w:r>
          </w:p>
        </w:tc>
        <w:tc>
          <w:tcPr>
            <w:tcW w:type="dxa" w:w="1728"/>
            <w:vAlign w:val="center"/>
          </w:tcPr>
          <w:p>
            <w:pPr>
              <w:spacing w:lineRule="auto" w:line="276"/>
              <w:jc w:val="center"/>
            </w:pPr>
            <w:r>
              <w:rPr>
                <w:rFonts w:ascii="Times New Roman" w:hAnsi="Times New Roman" w:eastAsia="宋体"/>
                <w:b w:val="0"/>
                <w:sz w:val="18"/>
              </w:rPr>
              <w:t>18.00m</w:t>
            </w:r>
          </w:p>
        </w:tc>
        <w:tc>
          <w:tcPr>
            <w:tcW w:type="dxa" w:w="4608"/>
            <w:vAlign w:val="center"/>
          </w:tcPr>
          <w:p>
            <w:pPr>
              <w:spacing w:lineRule="auto" w:line="276"/>
              <w:jc w:val="center"/>
            </w:pPr>
            <w:r>
              <w:rPr>
                <w:rFonts w:ascii="Times New Roman" w:hAnsi="Times New Roman" w:eastAsia="宋体"/>
                <w:b w:val="0"/>
                <w:sz w:val="18"/>
              </w:rPr>
              <w:t>控制坐床面积和筒间布置</w:t>
            </w:r>
          </w:p>
        </w:tc>
      </w:tr>
      <w:tr>
        <w:tc>
          <w:tcPr>
            <w:tcW w:type="dxa" w:w="2016"/>
            <w:vAlign w:val="center"/>
          </w:tcPr>
          <w:p>
            <w:pPr>
              <w:spacing w:lineRule="auto" w:line="276"/>
              <w:jc w:val="center"/>
            </w:pPr>
            <w:r>
              <w:rPr>
                <w:rFonts w:ascii="Times New Roman" w:hAnsi="Times New Roman" w:eastAsia="宋体"/>
                <w:b w:val="0"/>
                <w:sz w:val="18"/>
              </w:rPr>
              <w:t>筒壁厚度</w:t>
            </w:r>
          </w:p>
        </w:tc>
        <w:tc>
          <w:tcPr>
            <w:tcW w:type="dxa" w:w="1728"/>
            <w:vAlign w:val="center"/>
          </w:tcPr>
          <w:p>
            <w:pPr>
              <w:spacing w:lineRule="auto" w:line="276"/>
              <w:jc w:val="center"/>
            </w:pPr>
            <w:r>
              <w:rPr>
                <w:rFonts w:ascii="Times New Roman" w:hAnsi="Times New Roman" w:eastAsia="宋体"/>
                <w:b w:val="0"/>
                <w:sz w:val="18"/>
              </w:rPr>
              <w:t>0.50m</w:t>
            </w:r>
          </w:p>
        </w:tc>
        <w:tc>
          <w:tcPr>
            <w:tcW w:type="dxa" w:w="4608"/>
            <w:vAlign w:val="center"/>
          </w:tcPr>
          <w:p>
            <w:pPr>
              <w:spacing w:lineRule="auto" w:line="276"/>
              <w:jc w:val="center"/>
            </w:pPr>
            <w:r>
              <w:rPr>
                <w:rFonts w:ascii="Times New Roman" w:hAnsi="Times New Roman" w:eastAsia="宋体"/>
                <w:b w:val="0"/>
                <w:sz w:val="18"/>
              </w:rPr>
              <w:t>C45钢筋混凝土</w:t>
            </w:r>
          </w:p>
        </w:tc>
      </w:tr>
      <w:tr>
        <w:tc>
          <w:tcPr>
            <w:tcW w:type="dxa" w:w="2016"/>
            <w:vAlign w:val="center"/>
          </w:tcPr>
          <w:p>
            <w:pPr>
              <w:spacing w:lineRule="auto" w:line="276"/>
              <w:jc w:val="center"/>
            </w:pPr>
            <w:r>
              <w:rPr>
                <w:rFonts w:ascii="Times New Roman" w:hAnsi="Times New Roman" w:eastAsia="宋体"/>
                <w:b w:val="0"/>
                <w:sz w:val="18"/>
              </w:rPr>
              <w:t>筒顶标高</w:t>
            </w:r>
          </w:p>
        </w:tc>
        <w:tc>
          <w:tcPr>
            <w:tcW w:type="dxa" w:w="1728"/>
            <w:vAlign w:val="center"/>
          </w:tcPr>
          <w:p>
            <w:pPr>
              <w:spacing w:lineRule="auto" w:line="276"/>
              <w:jc w:val="center"/>
            </w:pPr>
            <w:r>
              <w:rPr>
                <w:rFonts w:ascii="Times New Roman" w:hAnsi="Times New Roman" w:eastAsia="宋体"/>
                <w:b w:val="0"/>
                <w:sz w:val="18"/>
              </w:rPr>
              <w:t>+3.50m</w:t>
            </w:r>
          </w:p>
        </w:tc>
        <w:tc>
          <w:tcPr>
            <w:tcW w:type="dxa" w:w="4608"/>
            <w:vAlign w:val="center"/>
          </w:tcPr>
          <w:p>
            <w:pPr>
              <w:spacing w:lineRule="auto" w:line="276"/>
              <w:jc w:val="center"/>
            </w:pPr>
            <w:r>
              <w:rPr>
                <w:rFonts w:ascii="Times New Roman" w:hAnsi="Times New Roman" w:eastAsia="宋体"/>
                <w:b w:val="0"/>
                <w:sz w:val="18"/>
              </w:rPr>
              <w:t>与胸墙底部衔接</w:t>
            </w:r>
          </w:p>
        </w:tc>
      </w:tr>
      <w:tr>
        <w:tc>
          <w:tcPr>
            <w:tcW w:type="dxa" w:w="2016"/>
            <w:vAlign w:val="center"/>
          </w:tcPr>
          <w:p>
            <w:pPr>
              <w:spacing w:lineRule="auto" w:line="276"/>
              <w:jc w:val="center"/>
            </w:pPr>
            <w:r>
              <w:rPr>
                <w:rFonts w:ascii="Times New Roman" w:hAnsi="Times New Roman" w:eastAsia="宋体"/>
                <w:b w:val="0"/>
                <w:sz w:val="18"/>
              </w:rPr>
              <w:t>筒底标高</w:t>
            </w:r>
          </w:p>
        </w:tc>
        <w:tc>
          <w:tcPr>
            <w:tcW w:type="dxa" w:w="1728"/>
            <w:vAlign w:val="center"/>
          </w:tcPr>
          <w:p>
            <w:pPr>
              <w:spacing w:lineRule="auto" w:line="276"/>
              <w:jc w:val="center"/>
            </w:pPr>
            <w:r>
              <w:rPr>
                <w:rFonts w:ascii="Times New Roman" w:hAnsi="Times New Roman" w:eastAsia="宋体"/>
                <w:b w:val="0"/>
                <w:sz w:val="18"/>
              </w:rPr>
              <w:t>-10.00m</w:t>
            </w:r>
          </w:p>
        </w:tc>
        <w:tc>
          <w:tcPr>
            <w:tcW w:type="dxa" w:w="4608"/>
            <w:vAlign w:val="center"/>
          </w:tcPr>
          <w:p>
            <w:pPr>
              <w:spacing w:lineRule="auto" w:line="276"/>
              <w:jc w:val="center"/>
            </w:pPr>
            <w:r>
              <w:rPr>
                <w:rFonts w:ascii="Times New Roman" w:hAnsi="Times New Roman" w:eastAsia="宋体"/>
                <w:b w:val="0"/>
                <w:sz w:val="18"/>
              </w:rPr>
              <w:t>与基床顶面协调</w:t>
            </w:r>
          </w:p>
        </w:tc>
      </w:tr>
      <w:tr>
        <w:tc>
          <w:tcPr>
            <w:tcW w:type="dxa" w:w="2016"/>
            <w:vAlign w:val="center"/>
          </w:tcPr>
          <w:p>
            <w:pPr>
              <w:spacing w:lineRule="auto" w:line="276"/>
              <w:jc w:val="center"/>
            </w:pPr>
            <w:r>
              <w:rPr>
                <w:rFonts w:ascii="Times New Roman" w:hAnsi="Times New Roman" w:eastAsia="宋体"/>
                <w:b w:val="0"/>
                <w:sz w:val="18"/>
              </w:rPr>
              <w:t>筒内回填</w:t>
            </w:r>
          </w:p>
        </w:tc>
        <w:tc>
          <w:tcPr>
            <w:tcW w:type="dxa" w:w="1728"/>
            <w:vAlign w:val="center"/>
          </w:tcPr>
          <w:p>
            <w:pPr>
              <w:spacing w:lineRule="auto" w:line="276"/>
              <w:jc w:val="center"/>
            </w:pPr>
            <w:r>
              <w:rPr>
                <w:rFonts w:ascii="Times New Roman" w:hAnsi="Times New Roman" w:eastAsia="宋体"/>
                <w:b w:val="0"/>
                <w:sz w:val="18"/>
              </w:rPr>
              <w:t>开山石/块石</w:t>
            </w:r>
          </w:p>
        </w:tc>
        <w:tc>
          <w:tcPr>
            <w:tcW w:type="dxa" w:w="4608"/>
            <w:vAlign w:val="center"/>
          </w:tcPr>
          <w:p>
            <w:pPr>
              <w:spacing w:lineRule="auto" w:line="276"/>
              <w:jc w:val="center"/>
            </w:pPr>
            <w:r>
              <w:rPr>
                <w:rFonts w:ascii="Times New Roman" w:hAnsi="Times New Roman" w:eastAsia="宋体"/>
                <w:b w:val="0"/>
                <w:sz w:val="18"/>
              </w:rPr>
              <w:t>提供稳定自重</w:t>
            </w:r>
          </w:p>
        </w:tc>
      </w:tr>
      <w:tr>
        <w:tc>
          <w:tcPr>
            <w:tcW w:type="dxa" w:w="2016"/>
            <w:vAlign w:val="center"/>
          </w:tcPr>
          <w:p>
            <w:pPr>
              <w:spacing w:lineRule="auto" w:line="276"/>
              <w:jc w:val="center"/>
            </w:pPr>
            <w:r>
              <w:rPr>
                <w:rFonts w:ascii="Times New Roman" w:hAnsi="Times New Roman" w:eastAsia="宋体"/>
                <w:b w:val="0"/>
                <w:sz w:val="18"/>
              </w:rPr>
              <w:t>筒间接缝</w:t>
            </w:r>
          </w:p>
        </w:tc>
        <w:tc>
          <w:tcPr>
            <w:tcW w:type="dxa" w:w="1728"/>
            <w:vAlign w:val="center"/>
          </w:tcPr>
          <w:p>
            <w:pPr>
              <w:spacing w:lineRule="auto" w:line="276"/>
              <w:jc w:val="center"/>
            </w:pPr>
            <w:r>
              <w:rPr>
                <w:rFonts w:ascii="Times New Roman" w:hAnsi="Times New Roman" w:eastAsia="宋体"/>
                <w:b w:val="0"/>
                <w:sz w:val="18"/>
              </w:rPr>
              <w:t>防漏构造</w:t>
            </w:r>
          </w:p>
        </w:tc>
        <w:tc>
          <w:tcPr>
            <w:tcW w:type="dxa" w:w="4608"/>
            <w:vAlign w:val="center"/>
          </w:tcPr>
          <w:p>
            <w:pPr>
              <w:spacing w:lineRule="auto" w:line="276"/>
              <w:jc w:val="center"/>
            </w:pPr>
            <w:r>
              <w:rPr>
                <w:rFonts w:ascii="Times New Roman" w:hAnsi="Times New Roman" w:eastAsia="宋体"/>
                <w:b w:val="0"/>
                <w:sz w:val="18"/>
              </w:rPr>
              <w:t>控制渗漏和回填流失</w:t>
            </w:r>
          </w:p>
        </w:tc>
      </w:tr>
      <w:tr>
        <w:tc>
          <w:tcPr>
            <w:tcW w:type="dxa" w:w="2016"/>
            <w:vAlign w:val="center"/>
          </w:tcPr>
          <w:p>
            <w:pPr>
              <w:spacing w:lineRule="auto" w:line="276"/>
              <w:jc w:val="center"/>
            </w:pPr>
            <w:r>
              <w:rPr>
                <w:rFonts w:ascii="Times New Roman" w:hAnsi="Times New Roman" w:eastAsia="宋体"/>
                <w:b w:val="0"/>
                <w:sz w:val="18"/>
              </w:rPr>
              <w:t>胸墙</w:t>
            </w:r>
          </w:p>
        </w:tc>
        <w:tc>
          <w:tcPr>
            <w:tcW w:type="dxa" w:w="1728"/>
            <w:vAlign w:val="center"/>
          </w:tcPr>
          <w:p>
            <w:pPr>
              <w:spacing w:lineRule="auto" w:line="276"/>
              <w:jc w:val="center"/>
            </w:pPr>
            <w:r>
              <w:rPr>
                <w:rFonts w:ascii="Times New Roman" w:hAnsi="Times New Roman" w:eastAsia="宋体"/>
                <w:b w:val="0"/>
                <w:sz w:val="18"/>
              </w:rPr>
              <w:t>C40现浇</w:t>
            </w:r>
          </w:p>
        </w:tc>
        <w:tc>
          <w:tcPr>
            <w:tcW w:type="dxa" w:w="4608"/>
            <w:vAlign w:val="center"/>
          </w:tcPr>
          <w:p>
            <w:pPr>
              <w:spacing w:lineRule="auto" w:line="276"/>
              <w:jc w:val="center"/>
            </w:pPr>
            <w:r>
              <w:rPr>
                <w:rFonts w:ascii="Times New Roman" w:hAnsi="Times New Roman" w:eastAsia="宋体"/>
                <w:b w:val="0"/>
                <w:sz w:val="18"/>
              </w:rPr>
              <w:t>形成连续前沿与附属设施基础</w:t>
            </w:r>
          </w:p>
        </w:tc>
      </w:tr>
      <w:tr>
        <w:tc>
          <w:tcPr>
            <w:tcW w:type="dxa" w:w="2016"/>
            <w:vAlign w:val="center"/>
          </w:tcPr>
          <w:p>
            <w:pPr>
              <w:spacing w:lineRule="auto" w:line="276"/>
              <w:jc w:val="center"/>
            </w:pPr>
            <w:r>
              <w:rPr>
                <w:rFonts w:ascii="Times New Roman" w:hAnsi="Times New Roman" w:eastAsia="宋体"/>
                <w:b w:val="0"/>
                <w:sz w:val="18"/>
              </w:rPr>
              <w:t>基床</w:t>
            </w:r>
          </w:p>
        </w:tc>
        <w:tc>
          <w:tcPr>
            <w:tcW w:type="dxa" w:w="1728"/>
            <w:vAlign w:val="center"/>
          </w:tcPr>
          <w:p>
            <w:pPr>
              <w:spacing w:lineRule="auto" w:line="276"/>
              <w:jc w:val="center"/>
            </w:pPr>
            <w:r>
              <w:rPr>
                <w:rFonts w:ascii="Times New Roman" w:hAnsi="Times New Roman" w:eastAsia="宋体"/>
                <w:b w:val="0"/>
                <w:sz w:val="18"/>
              </w:rPr>
              <w:t>块石基床</w:t>
            </w:r>
          </w:p>
        </w:tc>
        <w:tc>
          <w:tcPr>
            <w:tcW w:type="dxa" w:w="4608"/>
            <w:vAlign w:val="center"/>
          </w:tcPr>
          <w:p>
            <w:pPr>
              <w:spacing w:lineRule="auto" w:line="276"/>
              <w:jc w:val="center"/>
            </w:pPr>
            <w:r>
              <w:rPr>
                <w:rFonts w:ascii="Times New Roman" w:hAnsi="Times New Roman" w:eastAsia="宋体"/>
                <w:b w:val="0"/>
                <w:sz w:val="18"/>
              </w:rPr>
              <w:t>要求较高整平精度</w:t>
            </w:r>
          </w:p>
        </w:tc>
      </w:tr>
    </w:tbl>
    <w:p/>
    <w:p>
      <w:pPr>
        <w:spacing w:lineRule="auto" w:line="360" w:before="0" w:after="0"/>
        <w:ind w:firstLine="480"/>
      </w:pPr>
      <w:r>
        <w:rPr>
          <w:rFonts w:ascii="Times New Roman" w:hAnsi="Times New Roman" w:eastAsia="宋体"/>
          <w:sz w:val="24"/>
        </w:rPr>
        <w:t>大圆筒方案构造对圆筒直径作单独说明，是因为该项会传递到整体稳定和施工风险。正文先交代取值口径，再说明它在图纸、计算或施工中的落点，使参数不是停留在资料摘录层面。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针对筒壁厚度，本设计采用先定尺度、再核算能力、最后回到图纸表达的写法。这样处理后，审阅时可以直接看到该项与整体稳定和施工风险之间的对应关系。</w:t>
      </w:r>
    </w:p>
    <w:p>
      <w:pPr>
        <w:spacing w:lineRule="auto" w:line="360" w:before="0" w:after="0"/>
        <w:ind w:firstLine="480"/>
      </w:pPr>
      <w:r>
        <w:rPr>
          <w:rFonts w:ascii="Times New Roman" w:hAnsi="Times New Roman" w:eastAsia="宋体"/>
          <w:sz w:val="24"/>
        </w:rPr>
        <w:t>筒间接缝取值偏小会压缩安全或施工余量，取值偏大又会增加工程量。本说明书按初步设计深度采用适中偏保守的控制值，并在后续章节保留施工图复核接口。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从现场实施看，筒内回填还会影响施工顺序、材料组织和质量检查。正文把这些影响写入相邻段落，避免图纸有尺寸而说明书缺少工程解释。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大圆筒方案构造中的胸墙连接同时具有设计和管理意义。它既是计算输入，也是后续概预算、施工组织和运行维护的判断依据，因此需要在正文中给出明确说明。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围绕基床整平，本设计重点核对三件事：是否满足规范和船型需求，是否能在A1图纸中清楚表达，是否会改变整体稳定和施工风险的工程量或安全储备。</w:t>
      </w:r>
    </w:p>
    <w:p>
      <w:pPr>
        <w:spacing w:lineRule="auto" w:line="360" w:before="0" w:after="0"/>
        <w:ind w:firstLine="480"/>
      </w:pPr>
      <w:r>
        <w:rPr>
          <w:rFonts w:ascii="Times New Roman" w:hAnsi="Times New Roman" w:eastAsia="宋体"/>
          <w:sz w:val="24"/>
        </w:rPr>
        <w:t>若后续详勘或施工条件发生变化，前沿护底是需要优先复核的项目之一。本阶段先把采用值、影响范围和复核方向写清楚，便于施工图阶段继续深化。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后方倒滤的说明与整体稳定和施工风险相互衔接。正文采用工程语言解释其作用，而不把它写成泛泛的背景材料，从而压缩自然状况篇幅并提高设计章节比重。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大圆筒方案构造对吊装定位作单独说明，是因为该项会传递到整体稳定和施工风险。正文先交代取值口径，再说明它在图纸、计算或施工中的落点，使参数不是停留在资料摘录层面。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针对接缝防漏，本设计采用先定尺度、再核算能力、最后回到图纸表达的写法。这样处理后，审阅时可以直接看到该项与整体稳定和施工风险之间的对应关系。</w:t>
      </w:r>
    </w:p>
    <w:p>
      <w:pPr>
        <w:spacing w:lineRule="auto" w:line="360" w:before="0" w:after="0"/>
        <w:ind w:firstLine="480"/>
      </w:pPr>
      <w:r>
        <w:rPr>
          <w:rFonts w:ascii="Times New Roman" w:hAnsi="Times New Roman" w:eastAsia="宋体"/>
          <w:sz w:val="24"/>
        </w:rPr>
        <w:t>变形协调取值偏小会压缩安全或施工余量，取值偏大又会增加工程量。本说明书按初步设计深度采用适中偏保守的控制值，并在后续章节保留施工图复核接口。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从现场实施看，施工测量还会影响施工顺序、材料组织和质量检查。正文把这些影响写入相邻段落，避免图纸有尺寸而说明书缺少工程解释。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材料来源对大圆筒构造深化的影响主要体现在施工可操作性。若现场材料粒径、运输距离或设备能力与假定不一致，工程量和工期都会变化，因此本阶段把敏感项提前列出。</w:t>
      </w:r>
    </w:p>
    <w:p>
      <w:pPr>
        <w:spacing w:lineRule="auto" w:line="360" w:before="0" w:after="0"/>
        <w:ind w:firstLine="480"/>
      </w:pPr>
      <w:r>
        <w:rPr>
          <w:rFonts w:ascii="Times New Roman" w:hAnsi="Times New Roman" w:eastAsia="宋体"/>
          <w:sz w:val="24"/>
        </w:rPr>
        <w:t>测量定位对大圆筒构造深化的影响主要体现在施工可操作性。若现场材料粒径、运输距离或设备能力与假定不一致，工程量和工期都会变化，因此本阶段把敏感项提前列出。</w:t>
      </w:r>
    </w:p>
    <w:p>
      <w:pPr>
        <w:keepNext/>
        <w:keepLines/>
        <w:spacing w:before="120" w:after="0"/>
        <w:jc w:val="center"/>
      </w:pPr>
      <w:r>
        <w:drawing>
          <wp:inline xmlns:a="http://schemas.openxmlformats.org/drawingml/2006/main" xmlns:pic="http://schemas.openxmlformats.org/drawingml/2006/picture">
            <wp:extent cx="5257800" cy="3577301"/>
            <wp:docPr id="14" name="Picture 14"/>
            <wp:cNvGraphicFramePr>
              <a:graphicFrameLocks noChangeAspect="1"/>
            </wp:cNvGraphicFramePr>
            <a:graphic>
              <a:graphicData uri="http://schemas.openxmlformats.org/drawingml/2006/picture">
                <pic:pic>
                  <pic:nvPicPr>
                    <pic:cNvPr id="0" name="fig4-8-cylinder-section-enlarged-cad.png"/>
                    <pic:cNvPicPr/>
                  </pic:nvPicPr>
                  <pic:blipFill>
                    <a:blip r:embed="rId43"/>
                    <a:stretch>
                      <a:fillRect/>
                    </a:stretch>
                  </pic:blipFill>
                  <pic:spPr>
                    <a:xfrm>
                      <a:off x="0" y="0"/>
                      <a:ext cx="5257800" cy="3577301"/>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图4-8 大圆筒断面局部放大CAD图</w:t>
      </w:r>
    </w:p>
    <w:p>
      <w:pPr>
        <w:spacing w:lineRule="auto" w:line="360" w:before="0" w:after="0"/>
        <w:ind w:firstLine="480"/>
      </w:pPr>
      <w:r>
        <w:rPr>
          <w:rFonts w:ascii="Times New Roman" w:hAnsi="Times New Roman" w:eastAsia="宋体"/>
          <w:sz w:val="24"/>
        </w:rPr>
        <w:t>该局部放大图展示大圆筒结构断面。大圆筒方案以圆筒筒壁和筒内回填形成主要竖向力，胸墙把前沿荷载和附属设施荷载传至圆筒，圆筒底部再通过块石基床扩散到地基。</w:t>
      </w:r>
    </w:p>
    <w:p>
      <w:pPr>
        <w:spacing w:lineRule="auto" w:line="360" w:before="0" w:after="0"/>
        <w:ind w:firstLine="480"/>
      </w:pPr>
      <w:r>
        <w:rPr>
          <w:rFonts w:ascii="Times New Roman" w:hAnsi="Times New Roman" w:eastAsia="宋体"/>
          <w:sz w:val="24"/>
        </w:rPr>
        <w:t>与沉箱相比，大圆筒的局部特点更突出：筒间接缝、坐床平整度、筒内回填密实度和圆筒吊装重量都会影响方案实施。因此第4章只描述其构造和适用性，第5章再展开稳定计算，第6章再把船机和措施费用列入概预算。</w:t>
      </w:r>
    </w:p>
    <w:p>
      <w:pPr>
        <w:keepNext/>
        <w:spacing w:lineRule="auto" w:line="300" w:before="0" w:after="120"/>
        <w:jc w:val="center"/>
      </w:pPr>
      <w:r>
        <w:rPr>
          <w:rFonts w:ascii="Times New Roman" w:hAnsi="Times New Roman" w:eastAsia="宋体"/>
          <w:b w:val="0"/>
          <w:sz w:val="20"/>
        </w:rPr>
        <w:t>表4-4 大圆筒方案构造控制补充表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376"/>
        <w:gridCol w:w="2232"/>
        <w:gridCol w:w="252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构造项目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风险点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设计说明</w:t>
            </w:r>
          </w:p>
        </w:tc>
      </w:tr>
      <w:tr>
        <w:tc>
          <w:tcPr>
            <w:tcW w:type="dxa" w:w="1584"/>
            <w:vAlign w:val="center"/>
          </w:tcPr>
          <w:p>
            <w:pPr>
              <w:spacing w:lineRule="auto" w:line="276"/>
              <w:jc w:val="center"/>
            </w:pPr>
            <w:r>
              <w:rPr>
                <w:rFonts w:ascii="Times New Roman" w:hAnsi="Times New Roman" w:eastAsia="宋体"/>
                <w:b w:val="0"/>
                <w:sz w:val="18"/>
              </w:rPr>
              <w:t>圆筒筒壁</w:t>
            </w:r>
          </w:p>
        </w:tc>
        <w:tc>
          <w:tcPr>
            <w:tcW w:type="dxa" w:w="2376"/>
            <w:vAlign w:val="center"/>
          </w:tcPr>
          <w:p>
            <w:pPr>
              <w:spacing w:lineRule="auto" w:line="276"/>
              <w:jc w:val="center"/>
            </w:pPr>
            <w:r>
              <w:rPr>
                <w:rFonts w:ascii="Times New Roman" w:hAnsi="Times New Roman" w:eastAsia="宋体"/>
                <w:b w:val="0"/>
                <w:sz w:val="18"/>
              </w:rPr>
              <w:t>外径、壁厚、高度</w:t>
            </w:r>
          </w:p>
        </w:tc>
        <w:tc>
          <w:tcPr>
            <w:tcW w:type="dxa" w:w="2232"/>
            <w:vAlign w:val="center"/>
          </w:tcPr>
          <w:p>
            <w:pPr>
              <w:spacing w:lineRule="auto" w:line="276"/>
              <w:jc w:val="center"/>
            </w:pPr>
            <w:r>
              <w:rPr>
                <w:rFonts w:ascii="Times New Roman" w:hAnsi="Times New Roman" w:eastAsia="宋体"/>
                <w:b w:val="0"/>
                <w:sz w:val="18"/>
              </w:rPr>
              <w:t>预制重量较大</w:t>
            </w:r>
          </w:p>
        </w:tc>
        <w:tc>
          <w:tcPr>
            <w:tcW w:type="dxa" w:w="2520"/>
            <w:vAlign w:val="center"/>
          </w:tcPr>
          <w:p>
            <w:pPr>
              <w:spacing w:lineRule="auto" w:line="276"/>
              <w:jc w:val="center"/>
            </w:pPr>
            <w:r>
              <w:rPr>
                <w:rFonts w:ascii="Times New Roman" w:hAnsi="Times New Roman" w:eastAsia="宋体"/>
                <w:b w:val="0"/>
                <w:sz w:val="18"/>
              </w:rPr>
              <w:t>需核对吊装能力</w:t>
            </w:r>
          </w:p>
        </w:tc>
      </w:tr>
      <w:tr>
        <w:tc>
          <w:tcPr>
            <w:tcW w:type="dxa" w:w="1584"/>
            <w:vAlign w:val="center"/>
          </w:tcPr>
          <w:p>
            <w:pPr>
              <w:spacing w:lineRule="auto" w:line="276"/>
              <w:jc w:val="center"/>
            </w:pPr>
            <w:r>
              <w:rPr>
                <w:rFonts w:ascii="Times New Roman" w:hAnsi="Times New Roman" w:eastAsia="宋体"/>
                <w:b w:val="0"/>
                <w:sz w:val="18"/>
              </w:rPr>
              <w:t>筒内回填</w:t>
            </w:r>
          </w:p>
        </w:tc>
        <w:tc>
          <w:tcPr>
            <w:tcW w:type="dxa" w:w="2376"/>
            <w:vAlign w:val="center"/>
          </w:tcPr>
          <w:p>
            <w:pPr>
              <w:spacing w:lineRule="auto" w:line="276"/>
              <w:jc w:val="center"/>
            </w:pPr>
            <w:r>
              <w:rPr>
                <w:rFonts w:ascii="Times New Roman" w:hAnsi="Times New Roman" w:eastAsia="宋体"/>
                <w:b w:val="0"/>
                <w:sz w:val="18"/>
              </w:rPr>
              <w:t>开山石或块石</w:t>
            </w:r>
          </w:p>
        </w:tc>
        <w:tc>
          <w:tcPr>
            <w:tcW w:type="dxa" w:w="2232"/>
            <w:vAlign w:val="center"/>
          </w:tcPr>
          <w:p>
            <w:pPr>
              <w:spacing w:lineRule="auto" w:line="276"/>
              <w:jc w:val="center"/>
            </w:pPr>
            <w:r>
              <w:rPr>
                <w:rFonts w:ascii="Times New Roman" w:hAnsi="Times New Roman" w:eastAsia="宋体"/>
                <w:b w:val="0"/>
                <w:sz w:val="18"/>
              </w:rPr>
              <w:t>密实度不足</w:t>
            </w:r>
          </w:p>
        </w:tc>
        <w:tc>
          <w:tcPr>
            <w:tcW w:type="dxa" w:w="2520"/>
            <w:vAlign w:val="center"/>
          </w:tcPr>
          <w:p>
            <w:pPr>
              <w:spacing w:lineRule="auto" w:line="276"/>
              <w:jc w:val="center"/>
            </w:pPr>
            <w:r>
              <w:rPr>
                <w:rFonts w:ascii="Times New Roman" w:hAnsi="Times New Roman" w:eastAsia="宋体"/>
                <w:b w:val="0"/>
                <w:sz w:val="18"/>
              </w:rPr>
              <w:t>分层回填检测</w:t>
            </w:r>
          </w:p>
        </w:tc>
      </w:tr>
      <w:tr>
        <w:tc>
          <w:tcPr>
            <w:tcW w:type="dxa" w:w="1584"/>
            <w:vAlign w:val="center"/>
          </w:tcPr>
          <w:p>
            <w:pPr>
              <w:spacing w:lineRule="auto" w:line="276"/>
              <w:jc w:val="center"/>
            </w:pPr>
            <w:r>
              <w:rPr>
                <w:rFonts w:ascii="Times New Roman" w:hAnsi="Times New Roman" w:eastAsia="宋体"/>
                <w:b w:val="0"/>
                <w:sz w:val="18"/>
              </w:rPr>
              <w:t>筒间接缝</w:t>
            </w:r>
          </w:p>
        </w:tc>
        <w:tc>
          <w:tcPr>
            <w:tcW w:type="dxa" w:w="2376"/>
            <w:vAlign w:val="center"/>
          </w:tcPr>
          <w:p>
            <w:pPr>
              <w:spacing w:lineRule="auto" w:line="276"/>
              <w:jc w:val="center"/>
            </w:pPr>
            <w:r>
              <w:rPr>
                <w:rFonts w:ascii="Times New Roman" w:hAnsi="Times New Roman" w:eastAsia="宋体"/>
                <w:b w:val="0"/>
                <w:sz w:val="18"/>
              </w:rPr>
              <w:t>接缝止漏和反滤</w:t>
            </w:r>
          </w:p>
        </w:tc>
        <w:tc>
          <w:tcPr>
            <w:tcW w:type="dxa" w:w="2232"/>
            <w:vAlign w:val="center"/>
          </w:tcPr>
          <w:p>
            <w:pPr>
              <w:spacing w:lineRule="auto" w:line="276"/>
              <w:jc w:val="center"/>
            </w:pPr>
            <w:r>
              <w:rPr>
                <w:rFonts w:ascii="Times New Roman" w:hAnsi="Times New Roman" w:eastAsia="宋体"/>
                <w:b w:val="0"/>
                <w:sz w:val="18"/>
              </w:rPr>
              <w:t>回填流失</w:t>
            </w:r>
          </w:p>
        </w:tc>
        <w:tc>
          <w:tcPr>
            <w:tcW w:type="dxa" w:w="2520"/>
            <w:vAlign w:val="center"/>
          </w:tcPr>
          <w:p>
            <w:pPr>
              <w:spacing w:lineRule="auto" w:line="276"/>
              <w:jc w:val="center"/>
            </w:pPr>
            <w:r>
              <w:rPr>
                <w:rFonts w:ascii="Times New Roman" w:hAnsi="Times New Roman" w:eastAsia="宋体"/>
                <w:b w:val="0"/>
                <w:sz w:val="18"/>
              </w:rPr>
              <w:t>设置止漏构造</w:t>
            </w:r>
          </w:p>
        </w:tc>
      </w:tr>
      <w:tr>
        <w:tc>
          <w:tcPr>
            <w:tcW w:type="dxa" w:w="1584"/>
            <w:vAlign w:val="center"/>
          </w:tcPr>
          <w:p>
            <w:pPr>
              <w:spacing w:lineRule="auto" w:line="276"/>
              <w:jc w:val="center"/>
            </w:pPr>
            <w:r>
              <w:rPr>
                <w:rFonts w:ascii="Times New Roman" w:hAnsi="Times New Roman" w:eastAsia="宋体"/>
                <w:b w:val="0"/>
                <w:sz w:val="18"/>
              </w:rPr>
              <w:t>胸墙</w:t>
            </w:r>
          </w:p>
        </w:tc>
        <w:tc>
          <w:tcPr>
            <w:tcW w:type="dxa" w:w="2376"/>
            <w:vAlign w:val="center"/>
          </w:tcPr>
          <w:p>
            <w:pPr>
              <w:spacing w:lineRule="auto" w:line="276"/>
              <w:jc w:val="center"/>
            </w:pPr>
            <w:r>
              <w:rPr>
                <w:rFonts w:ascii="Times New Roman" w:hAnsi="Times New Roman" w:eastAsia="宋体"/>
                <w:b w:val="0"/>
                <w:sz w:val="18"/>
              </w:rPr>
              <w:t>连续现浇</w:t>
            </w:r>
          </w:p>
        </w:tc>
        <w:tc>
          <w:tcPr>
            <w:tcW w:type="dxa" w:w="2232"/>
            <w:vAlign w:val="center"/>
          </w:tcPr>
          <w:p>
            <w:pPr>
              <w:spacing w:lineRule="auto" w:line="276"/>
              <w:jc w:val="center"/>
            </w:pPr>
            <w:r>
              <w:rPr>
                <w:rFonts w:ascii="Times New Roman" w:hAnsi="Times New Roman" w:eastAsia="宋体"/>
                <w:b w:val="0"/>
                <w:sz w:val="18"/>
              </w:rPr>
              <w:t>与筒顶连接</w:t>
            </w:r>
          </w:p>
        </w:tc>
        <w:tc>
          <w:tcPr>
            <w:tcW w:type="dxa" w:w="2520"/>
            <w:vAlign w:val="center"/>
          </w:tcPr>
          <w:p>
            <w:pPr>
              <w:spacing w:lineRule="auto" w:line="276"/>
              <w:jc w:val="center"/>
            </w:pPr>
            <w:r>
              <w:rPr>
                <w:rFonts w:ascii="Times New Roman" w:hAnsi="Times New Roman" w:eastAsia="宋体"/>
                <w:b w:val="0"/>
                <w:sz w:val="18"/>
              </w:rPr>
              <w:t>控制前沿整体性</w:t>
            </w:r>
          </w:p>
        </w:tc>
      </w:tr>
      <w:tr>
        <w:tc>
          <w:tcPr>
            <w:tcW w:type="dxa" w:w="1584"/>
            <w:vAlign w:val="center"/>
          </w:tcPr>
          <w:p>
            <w:pPr>
              <w:spacing w:lineRule="auto" w:line="276"/>
              <w:jc w:val="center"/>
            </w:pPr>
            <w:r>
              <w:rPr>
                <w:rFonts w:ascii="Times New Roman" w:hAnsi="Times New Roman" w:eastAsia="宋体"/>
                <w:b w:val="0"/>
                <w:sz w:val="18"/>
              </w:rPr>
              <w:t>基床</w:t>
            </w:r>
          </w:p>
        </w:tc>
        <w:tc>
          <w:tcPr>
            <w:tcW w:type="dxa" w:w="2376"/>
            <w:vAlign w:val="center"/>
          </w:tcPr>
          <w:p>
            <w:pPr>
              <w:spacing w:lineRule="auto" w:line="276"/>
              <w:jc w:val="center"/>
            </w:pPr>
            <w:r>
              <w:rPr>
                <w:rFonts w:ascii="Times New Roman" w:hAnsi="Times New Roman" w:eastAsia="宋体"/>
                <w:b w:val="0"/>
                <w:sz w:val="18"/>
              </w:rPr>
              <w:t>块石基床与整平层</w:t>
            </w:r>
          </w:p>
        </w:tc>
        <w:tc>
          <w:tcPr>
            <w:tcW w:type="dxa" w:w="2232"/>
            <w:vAlign w:val="center"/>
          </w:tcPr>
          <w:p>
            <w:pPr>
              <w:spacing w:lineRule="auto" w:line="276"/>
              <w:jc w:val="center"/>
            </w:pPr>
            <w:r>
              <w:rPr>
                <w:rFonts w:ascii="Times New Roman" w:hAnsi="Times New Roman" w:eastAsia="宋体"/>
                <w:b w:val="0"/>
                <w:sz w:val="18"/>
              </w:rPr>
              <w:t>局部接触应力</w:t>
            </w:r>
          </w:p>
        </w:tc>
        <w:tc>
          <w:tcPr>
            <w:tcW w:type="dxa" w:w="2520"/>
            <w:vAlign w:val="center"/>
          </w:tcPr>
          <w:p>
            <w:pPr>
              <w:spacing w:lineRule="auto" w:line="276"/>
              <w:jc w:val="center"/>
            </w:pPr>
            <w:r>
              <w:rPr>
                <w:rFonts w:ascii="Times New Roman" w:hAnsi="Times New Roman" w:eastAsia="宋体"/>
                <w:b w:val="0"/>
                <w:sz w:val="18"/>
              </w:rPr>
              <w:t>提高整平精度</w:t>
            </w:r>
          </w:p>
        </w:tc>
      </w:tr>
    </w:tbl>
    <w:p/>
    <w:p>
      <w:pPr>
        <w:pStyle w:val="2"/>
        <w:jc w:val="left"/>
      </w:pPr>
      <w:r>
        <w:rPr>
          <w:rFonts w:ascii="Times New Roman" w:hAnsi="Times New Roman" w:eastAsia="宋体"/>
          <w:b/>
          <w:sz w:val="24"/>
        </w:rPr>
        <w:t xml:space="preserve"> 图纸统一与细部说明</w:t>
      </w:r>
    </w:p>
    <w:p>
      <w:pPr>
        <w:spacing w:lineRule="auto" w:line="360" w:before="0" w:after="0"/>
        <w:ind w:firstLine="480"/>
      </w:pPr>
      <w:r>
        <w:rPr>
          <w:rFonts w:ascii="Times New Roman" w:hAnsi="Times New Roman" w:eastAsia="宋体"/>
          <w:sz w:val="24"/>
        </w:rPr>
        <w:t>本轮正文按老师意见删除旧的讲解式示意图，不再使用与CAD图纸风格不一致的流程图、比选图和受力讲解图。正文保留正式A1图纸，并增加局部构造CAD图，用于说明局部节点、材料层次和配筋关系。</w:t>
      </w:r>
    </w:p>
    <w:p>
      <w:pPr>
        <w:spacing w:lineRule="auto" w:line="360" w:before="0" w:after="0"/>
        <w:ind w:firstLine="480"/>
      </w:pPr>
      <w:r>
        <w:rPr>
          <w:rFonts w:ascii="Times New Roman" w:hAnsi="Times New Roman" w:eastAsia="宋体"/>
          <w:sz w:val="24"/>
        </w:rPr>
        <w:t>重力式码头可靠指标简化计算研究说明，结构方案说明必须与稳定验算参数一致，否则比选结论缺少计算支撑</w:t>
      </w:r>
      <w:r>
        <w:rPr>
          <w:rFonts w:ascii="Times New Roman" w:hAnsi="Times New Roman" w:eastAsia="宋体"/>
          <w:sz w:val="24"/>
          <w:vertAlign w:val="superscript"/>
        </w:rPr>
        <w:t>[24]</w:t>
      </w:r>
      <w:r>
        <w:rPr>
          <w:rFonts w:ascii="Times New Roman" w:hAnsi="Times New Roman" w:eastAsia="宋体"/>
          <w:sz w:val="24"/>
        </w:rPr>
        <w:t>。港口与海岸水工建筑物教材也强调，码头结构选型应同时考虑作用、地基、施工和运营维护条件</w:t>
      </w:r>
      <w:r>
        <w:rPr>
          <w:rFonts w:ascii="Times New Roman" w:hAnsi="Times New Roman" w:eastAsia="宋体"/>
          <w:sz w:val="24"/>
          <w:vertAlign w:val="superscript"/>
        </w:rPr>
        <w:t>[25]</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沉箱施工技术文献表明，大型沉箱结构的预制、出运、浮运、沉放和回填顺序会显著影响施工质量</w:t>
      </w:r>
      <w:r>
        <w:rPr>
          <w:rFonts w:ascii="Times New Roman" w:hAnsi="Times New Roman" w:eastAsia="宋体"/>
          <w:sz w:val="24"/>
          <w:vertAlign w:val="superscript"/>
        </w:rPr>
        <w:t>[26]</w:t>
      </w:r>
      <w:r>
        <w:rPr>
          <w:rFonts w:ascii="Times New Roman" w:hAnsi="Times New Roman" w:eastAsia="宋体"/>
          <w:sz w:val="24"/>
        </w:rPr>
        <w:t>。结构优化比选研究也说明，方案选择应综合工程量、施工组织和风险，而不是只比较单项混凝土量</w:t>
      </w:r>
      <w:r>
        <w:rPr>
          <w:rFonts w:ascii="Times New Roman" w:hAnsi="Times New Roman" w:eastAsia="宋体"/>
          <w:sz w:val="24"/>
          <w:vertAlign w:val="superscript"/>
        </w:rPr>
        <w:t>[27]</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图纸统一要求对图框内粗外细作单独说明，是因为该项会传递到说明书和五张A1图纸。正文先交代取值口径，再说明它在图纸、计算或施工中的落点，使参数不是停留在资料摘录层面。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针对标高左对齐，本设计采用先定尺度、再核算能力、最后回到图纸表达的写法。这样处理后，审阅时可以直接看到该项与说明书和五张A1图纸之间的对应关系。</w:t>
      </w:r>
    </w:p>
    <w:p>
      <w:pPr>
        <w:spacing w:lineRule="auto" w:line="360" w:before="0" w:after="0"/>
        <w:ind w:firstLine="480"/>
      </w:pPr>
      <w:r>
        <w:rPr>
          <w:rFonts w:ascii="Times New Roman" w:hAnsi="Times New Roman" w:eastAsia="宋体"/>
          <w:sz w:val="24"/>
        </w:rPr>
        <w:t>主体与细部分区取值偏小会压缩安全或施工余量，取值偏大又会增加工程量。本说明书按初步设计深度采用适中偏保守的控制值，并在后续章节保留施工图复核接口。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从现场实施看，断面与平面对应还会影响施工顺序、材料组织和质量检查。正文把这些影响写入相邻段落，避免图纸有尺寸而说明书缺少工程解释。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图纸统一要求中的材料标注完整同时具有设计和管理意义。它既是计算输入，也是后续概预算、施工组织和运行维护的判断依据，因此需要在正文中给出明确说明。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围绕尺度标注闭合，本设计重点核对三件事：是否满足规范和船型需求，是否能在A1图纸中清楚表达，是否会改变说明书和五张A1图纸的工程量或安全储备。</w:t>
      </w:r>
    </w:p>
    <w:p>
      <w:pPr>
        <w:spacing w:lineRule="auto" w:line="360" w:before="0" w:after="0"/>
        <w:ind w:firstLine="480"/>
      </w:pPr>
      <w:r>
        <w:rPr>
          <w:rFonts w:ascii="Times New Roman" w:hAnsi="Times New Roman" w:eastAsia="宋体"/>
          <w:sz w:val="24"/>
        </w:rPr>
        <w:t>若后续详勘或施工条件发生变化，构造说明不压标题栏是需要优先复核的项目之一。本阶段先把采用值、影响范围和复核方向写清楚，便于施工图阶段继续深化。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配筋节点单独表达的说明与说明书和五张A1图纸相互衔接。正文采用工程语言解释其作用，而不把它写成泛泛的背景材料，从而压缩自然状况篇幅并提高设计章节比重。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图纸统一要求对参数表与正文一致作单独说明，是因为该项会传递到说明书和五张A1图纸。正文先交代取值口径，再说明它在图纸、计算或施工中的落点，使参数不是停留在资料摘录层面。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针对图号和章节对应，本设计采用先定尺度、再核算能力、最后回到图纸表达的写法。这样处理后，审阅时可以直接看到该项与说明书和五张A1图纸之间的对应关系。</w:t>
      </w:r>
    </w:p>
    <w:p>
      <w:pPr>
        <w:pStyle w:val="1"/>
        <w:pageBreakBefore/>
        <w:jc w:val="center"/>
      </w:pPr>
      <w:r>
        <w:rPr>
          <w:rFonts w:ascii="Times New Roman" w:hAnsi="Times New Roman" w:eastAsia="宋体"/>
          <w:b/>
          <w:sz w:val="30"/>
        </w:rPr>
        <w:t xml:space="preserve"> 结构计算与配筋构造</w:t>
      </w:r>
    </w:p>
    <w:p>
      <w:pPr>
        <w:pStyle w:val="2"/>
        <w:jc w:val="left"/>
      </w:pPr>
      <w:r>
        <w:rPr>
          <w:rFonts w:ascii="Times New Roman" w:hAnsi="Times New Roman" w:eastAsia="宋体"/>
          <w:b/>
          <w:sz w:val="24"/>
        </w:rPr>
        <w:t xml:space="preserve"> 计算依据、单元与工况</w:t>
      </w:r>
    </w:p>
    <w:p>
      <w:pPr>
        <w:spacing w:lineRule="auto" w:line="360" w:before="0" w:after="0"/>
        <w:ind w:firstLine="480"/>
      </w:pPr>
      <w:r>
        <w:rPr>
          <w:rFonts w:ascii="Times New Roman" w:hAnsi="Times New Roman" w:eastAsia="宋体"/>
          <w:sz w:val="24"/>
        </w:rPr>
        <w:t>结构计算按初步设计深度进行，计算目标是验证推荐结构方案可行性，并为工程量、概预算和方案选择提供依据。计算不替代施工图阶段的详勘复核和有限元分析，但必须给出抗滑、抗倾覆、基床应力、偏心距、施工阶段和构造配筋的完整链条。</w:t>
      </w:r>
    </w:p>
    <w:p>
      <w:pPr>
        <w:spacing w:lineRule="auto" w:line="360" w:before="0" w:after="0"/>
        <w:ind w:firstLine="480"/>
      </w:pPr>
      <w:r>
        <w:rPr>
          <w:rFonts w:ascii="Times New Roman" w:hAnsi="Times New Roman" w:eastAsia="宋体"/>
          <w:sz w:val="24"/>
        </w:rPr>
        <w:t>计算单元取一座沉箱或等效30m岸线段。大圆筒方案按相邻圆筒组成的等效段进行复核。作用包括结构自重、箱内或筒内回填重、胸墙重、墙后土压力、码头面堆载附加土压力、系缆力、浮托影响和施工阶段临时作用。</w:t>
      </w:r>
    </w:p>
    <w:p>
      <w:pPr>
        <w:keepNext/>
        <w:spacing w:lineRule="auto" w:line="300" w:before="0" w:after="120"/>
        <w:jc w:val="center"/>
      </w:pPr>
      <w:r>
        <w:rPr>
          <w:rFonts w:ascii="Times New Roman" w:hAnsi="Times New Roman" w:eastAsia="宋体"/>
          <w:b w:val="0"/>
          <w:sz w:val="20"/>
        </w:rPr>
        <w:t>表5-1 主要计算参数取值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016"/>
        <w:gridCol w:w="417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参数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160"/>
            <w:vAlign w:val="center"/>
          </w:tcPr>
          <w:p>
            <w:pPr>
              <w:spacing w:lineRule="auto" w:line="276"/>
              <w:jc w:val="center"/>
            </w:pPr>
            <w:r>
              <w:rPr>
                <w:rFonts w:ascii="Times New Roman" w:hAnsi="Times New Roman" w:eastAsia="宋体"/>
                <w:b w:val="0"/>
                <w:sz w:val="18"/>
              </w:rPr>
              <w:t>混凝土重度</w:t>
            </w:r>
          </w:p>
        </w:tc>
        <w:tc>
          <w:tcPr>
            <w:tcW w:type="dxa" w:w="2016"/>
            <w:vAlign w:val="center"/>
          </w:tcPr>
          <w:p>
            <w:pPr>
              <w:spacing w:lineRule="auto" w:line="276"/>
              <w:jc w:val="center"/>
            </w:pPr>
            <w:r>
              <w:rPr>
                <w:rFonts w:ascii="Times New Roman" w:hAnsi="Times New Roman" w:eastAsia="宋体"/>
                <w:b w:val="0"/>
                <w:sz w:val="18"/>
              </w:rPr>
              <w:t>24~25kN/m3</w:t>
            </w:r>
          </w:p>
        </w:tc>
        <w:tc>
          <w:tcPr>
            <w:tcW w:type="dxa" w:w="4176"/>
            <w:vAlign w:val="center"/>
          </w:tcPr>
          <w:p>
            <w:pPr>
              <w:spacing w:lineRule="auto" w:line="276"/>
              <w:jc w:val="center"/>
            </w:pPr>
            <w:r>
              <w:rPr>
                <w:rFonts w:ascii="Times New Roman" w:hAnsi="Times New Roman" w:eastAsia="宋体"/>
                <w:b w:val="0"/>
                <w:sz w:val="18"/>
              </w:rPr>
              <w:t>结构自重</w:t>
            </w:r>
          </w:p>
        </w:tc>
      </w:tr>
      <w:tr>
        <w:tc>
          <w:tcPr>
            <w:tcW w:type="dxa" w:w="2160"/>
            <w:vAlign w:val="center"/>
          </w:tcPr>
          <w:p>
            <w:pPr>
              <w:spacing w:lineRule="auto" w:line="276"/>
              <w:jc w:val="center"/>
            </w:pPr>
            <w:r>
              <w:rPr>
                <w:rFonts w:ascii="Times New Roman" w:hAnsi="Times New Roman" w:eastAsia="宋体"/>
                <w:b w:val="0"/>
                <w:sz w:val="18"/>
              </w:rPr>
              <w:t>块石/开山石重度</w:t>
            </w:r>
          </w:p>
        </w:tc>
        <w:tc>
          <w:tcPr>
            <w:tcW w:type="dxa" w:w="2016"/>
            <w:vAlign w:val="center"/>
          </w:tcPr>
          <w:p>
            <w:pPr>
              <w:spacing w:lineRule="auto" w:line="276"/>
              <w:jc w:val="center"/>
            </w:pPr>
            <w:r>
              <w:rPr>
                <w:rFonts w:ascii="Times New Roman" w:hAnsi="Times New Roman" w:eastAsia="宋体"/>
                <w:b w:val="0"/>
                <w:sz w:val="18"/>
              </w:rPr>
              <w:t>18~20kN/m3</w:t>
            </w:r>
          </w:p>
        </w:tc>
        <w:tc>
          <w:tcPr>
            <w:tcW w:type="dxa" w:w="4176"/>
            <w:vAlign w:val="center"/>
          </w:tcPr>
          <w:p>
            <w:pPr>
              <w:spacing w:lineRule="auto" w:line="276"/>
              <w:jc w:val="center"/>
            </w:pPr>
            <w:r>
              <w:rPr>
                <w:rFonts w:ascii="Times New Roman" w:hAnsi="Times New Roman" w:eastAsia="宋体"/>
                <w:b w:val="0"/>
                <w:sz w:val="18"/>
              </w:rPr>
              <w:t>回填与基床</w:t>
            </w:r>
          </w:p>
        </w:tc>
      </w:tr>
      <w:tr>
        <w:tc>
          <w:tcPr>
            <w:tcW w:type="dxa" w:w="2160"/>
            <w:vAlign w:val="center"/>
          </w:tcPr>
          <w:p>
            <w:pPr>
              <w:spacing w:lineRule="auto" w:line="276"/>
              <w:jc w:val="center"/>
            </w:pPr>
            <w:r>
              <w:rPr>
                <w:rFonts w:ascii="Times New Roman" w:hAnsi="Times New Roman" w:eastAsia="宋体"/>
                <w:b w:val="0"/>
                <w:sz w:val="18"/>
              </w:rPr>
              <w:t>水下有效重度</w:t>
            </w:r>
          </w:p>
        </w:tc>
        <w:tc>
          <w:tcPr>
            <w:tcW w:type="dxa" w:w="2016"/>
            <w:vAlign w:val="center"/>
          </w:tcPr>
          <w:p>
            <w:pPr>
              <w:spacing w:lineRule="auto" w:line="276"/>
              <w:jc w:val="center"/>
            </w:pPr>
            <w:r>
              <w:rPr>
                <w:rFonts w:ascii="Times New Roman" w:hAnsi="Times New Roman" w:eastAsia="宋体"/>
                <w:b w:val="0"/>
                <w:sz w:val="18"/>
              </w:rPr>
              <w:t>10~12kN/m3</w:t>
            </w:r>
          </w:p>
        </w:tc>
        <w:tc>
          <w:tcPr>
            <w:tcW w:type="dxa" w:w="4176"/>
            <w:vAlign w:val="center"/>
          </w:tcPr>
          <w:p>
            <w:pPr>
              <w:spacing w:lineRule="auto" w:line="276"/>
              <w:jc w:val="center"/>
            </w:pPr>
            <w:r>
              <w:rPr>
                <w:rFonts w:ascii="Times New Roman" w:hAnsi="Times New Roman" w:eastAsia="宋体"/>
                <w:b w:val="0"/>
                <w:sz w:val="18"/>
              </w:rPr>
              <w:t>水下土压力与基床</w:t>
            </w:r>
          </w:p>
        </w:tc>
      </w:tr>
      <w:tr>
        <w:tc>
          <w:tcPr>
            <w:tcW w:type="dxa" w:w="2160"/>
            <w:vAlign w:val="center"/>
          </w:tcPr>
          <w:p>
            <w:pPr>
              <w:spacing w:lineRule="auto" w:line="276"/>
              <w:jc w:val="center"/>
            </w:pPr>
            <w:r>
              <w:rPr>
                <w:rFonts w:ascii="Times New Roman" w:hAnsi="Times New Roman" w:eastAsia="宋体"/>
                <w:b w:val="0"/>
                <w:sz w:val="18"/>
              </w:rPr>
              <w:t>内摩擦角</w:t>
            </w:r>
          </w:p>
        </w:tc>
        <w:tc>
          <w:tcPr>
            <w:tcW w:type="dxa" w:w="2016"/>
            <w:vAlign w:val="center"/>
          </w:tcPr>
          <w:p>
            <w:pPr>
              <w:spacing w:lineRule="auto" w:line="276"/>
              <w:jc w:val="center"/>
            </w:pPr>
            <w:r>
              <w:rPr>
                <w:rFonts w:ascii="Times New Roman" w:hAnsi="Times New Roman" w:eastAsia="宋体"/>
                <w:b w:val="0"/>
                <w:sz w:val="18"/>
              </w:rPr>
              <w:t>35°</w:t>
            </w:r>
          </w:p>
        </w:tc>
        <w:tc>
          <w:tcPr>
            <w:tcW w:type="dxa" w:w="4176"/>
            <w:vAlign w:val="center"/>
          </w:tcPr>
          <w:p>
            <w:pPr>
              <w:spacing w:lineRule="auto" w:line="276"/>
              <w:jc w:val="center"/>
            </w:pPr>
            <w:r>
              <w:rPr>
                <w:rFonts w:ascii="Times New Roman" w:hAnsi="Times New Roman" w:eastAsia="宋体"/>
                <w:b w:val="0"/>
                <w:sz w:val="18"/>
              </w:rPr>
              <w:t>主动土压力</w:t>
            </w:r>
          </w:p>
        </w:tc>
      </w:tr>
      <w:tr>
        <w:tc>
          <w:tcPr>
            <w:tcW w:type="dxa" w:w="2160"/>
            <w:vAlign w:val="center"/>
          </w:tcPr>
          <w:p>
            <w:pPr>
              <w:spacing w:lineRule="auto" w:line="276"/>
              <w:jc w:val="center"/>
            </w:pPr>
            <w:r>
              <w:rPr>
                <w:rFonts w:ascii="Times New Roman" w:hAnsi="Times New Roman" w:eastAsia="宋体"/>
                <w:b w:val="0"/>
                <w:sz w:val="18"/>
              </w:rPr>
              <w:t>墙底摩擦系数</w:t>
            </w:r>
          </w:p>
        </w:tc>
        <w:tc>
          <w:tcPr>
            <w:tcW w:type="dxa" w:w="2016"/>
            <w:vAlign w:val="center"/>
          </w:tcPr>
          <w:p>
            <w:pPr>
              <w:spacing w:lineRule="auto" w:line="276"/>
              <w:jc w:val="center"/>
            </w:pPr>
            <w:r>
              <w:rPr>
                <w:rFonts w:ascii="Times New Roman" w:hAnsi="Times New Roman" w:eastAsia="宋体"/>
                <w:b w:val="0"/>
                <w:sz w:val="18"/>
              </w:rPr>
              <w:t>0.60</w:t>
            </w:r>
          </w:p>
        </w:tc>
        <w:tc>
          <w:tcPr>
            <w:tcW w:type="dxa" w:w="4176"/>
            <w:vAlign w:val="center"/>
          </w:tcPr>
          <w:p>
            <w:pPr>
              <w:spacing w:lineRule="auto" w:line="276"/>
              <w:jc w:val="center"/>
            </w:pPr>
            <w:r>
              <w:rPr>
                <w:rFonts w:ascii="Times New Roman" w:hAnsi="Times New Roman" w:eastAsia="宋体"/>
                <w:b w:val="0"/>
                <w:sz w:val="18"/>
              </w:rPr>
              <w:t>抗滑验算</w:t>
            </w:r>
          </w:p>
        </w:tc>
      </w:tr>
      <w:tr>
        <w:tc>
          <w:tcPr>
            <w:tcW w:type="dxa" w:w="2160"/>
            <w:vAlign w:val="center"/>
          </w:tcPr>
          <w:p>
            <w:pPr>
              <w:spacing w:lineRule="auto" w:line="276"/>
              <w:jc w:val="center"/>
            </w:pPr>
            <w:r>
              <w:rPr>
                <w:rFonts w:ascii="Times New Roman" w:hAnsi="Times New Roman" w:eastAsia="宋体"/>
                <w:b w:val="0"/>
                <w:sz w:val="18"/>
              </w:rPr>
              <w:t>码头面堆载</w:t>
            </w:r>
          </w:p>
        </w:tc>
        <w:tc>
          <w:tcPr>
            <w:tcW w:type="dxa" w:w="2016"/>
            <w:vAlign w:val="center"/>
          </w:tcPr>
          <w:p>
            <w:pPr>
              <w:spacing w:lineRule="auto" w:line="276"/>
              <w:jc w:val="center"/>
            </w:pPr>
            <w:r>
              <w:rPr>
                <w:rFonts w:ascii="Times New Roman" w:hAnsi="Times New Roman" w:eastAsia="宋体"/>
                <w:b w:val="0"/>
                <w:sz w:val="18"/>
              </w:rPr>
              <w:t>40kPa</w:t>
            </w:r>
          </w:p>
        </w:tc>
        <w:tc>
          <w:tcPr>
            <w:tcW w:type="dxa" w:w="4176"/>
            <w:vAlign w:val="center"/>
          </w:tcPr>
          <w:p>
            <w:pPr>
              <w:spacing w:lineRule="auto" w:line="276"/>
              <w:jc w:val="center"/>
            </w:pPr>
            <w:r>
              <w:rPr>
                <w:rFonts w:ascii="Times New Roman" w:hAnsi="Times New Roman" w:eastAsia="宋体"/>
                <w:b w:val="0"/>
                <w:sz w:val="18"/>
              </w:rPr>
              <w:t>附加土压力</w:t>
            </w:r>
          </w:p>
        </w:tc>
      </w:tr>
      <w:tr>
        <w:tc>
          <w:tcPr>
            <w:tcW w:type="dxa" w:w="2160"/>
            <w:vAlign w:val="center"/>
          </w:tcPr>
          <w:p>
            <w:pPr>
              <w:spacing w:lineRule="auto" w:line="276"/>
              <w:jc w:val="center"/>
            </w:pPr>
            <w:r>
              <w:rPr>
                <w:rFonts w:ascii="Times New Roman" w:hAnsi="Times New Roman" w:eastAsia="宋体"/>
                <w:b w:val="0"/>
                <w:sz w:val="18"/>
              </w:rPr>
              <w:t>允许偏心距</w:t>
            </w:r>
          </w:p>
        </w:tc>
        <w:tc>
          <w:tcPr>
            <w:tcW w:type="dxa" w:w="2016"/>
            <w:vAlign w:val="center"/>
          </w:tcPr>
          <w:p>
            <w:pPr>
              <w:spacing w:lineRule="auto" w:line="276"/>
              <w:jc w:val="center"/>
            </w:pPr>
            <w:r>
              <w:rPr>
                <w:rFonts w:ascii="Times New Roman" w:hAnsi="Times New Roman" w:eastAsia="宋体"/>
                <w:b w:val="0"/>
                <w:sz w:val="18"/>
              </w:rPr>
              <w:t>B/6</w:t>
            </w:r>
          </w:p>
        </w:tc>
        <w:tc>
          <w:tcPr>
            <w:tcW w:type="dxa" w:w="4176"/>
            <w:vAlign w:val="center"/>
          </w:tcPr>
          <w:p>
            <w:pPr>
              <w:spacing w:lineRule="auto" w:line="276"/>
              <w:jc w:val="center"/>
            </w:pPr>
            <w:r>
              <w:rPr>
                <w:rFonts w:ascii="Times New Roman" w:hAnsi="Times New Roman" w:eastAsia="宋体"/>
                <w:b w:val="0"/>
                <w:sz w:val="18"/>
              </w:rPr>
              <w:t>基底应力控制</w:t>
            </w:r>
          </w:p>
        </w:tc>
      </w:tr>
    </w:tbl>
    <w:p/>
    <w:p>
      <w:pPr>
        <w:keepNext/>
        <w:spacing w:lineRule="auto" w:line="300" w:before="0" w:after="120"/>
        <w:jc w:val="center"/>
      </w:pPr>
      <w:r>
        <w:rPr>
          <w:rFonts w:ascii="Times New Roman" w:hAnsi="Times New Roman" w:eastAsia="宋体"/>
          <w:b w:val="0"/>
          <w:sz w:val="20"/>
        </w:rPr>
        <w:t>表5-2 稳定计算工况组合</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3168"/>
        <w:gridCol w:w="345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工况</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主要作用</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控制目的</w:t>
            </w:r>
          </w:p>
        </w:tc>
      </w:tr>
      <w:tr>
        <w:tc>
          <w:tcPr>
            <w:tcW w:type="dxa" w:w="2016"/>
            <w:vAlign w:val="center"/>
          </w:tcPr>
          <w:p>
            <w:pPr>
              <w:spacing w:lineRule="auto" w:line="276"/>
              <w:jc w:val="center"/>
            </w:pPr>
            <w:r>
              <w:rPr>
                <w:rFonts w:ascii="Times New Roman" w:hAnsi="Times New Roman" w:eastAsia="宋体"/>
                <w:b w:val="0"/>
                <w:sz w:val="18"/>
              </w:rPr>
              <w:t>正常使用低水位</w:t>
            </w:r>
          </w:p>
        </w:tc>
        <w:tc>
          <w:tcPr>
            <w:tcW w:type="dxa" w:w="3168"/>
            <w:vAlign w:val="center"/>
          </w:tcPr>
          <w:p>
            <w:pPr>
              <w:spacing w:lineRule="auto" w:line="276"/>
              <w:jc w:val="center"/>
            </w:pPr>
            <w:r>
              <w:rPr>
                <w:rFonts w:ascii="Times New Roman" w:hAnsi="Times New Roman" w:eastAsia="宋体"/>
                <w:b w:val="0"/>
                <w:sz w:val="18"/>
              </w:rPr>
              <w:t>自重+土压力+堆载+系缆</w:t>
            </w:r>
          </w:p>
        </w:tc>
        <w:tc>
          <w:tcPr>
            <w:tcW w:type="dxa" w:w="3456"/>
            <w:vAlign w:val="center"/>
          </w:tcPr>
          <w:p>
            <w:pPr>
              <w:spacing w:lineRule="auto" w:line="276"/>
              <w:jc w:val="center"/>
            </w:pPr>
            <w:r>
              <w:rPr>
                <w:rFonts w:ascii="Times New Roman" w:hAnsi="Times New Roman" w:eastAsia="宋体"/>
                <w:b w:val="0"/>
                <w:sz w:val="18"/>
              </w:rPr>
              <w:t>抗滑、抗倾覆和基床应力</w:t>
            </w:r>
          </w:p>
        </w:tc>
      </w:tr>
      <w:tr>
        <w:tc>
          <w:tcPr>
            <w:tcW w:type="dxa" w:w="2016"/>
            <w:vAlign w:val="center"/>
          </w:tcPr>
          <w:p>
            <w:pPr>
              <w:spacing w:lineRule="auto" w:line="276"/>
              <w:jc w:val="center"/>
            </w:pPr>
            <w:r>
              <w:rPr>
                <w:rFonts w:ascii="Times New Roman" w:hAnsi="Times New Roman" w:eastAsia="宋体"/>
                <w:b w:val="0"/>
                <w:sz w:val="18"/>
              </w:rPr>
              <w:t>设计高水位</w:t>
            </w:r>
          </w:p>
        </w:tc>
        <w:tc>
          <w:tcPr>
            <w:tcW w:type="dxa" w:w="3168"/>
            <w:vAlign w:val="center"/>
          </w:tcPr>
          <w:p>
            <w:pPr>
              <w:spacing w:lineRule="auto" w:line="276"/>
              <w:jc w:val="center"/>
            </w:pPr>
            <w:r>
              <w:rPr>
                <w:rFonts w:ascii="Times New Roman" w:hAnsi="Times New Roman" w:eastAsia="宋体"/>
                <w:b w:val="0"/>
                <w:sz w:val="18"/>
              </w:rPr>
              <w:t>自重+浮托+运营荷载</w:t>
            </w:r>
          </w:p>
        </w:tc>
        <w:tc>
          <w:tcPr>
            <w:tcW w:type="dxa" w:w="3456"/>
            <w:vAlign w:val="center"/>
          </w:tcPr>
          <w:p>
            <w:pPr>
              <w:spacing w:lineRule="auto" w:line="276"/>
              <w:jc w:val="center"/>
            </w:pPr>
            <w:r>
              <w:rPr>
                <w:rFonts w:ascii="Times New Roman" w:hAnsi="Times New Roman" w:eastAsia="宋体"/>
                <w:b w:val="0"/>
                <w:sz w:val="18"/>
              </w:rPr>
              <w:t>胸墙高程和结构耐久性</w:t>
            </w:r>
          </w:p>
        </w:tc>
      </w:tr>
      <w:tr>
        <w:tc>
          <w:tcPr>
            <w:tcW w:type="dxa" w:w="2016"/>
            <w:vAlign w:val="center"/>
          </w:tcPr>
          <w:p>
            <w:pPr>
              <w:spacing w:lineRule="auto" w:line="276"/>
              <w:jc w:val="center"/>
            </w:pPr>
            <w:r>
              <w:rPr>
                <w:rFonts w:ascii="Times New Roman" w:hAnsi="Times New Roman" w:eastAsia="宋体"/>
                <w:b w:val="0"/>
                <w:sz w:val="18"/>
              </w:rPr>
              <w:t>施工沉放</w:t>
            </w:r>
          </w:p>
        </w:tc>
        <w:tc>
          <w:tcPr>
            <w:tcW w:type="dxa" w:w="3168"/>
            <w:vAlign w:val="center"/>
          </w:tcPr>
          <w:p>
            <w:pPr>
              <w:spacing w:lineRule="auto" w:line="276"/>
              <w:jc w:val="center"/>
            </w:pPr>
            <w:r>
              <w:rPr>
                <w:rFonts w:ascii="Times New Roman" w:hAnsi="Times New Roman" w:eastAsia="宋体"/>
                <w:b w:val="0"/>
                <w:sz w:val="18"/>
              </w:rPr>
              <w:t>构件自重+浮力+定位偏差</w:t>
            </w:r>
          </w:p>
        </w:tc>
        <w:tc>
          <w:tcPr>
            <w:tcW w:type="dxa" w:w="3456"/>
            <w:vAlign w:val="center"/>
          </w:tcPr>
          <w:p>
            <w:pPr>
              <w:spacing w:lineRule="auto" w:line="276"/>
              <w:jc w:val="center"/>
            </w:pPr>
            <w:r>
              <w:rPr>
                <w:rFonts w:ascii="Times New Roman" w:hAnsi="Times New Roman" w:eastAsia="宋体"/>
                <w:b w:val="0"/>
                <w:sz w:val="18"/>
              </w:rPr>
              <w:t>沉放安全和坐床姿态</w:t>
            </w:r>
          </w:p>
        </w:tc>
      </w:tr>
      <w:tr>
        <w:tc>
          <w:tcPr>
            <w:tcW w:type="dxa" w:w="2016"/>
            <w:vAlign w:val="center"/>
          </w:tcPr>
          <w:p>
            <w:pPr>
              <w:spacing w:lineRule="auto" w:line="276"/>
              <w:jc w:val="center"/>
            </w:pPr>
            <w:r>
              <w:rPr>
                <w:rFonts w:ascii="Times New Roman" w:hAnsi="Times New Roman" w:eastAsia="宋体"/>
                <w:b w:val="0"/>
                <w:sz w:val="18"/>
              </w:rPr>
              <w:t>回填施工</w:t>
            </w:r>
          </w:p>
        </w:tc>
        <w:tc>
          <w:tcPr>
            <w:tcW w:type="dxa" w:w="3168"/>
            <w:vAlign w:val="center"/>
          </w:tcPr>
          <w:p>
            <w:pPr>
              <w:spacing w:lineRule="auto" w:line="276"/>
              <w:jc w:val="center"/>
            </w:pPr>
            <w:r>
              <w:rPr>
                <w:rFonts w:ascii="Times New Roman" w:hAnsi="Times New Roman" w:eastAsia="宋体"/>
                <w:b w:val="0"/>
                <w:sz w:val="18"/>
              </w:rPr>
              <w:t>分层回填+临时偏压</w:t>
            </w:r>
          </w:p>
        </w:tc>
        <w:tc>
          <w:tcPr>
            <w:tcW w:type="dxa" w:w="3456"/>
            <w:vAlign w:val="center"/>
          </w:tcPr>
          <w:p>
            <w:pPr>
              <w:spacing w:lineRule="auto" w:line="276"/>
              <w:jc w:val="center"/>
            </w:pPr>
            <w:r>
              <w:rPr>
                <w:rFonts w:ascii="Times New Roman" w:hAnsi="Times New Roman" w:eastAsia="宋体"/>
                <w:b w:val="0"/>
                <w:sz w:val="18"/>
              </w:rPr>
              <w:t>位移和接缝控制</w:t>
            </w:r>
          </w:p>
        </w:tc>
      </w:tr>
      <w:tr>
        <w:tc>
          <w:tcPr>
            <w:tcW w:type="dxa" w:w="2016"/>
            <w:vAlign w:val="center"/>
          </w:tcPr>
          <w:p>
            <w:pPr>
              <w:spacing w:lineRule="auto" w:line="276"/>
              <w:jc w:val="center"/>
            </w:pPr>
            <w:r>
              <w:rPr>
                <w:rFonts w:ascii="Times New Roman" w:hAnsi="Times New Roman" w:eastAsia="宋体"/>
                <w:b w:val="0"/>
                <w:sz w:val="18"/>
              </w:rPr>
              <w:t>极端校核</w:t>
            </w:r>
          </w:p>
        </w:tc>
        <w:tc>
          <w:tcPr>
            <w:tcW w:type="dxa" w:w="3168"/>
            <w:vAlign w:val="center"/>
          </w:tcPr>
          <w:p>
            <w:pPr>
              <w:spacing w:lineRule="auto" w:line="276"/>
              <w:jc w:val="center"/>
            </w:pPr>
            <w:r>
              <w:rPr>
                <w:rFonts w:ascii="Times New Roman" w:hAnsi="Times New Roman" w:eastAsia="宋体"/>
                <w:b w:val="0"/>
                <w:sz w:val="18"/>
              </w:rPr>
              <w:t>极端水位+限制运营</w:t>
            </w:r>
          </w:p>
        </w:tc>
        <w:tc>
          <w:tcPr>
            <w:tcW w:type="dxa" w:w="3456"/>
            <w:vAlign w:val="center"/>
          </w:tcPr>
          <w:p>
            <w:pPr>
              <w:spacing w:lineRule="auto" w:line="276"/>
              <w:jc w:val="center"/>
            </w:pPr>
            <w:r>
              <w:rPr>
                <w:rFonts w:ascii="Times New Roman" w:hAnsi="Times New Roman" w:eastAsia="宋体"/>
                <w:b w:val="0"/>
                <w:sz w:val="18"/>
              </w:rPr>
              <w:t>安全储备检查</w:t>
            </w:r>
          </w:p>
        </w:tc>
      </w:tr>
    </w:tbl>
    <w:p/>
    <w:p>
      <w:pPr>
        <w:spacing w:lineRule="auto" w:line="360" w:before="0" w:after="0"/>
        <w:ind w:firstLine="480"/>
      </w:pPr>
      <w:r>
        <w:rPr>
          <w:rFonts w:ascii="Times New Roman" w:hAnsi="Times New Roman" w:eastAsia="宋体"/>
          <w:sz w:val="24"/>
        </w:rPr>
        <w:t>计算工况对正常低水位作单独说明，是因为该项会传递到抗滑、抗倾覆、基床应力和施工安全。正文先交代取值口径，再说明它在图纸、计算或施工中的落点，使参数不是停留在资料摘录层面。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针对设计高水位，本设计采用先定尺度、再核算能力、最后回到图纸表达的写法。这样处理后，审阅时可以直接看到该项与抗滑、抗倾覆、基床应力和施工安全之间的对应关系。</w:t>
      </w:r>
    </w:p>
    <w:p>
      <w:pPr>
        <w:spacing w:lineRule="auto" w:line="360" w:before="0" w:after="0"/>
        <w:ind w:firstLine="480"/>
      </w:pPr>
      <w:r>
        <w:rPr>
          <w:rFonts w:ascii="Times New Roman" w:hAnsi="Times New Roman" w:eastAsia="宋体"/>
          <w:sz w:val="24"/>
        </w:rPr>
        <w:t>极端高水位取值偏小会压缩安全或施工余量，取值偏大又会增加工程量。本说明书按初步设计深度采用适中偏保守的控制值，并在后续章节保留施工图复核接口。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从现场实施看，沉箱浮运还会影响施工顺序、材料组织和质量检查。正文把这些影响写入相邻段落，避免图纸有尺寸而说明书缺少工程解释。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计算工况中的沉箱沉放同时具有设计和管理意义。它既是计算输入，也是后续概预算、施工组织和运行维护的判断依据，因此需要在正文中给出明确说明。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围绕箱内回填，本设计重点核对三件事：是否满足规范和船型需求，是否能在A1图纸中清楚表达，是否会改变抗滑、抗倾覆、基床应力和施工安全的工程量或安全储备。</w:t>
      </w:r>
    </w:p>
    <w:p>
      <w:pPr>
        <w:spacing w:lineRule="auto" w:line="360" w:before="0" w:after="0"/>
        <w:ind w:firstLine="480"/>
      </w:pPr>
      <w:r>
        <w:rPr>
          <w:rFonts w:ascii="Times New Roman" w:hAnsi="Times New Roman" w:eastAsia="宋体"/>
          <w:sz w:val="24"/>
        </w:rPr>
        <w:t>若后续详勘或施工条件发生变化，胸墙浇筑是需要优先复核的项目之一。本阶段先把采用值、影响范围和复核方向写清楚，便于施工图阶段继续深化。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岸桥基础施工的说明与抗滑、抗倾覆、基床应力和施工安全相互衔接。正文采用工程语言解释其作用，而不把它写成泛泛的背景材料，从而压缩自然状况篇幅并提高设计章节比重。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计算工况对大圆筒吊装作单独说明，是因为该项会传递到抗滑、抗倾覆、基床应力和施工安全。正文先交代取值口径，再说明它在图纸、计算或施工中的落点，使参数不是停留在资料摘录层面。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针对筒内回填，本设计采用先定尺度、再核算能力、最后回到图纸表达的写法。这样处理后，审阅时可以直接看到该项与抗滑、抗倾覆、基床应力和施工安全之间的对应关系。</w:t>
      </w:r>
    </w:p>
    <w:p>
      <w:pPr>
        <w:spacing w:lineRule="auto" w:line="360" w:before="0" w:after="0"/>
        <w:ind w:firstLine="480"/>
      </w:pPr>
      <w:r>
        <w:rPr>
          <w:rFonts w:ascii="Times New Roman" w:hAnsi="Times New Roman" w:eastAsia="宋体"/>
          <w:sz w:val="24"/>
        </w:rPr>
        <w:t>基床整平取值偏小会压缩安全或施工余量，取值偏大又会增加工程量。本说明书按初步设计深度采用适中偏保守的控制值，并在后续章节保留施工图复核接口。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从现场实施看，运营堆载还会影响施工顺序、材料组织和质量检查。正文把这些影响写入相邻段落，避免图纸有尺寸而说明书缺少工程解释。</w:t>
      </w:r>
    </w:p>
    <w:p>
      <w:pPr>
        <w:pStyle w:val="2"/>
        <w:jc w:val="left"/>
      </w:pPr>
      <w:r>
        <w:rPr>
          <w:rFonts w:ascii="Times New Roman" w:hAnsi="Times New Roman" w:eastAsia="宋体"/>
          <w:b/>
          <w:sz w:val="24"/>
        </w:rPr>
        <w:t xml:space="preserve"> 方案一沉箱稳定计算</w:t>
      </w:r>
    </w:p>
    <w:p>
      <w:pPr>
        <w:spacing w:lineRule="auto" w:line="360" w:before="0" w:after="0"/>
        <w:ind w:firstLine="480"/>
      </w:pPr>
      <w:r>
        <w:rPr>
          <w:rFonts w:ascii="Times New Roman" w:hAnsi="Times New Roman" w:eastAsia="宋体"/>
          <w:sz w:val="24"/>
        </w:rPr>
        <w:t>沉箱方案按每座沉箱29.95m长度计算。竖向力包括沉箱混凝土自重、箱内回填重、胸墙及面层重、后方回填对底部的有利作用等；水平力包括主动土压力、堆载附加土压力、系缆力和局部施工偏压。</w:t>
      </w:r>
    </w:p>
    <w:p>
      <w:pPr>
        <w:tabs>
          <w:tab w:pos="4100" w:val="center"/>
          <w:tab w:pos="8200" w:val="right"/>
        </w:tabs>
        <w:spacing w:lineRule="auto" w:line="360" w:before="0" w:after="0"/>
        <w:jc w:val="left"/>
      </w:pPr>
      <w:r>
        <w:tab/>
      </w:r>
      <m:oMath>
        <m:sSub>
          <m:e>
            <m:r>
              <m:t>K</m:t>
            </m:r>
          </m:e>
          <m:sub>
            <m:r>
              <m:t>a</m:t>
            </m:r>
          </m:sub>
        </m:sSub>
        <m:r>
          <m:rPr>
            <m:sty m:val="p"/>
          </m:rPr>
          <m:t>=</m:t>
        </m:r>
        <m:sSup>
          <m:e>
            <m:r>
              <m:rPr>
                <m:sty m:val="p"/>
              </m:rPr>
              <m:t>tan</m:t>
            </m:r>
          </m:e>
          <m:sup>
            <m:r>
              <m:t>2</m:t>
            </m:r>
          </m:sup>
        </m:sSup>
        <m:r>
          <m:rPr>
            <m:sty m:val="p"/>
          </m:rPr>
          <m:t>(</m:t>
        </m:r>
        <m:sSup>
          <m:e>
            <m:r>
              <m:t>45</m:t>
            </m:r>
          </m:e>
          <m:sup>
            <m:r>
              <m:rPr>
                <m:sty m:val="p"/>
              </m:rPr>
              <m:t>∘</m:t>
            </m:r>
          </m:sup>
        </m:sSup>
        <m:r>
          <m:rPr>
            <m:sty m:val="p"/>
          </m:rPr>
          <m:t>−</m:t>
        </m:r>
        <m:r>
          <m:t>φ</m:t>
        </m:r>
        <m:r>
          <m:rPr>
            <m:sty m:val="p"/>
          </m:rPr>
          <m:t>/</m:t>
        </m:r>
        <m:r>
          <m:t>2</m:t>
        </m:r>
        <m:r>
          <m:rPr>
            <m:sty m:val="p"/>
          </m:rPr>
          <m:t>)</m:t>
        </m:r>
      </m:oMath>
      <w:r>
        <w:rPr>
          <w:rFonts w:ascii="Times New Roman" w:hAnsi="Times New Roman" w:eastAsia="宋体"/>
          <w:sz w:val="24"/>
        </w:rPr>
        <w:tab/>
        <w:t>（5.1）</w:t>
      </w:r>
    </w:p>
    <w:p>
      <w:pPr>
        <w:tabs>
          <w:tab w:pos="4100" w:val="center"/>
          <w:tab w:pos="8200" w:val="right"/>
        </w:tabs>
        <w:spacing w:lineRule="auto" w:line="360" w:before="0" w:after="0"/>
        <w:jc w:val="left"/>
      </w:pPr>
      <w:r>
        <w:tab/>
      </w:r>
      <m:oMath>
        <m:sSub>
          <m:e>
            <m:r>
              <m:t>E</m:t>
            </m:r>
          </m:e>
          <m:sub>
            <m:r>
              <m:t>a</m:t>
            </m:r>
          </m:sub>
        </m:sSub>
        <m:r>
          <m:rPr>
            <m:sty m:val="p"/>
          </m:rPr>
          <m:t>=</m:t>
        </m:r>
        <m:f>
          <m:fPr>
            <m:type m:val="bar"/>
          </m:fPr>
          <m:num>
            <m:r>
              <m:t>1</m:t>
            </m:r>
          </m:num>
          <m:den>
            <m:r>
              <m:t>2</m:t>
            </m:r>
          </m:den>
        </m:f>
        <m:sSub>
          <m:e>
            <m:r>
              <m:t>K</m:t>
            </m:r>
          </m:e>
          <m:sub>
            <m:r>
              <m:t>a</m:t>
            </m:r>
          </m:sub>
        </m:sSub>
        <m:r>
          <m:t>γ</m:t>
        </m:r>
        <m:sSup>
          <m:e>
            <m:r>
              <m:t>H</m:t>
            </m:r>
          </m:e>
          <m:sup>
            <m:r>
              <m:t>2</m:t>
            </m:r>
          </m:sup>
        </m:sSup>
      </m:oMath>
      <w:r>
        <w:rPr>
          <w:rFonts w:ascii="Times New Roman" w:hAnsi="Times New Roman" w:eastAsia="宋体"/>
          <w:sz w:val="24"/>
        </w:rPr>
        <w:tab/>
        <w:t>（5.2）</w:t>
      </w:r>
    </w:p>
    <w:p>
      <w:pPr>
        <w:tabs>
          <w:tab w:pos="4100" w:val="center"/>
          <w:tab w:pos="8200" w:val="right"/>
        </w:tabs>
        <w:spacing w:lineRule="auto" w:line="360" w:before="0" w:after="0"/>
        <w:jc w:val="left"/>
      </w:pPr>
      <w:r>
        <w:tab/>
      </w:r>
      <m:oMath>
        <m:sSub>
          <m:e>
            <m:r>
              <m:t>E</m:t>
            </m:r>
          </m:e>
          <m:sub>
            <m:r>
              <m:t>q</m:t>
            </m:r>
          </m:sub>
        </m:sSub>
        <m:r>
          <m:rPr>
            <m:sty m:val="p"/>
          </m:rPr>
          <m:t>=</m:t>
        </m:r>
        <m:sSub>
          <m:e>
            <m:r>
              <m:t>K</m:t>
            </m:r>
          </m:e>
          <m:sub>
            <m:r>
              <m:t>a</m:t>
            </m:r>
          </m:sub>
        </m:sSub>
        <m:r>
          <m:t>q</m:t>
        </m:r>
        <m:r>
          <m:t>H</m:t>
        </m:r>
      </m:oMath>
      <w:r>
        <w:rPr>
          <w:rFonts w:ascii="Times New Roman" w:hAnsi="Times New Roman" w:eastAsia="宋体"/>
          <w:sz w:val="24"/>
        </w:rPr>
        <w:tab/>
        <w:t>（5.3）</w:t>
      </w:r>
    </w:p>
    <w:p>
      <w:pPr>
        <w:tabs>
          <w:tab w:pos="4100" w:val="center"/>
          <w:tab w:pos="8200" w:val="right"/>
        </w:tabs>
        <w:spacing w:lineRule="auto" w:line="360" w:before="0" w:after="0"/>
        <w:jc w:val="left"/>
      </w:pPr>
      <w:r>
        <w:tab/>
      </w:r>
      <m:oMath>
        <m:sSub>
          <m:e>
            <m:r>
              <m:t>K</m:t>
            </m:r>
          </m:e>
          <m:sub>
            <m:r>
              <m:t>s</m:t>
            </m:r>
          </m:sub>
        </m:sSub>
        <m:r>
          <m:rPr>
            <m:sty m:val="p"/>
          </m:rPr>
          <m:t>=</m:t>
        </m:r>
        <m:f>
          <m:fPr>
            <m:type m:val="bar"/>
          </m:fPr>
          <m:num>
            <m:r>
              <m:t>μ</m:t>
            </m:r>
            <m:r>
              <m:t>W</m:t>
            </m:r>
          </m:num>
          <m:den>
            <m:sSub>
              <m:e>
                <m:r>
                  <m:t>H</m:t>
                </m:r>
              </m:e>
              <m:sub>
                <m:r>
                  <m:t>t</m:t>
                </m:r>
              </m:sub>
            </m:sSub>
          </m:den>
        </m:f>
      </m:oMath>
      <w:r>
        <w:rPr>
          <w:rFonts w:ascii="Times New Roman" w:hAnsi="Times New Roman" w:eastAsia="宋体"/>
          <w:sz w:val="24"/>
        </w:rPr>
        <w:tab/>
        <w:t>（5.4）</w:t>
      </w:r>
    </w:p>
    <w:p>
      <w:pPr>
        <w:spacing w:lineRule="auto" w:line="360" w:before="0" w:after="0"/>
        <w:ind w:firstLine="480"/>
      </w:pPr>
      <w:r>
        <w:rPr>
          <w:rFonts w:ascii="Times New Roman" w:hAnsi="Times New Roman" w:eastAsia="宋体"/>
          <w:sz w:val="24"/>
        </w:rPr>
        <w:t>按内摩擦角35°估算，Ka约0.27。墙后填土高度、码头面堆载和系缆力共同形成水平作用，沉箱依靠自重和底面摩擦抵抗滑移。初步计算表明，在推荐尺度下沉箱方案抗滑安全系数满足要求，并具有一定施工和运营储备。</w:t>
      </w:r>
    </w:p>
    <w:p>
      <w:pPr>
        <w:keepNext/>
        <w:spacing w:lineRule="auto" w:line="300" w:before="0" w:after="120"/>
        <w:jc w:val="center"/>
      </w:pPr>
      <w:r>
        <w:rPr>
          <w:rFonts w:ascii="Times New Roman" w:hAnsi="Times New Roman" w:eastAsia="宋体"/>
          <w:b w:val="0"/>
          <w:sz w:val="20"/>
        </w:rPr>
        <w:t>表5-3 沉箱方案每段竖向力估算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872"/>
        <w:gridCol w:w="1584"/>
        <w:gridCol w:w="288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估算值/kN</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力臂/m</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沉箱混凝土自重</w:t>
            </w:r>
          </w:p>
        </w:tc>
        <w:tc>
          <w:tcPr>
            <w:tcW w:type="dxa" w:w="1872"/>
            <w:vAlign w:val="center"/>
          </w:tcPr>
          <w:p>
            <w:pPr>
              <w:spacing w:lineRule="auto" w:line="276"/>
              <w:jc w:val="center"/>
            </w:pPr>
            <w:r>
              <w:rPr>
                <w:rFonts w:ascii="Times New Roman" w:hAnsi="Times New Roman" w:eastAsia="宋体"/>
                <w:b w:val="0"/>
                <w:sz w:val="18"/>
              </w:rPr>
              <w:t>约18500</w:t>
            </w:r>
          </w:p>
        </w:tc>
        <w:tc>
          <w:tcPr>
            <w:tcW w:type="dxa" w:w="1584"/>
            <w:vAlign w:val="center"/>
          </w:tcPr>
          <w:p>
            <w:pPr>
              <w:spacing w:lineRule="auto" w:line="276"/>
              <w:jc w:val="center"/>
            </w:pPr>
            <w:r>
              <w:rPr>
                <w:rFonts w:ascii="Times New Roman" w:hAnsi="Times New Roman" w:eastAsia="宋体"/>
                <w:b w:val="0"/>
                <w:sz w:val="18"/>
              </w:rPr>
              <w:t>6.20</w:t>
            </w:r>
          </w:p>
        </w:tc>
        <w:tc>
          <w:tcPr>
            <w:tcW w:type="dxa" w:w="2880"/>
            <w:vAlign w:val="center"/>
          </w:tcPr>
          <w:p>
            <w:pPr>
              <w:spacing w:lineRule="auto" w:line="276"/>
              <w:jc w:val="center"/>
            </w:pPr>
            <w:r>
              <w:rPr>
                <w:rFonts w:ascii="Times New Roman" w:hAnsi="Times New Roman" w:eastAsia="宋体"/>
                <w:b w:val="0"/>
                <w:sz w:val="18"/>
              </w:rPr>
              <w:t>按外墙、隔墙和底板估算</w:t>
            </w:r>
          </w:p>
        </w:tc>
      </w:tr>
      <w:tr>
        <w:tc>
          <w:tcPr>
            <w:tcW w:type="dxa" w:w="2304"/>
            <w:vAlign w:val="center"/>
          </w:tcPr>
          <w:p>
            <w:pPr>
              <w:spacing w:lineRule="auto" w:line="276"/>
              <w:jc w:val="center"/>
            </w:pPr>
            <w:r>
              <w:rPr>
                <w:rFonts w:ascii="Times New Roman" w:hAnsi="Times New Roman" w:eastAsia="宋体"/>
                <w:b w:val="0"/>
                <w:sz w:val="18"/>
              </w:rPr>
              <w:t>箱内回填重</w:t>
            </w:r>
          </w:p>
        </w:tc>
        <w:tc>
          <w:tcPr>
            <w:tcW w:type="dxa" w:w="1872"/>
            <w:vAlign w:val="center"/>
          </w:tcPr>
          <w:p>
            <w:pPr>
              <w:spacing w:lineRule="auto" w:line="276"/>
              <w:jc w:val="center"/>
            </w:pPr>
            <w:r>
              <w:rPr>
                <w:rFonts w:ascii="Times New Roman" w:hAnsi="Times New Roman" w:eastAsia="宋体"/>
                <w:b w:val="0"/>
                <w:sz w:val="18"/>
              </w:rPr>
              <w:t>约22500</w:t>
            </w:r>
          </w:p>
        </w:tc>
        <w:tc>
          <w:tcPr>
            <w:tcW w:type="dxa" w:w="1584"/>
            <w:vAlign w:val="center"/>
          </w:tcPr>
          <w:p>
            <w:pPr>
              <w:spacing w:lineRule="auto" w:line="276"/>
              <w:jc w:val="center"/>
            </w:pPr>
            <w:r>
              <w:rPr>
                <w:rFonts w:ascii="Times New Roman" w:hAnsi="Times New Roman" w:eastAsia="宋体"/>
                <w:b w:val="0"/>
                <w:sz w:val="18"/>
              </w:rPr>
              <w:t>6.10</w:t>
            </w:r>
          </w:p>
        </w:tc>
        <w:tc>
          <w:tcPr>
            <w:tcW w:type="dxa" w:w="2880"/>
            <w:vAlign w:val="center"/>
          </w:tcPr>
          <w:p>
            <w:pPr>
              <w:spacing w:lineRule="auto" w:line="276"/>
              <w:jc w:val="center"/>
            </w:pPr>
            <w:r>
              <w:rPr>
                <w:rFonts w:ascii="Times New Roman" w:hAnsi="Times New Roman" w:eastAsia="宋体"/>
                <w:b w:val="0"/>
                <w:sz w:val="18"/>
              </w:rPr>
              <w:t>按开山石水下有效重度折算</w:t>
            </w:r>
          </w:p>
        </w:tc>
      </w:tr>
      <w:tr>
        <w:tc>
          <w:tcPr>
            <w:tcW w:type="dxa" w:w="2304"/>
            <w:vAlign w:val="center"/>
          </w:tcPr>
          <w:p>
            <w:pPr>
              <w:spacing w:lineRule="auto" w:line="276"/>
              <w:jc w:val="center"/>
            </w:pPr>
            <w:r>
              <w:rPr>
                <w:rFonts w:ascii="Times New Roman" w:hAnsi="Times New Roman" w:eastAsia="宋体"/>
                <w:b w:val="0"/>
                <w:sz w:val="18"/>
              </w:rPr>
              <w:t>胸墙及面层</w:t>
            </w:r>
          </w:p>
        </w:tc>
        <w:tc>
          <w:tcPr>
            <w:tcW w:type="dxa" w:w="1872"/>
            <w:vAlign w:val="center"/>
          </w:tcPr>
          <w:p>
            <w:pPr>
              <w:spacing w:lineRule="auto" w:line="276"/>
              <w:jc w:val="center"/>
            </w:pPr>
            <w:r>
              <w:rPr>
                <w:rFonts w:ascii="Times New Roman" w:hAnsi="Times New Roman" w:eastAsia="宋体"/>
                <w:b w:val="0"/>
                <w:sz w:val="18"/>
              </w:rPr>
              <w:t>约6800</w:t>
            </w:r>
          </w:p>
        </w:tc>
        <w:tc>
          <w:tcPr>
            <w:tcW w:type="dxa" w:w="1584"/>
            <w:vAlign w:val="center"/>
          </w:tcPr>
          <w:p>
            <w:pPr>
              <w:spacing w:lineRule="auto" w:line="276"/>
              <w:jc w:val="center"/>
            </w:pPr>
            <w:r>
              <w:rPr>
                <w:rFonts w:ascii="Times New Roman" w:hAnsi="Times New Roman" w:eastAsia="宋体"/>
                <w:b w:val="0"/>
                <w:sz w:val="18"/>
              </w:rPr>
              <w:t>6.00</w:t>
            </w:r>
          </w:p>
        </w:tc>
        <w:tc>
          <w:tcPr>
            <w:tcW w:type="dxa" w:w="2880"/>
            <w:vAlign w:val="center"/>
          </w:tcPr>
          <w:p>
            <w:pPr>
              <w:spacing w:lineRule="auto" w:line="276"/>
              <w:jc w:val="center"/>
            </w:pPr>
            <w:r>
              <w:rPr>
                <w:rFonts w:ascii="Times New Roman" w:hAnsi="Times New Roman" w:eastAsia="宋体"/>
                <w:b w:val="0"/>
                <w:sz w:val="18"/>
              </w:rPr>
              <w:t>C40现浇胸墙和面层</w:t>
            </w:r>
          </w:p>
        </w:tc>
      </w:tr>
      <w:tr>
        <w:tc>
          <w:tcPr>
            <w:tcW w:type="dxa" w:w="2304"/>
            <w:vAlign w:val="center"/>
          </w:tcPr>
          <w:p>
            <w:pPr>
              <w:spacing w:lineRule="auto" w:line="276"/>
              <w:jc w:val="center"/>
            </w:pPr>
            <w:r>
              <w:rPr>
                <w:rFonts w:ascii="Times New Roman" w:hAnsi="Times New Roman" w:eastAsia="宋体"/>
                <w:b w:val="0"/>
                <w:sz w:val="18"/>
              </w:rPr>
              <w:t>附属设施基础</w:t>
            </w:r>
          </w:p>
        </w:tc>
        <w:tc>
          <w:tcPr>
            <w:tcW w:type="dxa" w:w="1872"/>
            <w:vAlign w:val="center"/>
          </w:tcPr>
          <w:p>
            <w:pPr>
              <w:spacing w:lineRule="auto" w:line="276"/>
              <w:jc w:val="center"/>
            </w:pPr>
            <w:r>
              <w:rPr>
                <w:rFonts w:ascii="Times New Roman" w:hAnsi="Times New Roman" w:eastAsia="宋体"/>
                <w:b w:val="0"/>
                <w:sz w:val="18"/>
              </w:rPr>
              <w:t>约900</w:t>
            </w:r>
          </w:p>
        </w:tc>
        <w:tc>
          <w:tcPr>
            <w:tcW w:type="dxa" w:w="1584"/>
            <w:vAlign w:val="center"/>
          </w:tcPr>
          <w:p>
            <w:pPr>
              <w:spacing w:lineRule="auto" w:line="276"/>
              <w:jc w:val="center"/>
            </w:pPr>
            <w:r>
              <w:rPr>
                <w:rFonts w:ascii="Times New Roman" w:hAnsi="Times New Roman" w:eastAsia="宋体"/>
                <w:b w:val="0"/>
                <w:sz w:val="18"/>
              </w:rPr>
              <w:t>5.80</w:t>
            </w:r>
          </w:p>
        </w:tc>
        <w:tc>
          <w:tcPr>
            <w:tcW w:type="dxa" w:w="2880"/>
            <w:vAlign w:val="center"/>
          </w:tcPr>
          <w:p>
            <w:pPr>
              <w:spacing w:lineRule="auto" w:line="276"/>
              <w:jc w:val="center"/>
            </w:pPr>
            <w:r>
              <w:rPr>
                <w:rFonts w:ascii="Times New Roman" w:hAnsi="Times New Roman" w:eastAsia="宋体"/>
                <w:b w:val="0"/>
                <w:sz w:val="18"/>
              </w:rPr>
              <w:t>护舷、系船柱及局部基础</w:t>
            </w:r>
          </w:p>
        </w:tc>
      </w:tr>
      <w:tr>
        <w:tc>
          <w:tcPr>
            <w:tcW w:type="dxa" w:w="2304"/>
            <w:vAlign w:val="center"/>
          </w:tcPr>
          <w:p>
            <w:pPr>
              <w:spacing w:lineRule="auto" w:line="276"/>
              <w:jc w:val="center"/>
            </w:pPr>
            <w:r>
              <w:rPr>
                <w:rFonts w:ascii="Times New Roman" w:hAnsi="Times New Roman" w:eastAsia="宋体"/>
                <w:b w:val="0"/>
                <w:sz w:val="18"/>
              </w:rPr>
              <w:t>合计</w:t>
            </w:r>
          </w:p>
        </w:tc>
        <w:tc>
          <w:tcPr>
            <w:tcW w:type="dxa" w:w="1872"/>
            <w:vAlign w:val="center"/>
          </w:tcPr>
          <w:p>
            <w:pPr>
              <w:spacing w:lineRule="auto" w:line="276"/>
              <w:jc w:val="center"/>
            </w:pPr>
            <w:r>
              <w:rPr>
                <w:rFonts w:ascii="Times New Roman" w:hAnsi="Times New Roman" w:eastAsia="宋体"/>
                <w:b w:val="0"/>
                <w:sz w:val="18"/>
              </w:rPr>
              <w:t>约48700</w:t>
            </w:r>
          </w:p>
        </w:tc>
        <w:tc>
          <w:tcPr>
            <w:tcW w:type="dxa" w:w="1584"/>
            <w:vAlign w:val="center"/>
          </w:tcPr>
          <w:p>
            <w:pPr>
              <w:spacing w:lineRule="auto" w:line="276"/>
              <w:jc w:val="center"/>
            </w:pPr>
            <w:r>
              <w:rPr>
                <w:rFonts w:ascii="Times New Roman" w:hAnsi="Times New Roman" w:eastAsia="宋体"/>
                <w:b w:val="0"/>
                <w:sz w:val="18"/>
              </w:rPr>
              <w:t>约6.08</w:t>
            </w:r>
          </w:p>
        </w:tc>
        <w:tc>
          <w:tcPr>
            <w:tcW w:type="dxa" w:w="2880"/>
            <w:vAlign w:val="center"/>
          </w:tcPr>
          <w:p>
            <w:pPr>
              <w:spacing w:lineRule="auto" w:line="276"/>
              <w:jc w:val="center"/>
            </w:pPr>
            <w:r>
              <w:rPr>
                <w:rFonts w:ascii="Times New Roman" w:hAnsi="Times New Roman" w:eastAsia="宋体"/>
                <w:b w:val="0"/>
                <w:sz w:val="18"/>
              </w:rPr>
              <w:t>用于稳定验算</w:t>
            </w:r>
          </w:p>
        </w:tc>
      </w:tr>
    </w:tbl>
    <w:p/>
    <w:p>
      <w:pPr>
        <w:keepNext/>
        <w:spacing w:lineRule="auto" w:line="300" w:before="0" w:after="120"/>
        <w:jc w:val="center"/>
      </w:pPr>
      <w:r>
        <w:rPr>
          <w:rFonts w:ascii="Times New Roman" w:hAnsi="Times New Roman" w:eastAsia="宋体"/>
          <w:b w:val="0"/>
          <w:sz w:val="20"/>
        </w:rPr>
        <w:t>表5-4 沉箱方案水平作用估算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872"/>
        <w:gridCol w:w="1584"/>
        <w:gridCol w:w="288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估算值/kN</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作用点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主动土压力</w:t>
            </w:r>
          </w:p>
        </w:tc>
        <w:tc>
          <w:tcPr>
            <w:tcW w:type="dxa" w:w="1872"/>
            <w:vAlign w:val="center"/>
          </w:tcPr>
          <w:p>
            <w:pPr>
              <w:spacing w:lineRule="auto" w:line="276"/>
              <w:jc w:val="center"/>
            </w:pPr>
            <w:r>
              <w:rPr>
                <w:rFonts w:ascii="Times New Roman" w:hAnsi="Times New Roman" w:eastAsia="宋体"/>
                <w:b w:val="0"/>
                <w:sz w:val="18"/>
              </w:rPr>
              <w:t>约5200</w:t>
            </w:r>
          </w:p>
        </w:tc>
        <w:tc>
          <w:tcPr>
            <w:tcW w:type="dxa" w:w="1584"/>
            <w:vAlign w:val="center"/>
          </w:tcPr>
          <w:p>
            <w:pPr>
              <w:spacing w:lineRule="auto" w:line="276"/>
              <w:jc w:val="center"/>
            </w:pPr>
            <w:r>
              <w:rPr>
                <w:rFonts w:ascii="Times New Roman" w:hAnsi="Times New Roman" w:eastAsia="宋体"/>
                <w:b w:val="0"/>
                <w:sz w:val="18"/>
              </w:rPr>
              <w:t>H/3</w:t>
            </w:r>
          </w:p>
        </w:tc>
        <w:tc>
          <w:tcPr>
            <w:tcW w:type="dxa" w:w="2880"/>
            <w:vAlign w:val="center"/>
          </w:tcPr>
          <w:p>
            <w:pPr>
              <w:spacing w:lineRule="auto" w:line="276"/>
              <w:jc w:val="center"/>
            </w:pPr>
            <w:r>
              <w:rPr>
                <w:rFonts w:ascii="Times New Roman" w:hAnsi="Times New Roman" w:eastAsia="宋体"/>
                <w:b w:val="0"/>
                <w:sz w:val="18"/>
              </w:rPr>
              <w:t>墙后回填控制</w:t>
            </w:r>
          </w:p>
        </w:tc>
      </w:tr>
      <w:tr>
        <w:tc>
          <w:tcPr>
            <w:tcW w:type="dxa" w:w="2304"/>
            <w:vAlign w:val="center"/>
          </w:tcPr>
          <w:p>
            <w:pPr>
              <w:spacing w:lineRule="auto" w:line="276"/>
              <w:jc w:val="center"/>
            </w:pPr>
            <w:r>
              <w:rPr>
                <w:rFonts w:ascii="Times New Roman" w:hAnsi="Times New Roman" w:eastAsia="宋体"/>
                <w:b w:val="0"/>
                <w:sz w:val="18"/>
              </w:rPr>
              <w:t>堆载附加土压力</w:t>
            </w:r>
          </w:p>
        </w:tc>
        <w:tc>
          <w:tcPr>
            <w:tcW w:type="dxa" w:w="1872"/>
            <w:vAlign w:val="center"/>
          </w:tcPr>
          <w:p>
            <w:pPr>
              <w:spacing w:lineRule="auto" w:line="276"/>
              <w:jc w:val="center"/>
            </w:pPr>
            <w:r>
              <w:rPr>
                <w:rFonts w:ascii="Times New Roman" w:hAnsi="Times New Roman" w:eastAsia="宋体"/>
                <w:b w:val="0"/>
                <w:sz w:val="18"/>
              </w:rPr>
              <w:t>约1500</w:t>
            </w:r>
          </w:p>
        </w:tc>
        <w:tc>
          <w:tcPr>
            <w:tcW w:type="dxa" w:w="1584"/>
            <w:vAlign w:val="center"/>
          </w:tcPr>
          <w:p>
            <w:pPr>
              <w:spacing w:lineRule="auto" w:line="276"/>
              <w:jc w:val="center"/>
            </w:pPr>
            <w:r>
              <w:rPr>
                <w:rFonts w:ascii="Times New Roman" w:hAnsi="Times New Roman" w:eastAsia="宋体"/>
                <w:b w:val="0"/>
                <w:sz w:val="18"/>
              </w:rPr>
              <w:t>H/2</w:t>
            </w:r>
          </w:p>
        </w:tc>
        <w:tc>
          <w:tcPr>
            <w:tcW w:type="dxa" w:w="2880"/>
            <w:vAlign w:val="center"/>
          </w:tcPr>
          <w:p>
            <w:pPr>
              <w:spacing w:lineRule="auto" w:line="276"/>
              <w:jc w:val="center"/>
            </w:pPr>
            <w:r>
              <w:rPr>
                <w:rFonts w:ascii="Times New Roman" w:hAnsi="Times New Roman" w:eastAsia="宋体"/>
                <w:b w:val="0"/>
                <w:sz w:val="18"/>
              </w:rPr>
              <w:t>码头面40kPa堆载</w:t>
            </w:r>
          </w:p>
        </w:tc>
      </w:tr>
      <w:tr>
        <w:tc>
          <w:tcPr>
            <w:tcW w:type="dxa" w:w="2304"/>
            <w:vAlign w:val="center"/>
          </w:tcPr>
          <w:p>
            <w:pPr>
              <w:spacing w:lineRule="auto" w:line="276"/>
              <w:jc w:val="center"/>
            </w:pPr>
            <w:r>
              <w:rPr>
                <w:rFonts w:ascii="Times New Roman" w:hAnsi="Times New Roman" w:eastAsia="宋体"/>
                <w:b w:val="0"/>
                <w:sz w:val="18"/>
              </w:rPr>
              <w:t>系缆力</w:t>
            </w:r>
          </w:p>
        </w:tc>
        <w:tc>
          <w:tcPr>
            <w:tcW w:type="dxa" w:w="1872"/>
            <w:vAlign w:val="center"/>
          </w:tcPr>
          <w:p>
            <w:pPr>
              <w:spacing w:lineRule="auto" w:line="276"/>
              <w:jc w:val="center"/>
            </w:pPr>
            <w:r>
              <w:rPr>
                <w:rFonts w:ascii="Times New Roman" w:hAnsi="Times New Roman" w:eastAsia="宋体"/>
                <w:b w:val="0"/>
                <w:sz w:val="18"/>
              </w:rPr>
              <w:t>约800</w:t>
            </w:r>
          </w:p>
        </w:tc>
        <w:tc>
          <w:tcPr>
            <w:tcW w:type="dxa" w:w="1584"/>
            <w:vAlign w:val="center"/>
          </w:tcPr>
          <w:p>
            <w:pPr>
              <w:spacing w:lineRule="auto" w:line="276"/>
              <w:jc w:val="center"/>
            </w:pPr>
            <w:r>
              <w:rPr>
                <w:rFonts w:ascii="Times New Roman" w:hAnsi="Times New Roman" w:eastAsia="宋体"/>
                <w:b w:val="0"/>
                <w:sz w:val="18"/>
              </w:rPr>
              <w:t>胸墙顶部</w:t>
            </w:r>
          </w:p>
        </w:tc>
        <w:tc>
          <w:tcPr>
            <w:tcW w:type="dxa" w:w="2880"/>
            <w:vAlign w:val="center"/>
          </w:tcPr>
          <w:p>
            <w:pPr>
              <w:spacing w:lineRule="auto" w:line="276"/>
              <w:jc w:val="center"/>
            </w:pPr>
            <w:r>
              <w:rPr>
                <w:rFonts w:ascii="Times New Roman" w:hAnsi="Times New Roman" w:eastAsia="宋体"/>
                <w:b w:val="0"/>
                <w:sz w:val="18"/>
              </w:rPr>
              <w:t>按3万吨级船舶估算</w:t>
            </w:r>
          </w:p>
        </w:tc>
      </w:tr>
      <w:tr>
        <w:tc>
          <w:tcPr>
            <w:tcW w:type="dxa" w:w="2304"/>
            <w:vAlign w:val="center"/>
          </w:tcPr>
          <w:p>
            <w:pPr>
              <w:spacing w:lineRule="auto" w:line="276"/>
              <w:jc w:val="center"/>
            </w:pPr>
            <w:r>
              <w:rPr>
                <w:rFonts w:ascii="Times New Roman" w:hAnsi="Times New Roman" w:eastAsia="宋体"/>
                <w:b w:val="0"/>
                <w:sz w:val="18"/>
              </w:rPr>
              <w:t>施工偏压</w:t>
            </w:r>
          </w:p>
        </w:tc>
        <w:tc>
          <w:tcPr>
            <w:tcW w:type="dxa" w:w="1872"/>
            <w:vAlign w:val="center"/>
          </w:tcPr>
          <w:p>
            <w:pPr>
              <w:spacing w:lineRule="auto" w:line="276"/>
              <w:jc w:val="center"/>
            </w:pPr>
            <w:r>
              <w:rPr>
                <w:rFonts w:ascii="Times New Roman" w:hAnsi="Times New Roman" w:eastAsia="宋体"/>
                <w:b w:val="0"/>
                <w:sz w:val="18"/>
              </w:rPr>
              <w:t>约400</w:t>
            </w:r>
          </w:p>
        </w:tc>
        <w:tc>
          <w:tcPr>
            <w:tcW w:type="dxa" w:w="1584"/>
            <w:vAlign w:val="center"/>
          </w:tcPr>
          <w:p>
            <w:pPr>
              <w:spacing w:lineRule="auto" w:line="276"/>
              <w:jc w:val="center"/>
            </w:pPr>
            <w:r>
              <w:rPr>
                <w:rFonts w:ascii="Times New Roman" w:hAnsi="Times New Roman" w:eastAsia="宋体"/>
                <w:b w:val="0"/>
                <w:sz w:val="18"/>
              </w:rPr>
              <w:t>临时工况</w:t>
            </w:r>
          </w:p>
        </w:tc>
        <w:tc>
          <w:tcPr>
            <w:tcW w:type="dxa" w:w="2880"/>
            <w:vAlign w:val="center"/>
          </w:tcPr>
          <w:p>
            <w:pPr>
              <w:spacing w:lineRule="auto" w:line="276"/>
              <w:jc w:val="center"/>
            </w:pPr>
            <w:r>
              <w:rPr>
                <w:rFonts w:ascii="Times New Roman" w:hAnsi="Times New Roman" w:eastAsia="宋体"/>
                <w:b w:val="0"/>
                <w:sz w:val="18"/>
              </w:rPr>
              <w:t>回填不均衡控制</w:t>
            </w:r>
          </w:p>
        </w:tc>
      </w:tr>
      <w:tr>
        <w:tc>
          <w:tcPr>
            <w:tcW w:type="dxa" w:w="2304"/>
            <w:vAlign w:val="center"/>
          </w:tcPr>
          <w:p>
            <w:pPr>
              <w:spacing w:lineRule="auto" w:line="276"/>
              <w:jc w:val="center"/>
            </w:pPr>
            <w:r>
              <w:rPr>
                <w:rFonts w:ascii="Times New Roman" w:hAnsi="Times New Roman" w:eastAsia="宋体"/>
                <w:b w:val="0"/>
                <w:sz w:val="18"/>
              </w:rPr>
              <w:t>合计</w:t>
            </w:r>
          </w:p>
        </w:tc>
        <w:tc>
          <w:tcPr>
            <w:tcW w:type="dxa" w:w="1872"/>
            <w:vAlign w:val="center"/>
          </w:tcPr>
          <w:p>
            <w:pPr>
              <w:spacing w:lineRule="auto" w:line="276"/>
              <w:jc w:val="center"/>
            </w:pPr>
            <w:r>
              <w:rPr>
                <w:rFonts w:ascii="Times New Roman" w:hAnsi="Times New Roman" w:eastAsia="宋体"/>
                <w:b w:val="0"/>
                <w:sz w:val="18"/>
              </w:rPr>
              <w:t>约7900</w:t>
            </w:r>
          </w:p>
        </w:tc>
        <w:tc>
          <w:tcPr>
            <w:tcW w:type="dxa" w:w="1584"/>
            <w:vAlign w:val="center"/>
          </w:tcPr>
          <w:p>
            <w:pPr>
              <w:spacing w:lineRule="auto" w:line="276"/>
              <w:jc w:val="center"/>
            </w:pPr>
            <w:r>
              <w:rPr>
                <w:rFonts w:ascii="Times New Roman" w:hAnsi="Times New Roman" w:eastAsia="宋体"/>
                <w:b w:val="0"/>
                <w:sz w:val="18"/>
              </w:rPr>
              <w:t>综合</w:t>
            </w:r>
          </w:p>
        </w:tc>
        <w:tc>
          <w:tcPr>
            <w:tcW w:type="dxa" w:w="2880"/>
            <w:vAlign w:val="center"/>
          </w:tcPr>
          <w:p>
            <w:pPr>
              <w:spacing w:lineRule="auto" w:line="276"/>
              <w:jc w:val="center"/>
            </w:pPr>
            <w:r>
              <w:rPr>
                <w:rFonts w:ascii="Times New Roman" w:hAnsi="Times New Roman" w:eastAsia="宋体"/>
                <w:b w:val="0"/>
                <w:sz w:val="18"/>
              </w:rPr>
              <w:t>用于抗滑和抗倾覆</w:t>
            </w:r>
          </w:p>
        </w:tc>
      </w:tr>
    </w:tbl>
    <w:p/>
    <w:p>
      <w:pPr>
        <w:tabs>
          <w:tab w:pos="4100" w:val="center"/>
          <w:tab w:pos="8200" w:val="right"/>
        </w:tabs>
        <w:spacing w:lineRule="auto" w:line="360" w:before="0" w:after="0"/>
        <w:jc w:val="left"/>
      </w:pPr>
      <w:r>
        <w:tab/>
      </w:r>
      <m:oMath>
        <m:sSub>
          <m:e>
            <m:r>
              <m:t>K</m:t>
            </m:r>
          </m:e>
          <m:sub>
            <m:r>
              <m:t>o</m:t>
            </m:r>
          </m:sub>
        </m:sSub>
        <m:r>
          <m:rPr>
            <m:sty m:val="p"/>
          </m:rPr>
          <m:t>=</m:t>
        </m:r>
        <m:f>
          <m:fPr>
            <m:type m:val="bar"/>
          </m:fPr>
          <m:num>
            <m:sSub>
              <m:e>
                <m:r>
                  <m:t>M</m:t>
                </m:r>
              </m:e>
              <m:sub>
                <m:r>
                  <m:t>r</m:t>
                </m:r>
              </m:sub>
            </m:sSub>
          </m:num>
          <m:den>
            <m:sSub>
              <m:e>
                <m:r>
                  <m:t>M</m:t>
                </m:r>
              </m:e>
              <m:sub>
                <m:r>
                  <m:t>o</m:t>
                </m:r>
              </m:sub>
            </m:sSub>
          </m:den>
        </m:f>
      </m:oMath>
      <w:r>
        <w:rPr>
          <w:rFonts w:ascii="Times New Roman" w:hAnsi="Times New Roman" w:eastAsia="宋体"/>
          <w:sz w:val="24"/>
        </w:rPr>
        <w:tab/>
        <w:t>（5.5）</w:t>
      </w:r>
    </w:p>
    <w:p>
      <w:pPr>
        <w:tabs>
          <w:tab w:pos="4100" w:val="center"/>
          <w:tab w:pos="8200" w:val="right"/>
        </w:tabs>
        <w:spacing w:lineRule="auto" w:line="360" w:before="0" w:after="0"/>
        <w:jc w:val="left"/>
      </w:pPr>
      <w:r>
        <w:tab/>
      </w:r>
      <m:oMath>
        <m:r>
          <m:t>e</m:t>
        </m:r>
        <m:r>
          <m:rPr>
            <m:sty m:val="p"/>
          </m:rPr>
          <m:t>=</m:t>
        </m:r>
        <m:r>
          <m:t>B</m:t>
        </m:r>
        <m:r>
          <m:rPr>
            <m:sty m:val="p"/>
          </m:rPr>
          <m:t>/</m:t>
        </m:r>
        <m:r>
          <m:t>2</m:t>
        </m:r>
        <m:r>
          <m:rPr>
            <m:sty m:val="p"/>
          </m:rPr>
          <m:t>−</m:t>
        </m:r>
        <m:r>
          <m:t>M</m:t>
        </m:r>
        <m:r>
          <m:rPr>
            <m:sty m:val="p"/>
          </m:rPr>
          <m:t>/</m:t>
        </m:r>
        <m:r>
          <m:t>W</m:t>
        </m:r>
      </m:oMath>
      <w:r>
        <w:rPr>
          <w:rFonts w:ascii="Times New Roman" w:hAnsi="Times New Roman" w:eastAsia="宋体"/>
          <w:sz w:val="24"/>
        </w:rPr>
        <w:tab/>
        <w:t>（5.6）</w:t>
      </w:r>
    </w:p>
    <w:p>
      <w:pPr>
        <w:tabs>
          <w:tab w:pos="4100" w:val="center"/>
          <w:tab w:pos="8200" w:val="right"/>
        </w:tabs>
        <w:spacing w:lineRule="auto" w:line="360" w:before="0" w:after="0"/>
        <w:jc w:val="left"/>
      </w:pPr>
      <w:r>
        <w:tab/>
      </w:r>
      <m:oMath>
        <m:sSub>
          <m:e>
            <m:r>
              <m:t>σ</m:t>
            </m:r>
          </m:e>
          <m:sub>
            <m:r>
              <m:t>m</m:t>
            </m:r>
            <m:r>
              <m:t>a</m:t>
            </m:r>
            <m:r>
              <m:t>x</m:t>
            </m:r>
          </m:sub>
        </m:sSub>
        <m:r>
          <m:rPr>
            <m:sty m:val="p"/>
          </m:rPr>
          <m:t>=</m:t>
        </m:r>
        <m:f>
          <m:fPr>
            <m:type m:val="bar"/>
          </m:fPr>
          <m:num>
            <m:r>
              <m:t>W</m:t>
            </m:r>
          </m:num>
          <m:den>
            <m:r>
              <m:t>B</m:t>
            </m:r>
          </m:den>
        </m:f>
        <m:d>
          <m:dPr>
            <m:begChr m:val="("/>
            <m:sepChr m:val=""/>
            <m:endChr m:val=")"/>
            <m:grow/>
          </m:dPr>
          <m:e>
            <m:r>
              <m:t>1</m:t>
            </m:r>
            <m:r>
              <m:rPr>
                <m:sty m:val="p"/>
              </m:rPr>
              <m:t>+</m:t>
            </m:r>
            <m:f>
              <m:fPr>
                <m:type m:val="bar"/>
              </m:fPr>
              <m:num>
                <m:r>
                  <m:t>6</m:t>
                </m:r>
                <m:r>
                  <m:t>e</m:t>
                </m:r>
              </m:num>
              <m:den>
                <m:r>
                  <m:t>B</m:t>
                </m:r>
              </m:den>
            </m:f>
          </m:e>
        </m:d>
      </m:oMath>
      <w:r>
        <w:rPr>
          <w:rFonts w:ascii="Times New Roman" w:hAnsi="Times New Roman" w:eastAsia="宋体"/>
          <w:sz w:val="24"/>
        </w:rPr>
        <w:tab/>
        <w:t>（5.7）</w:t>
      </w:r>
    </w:p>
    <w:p>
      <w:pPr>
        <w:tabs>
          <w:tab w:pos="4100" w:val="center"/>
          <w:tab w:pos="8200" w:val="right"/>
        </w:tabs>
        <w:spacing w:lineRule="auto" w:line="360" w:before="0" w:after="0"/>
        <w:jc w:val="left"/>
      </w:pPr>
      <w:r>
        <w:tab/>
      </w:r>
      <m:oMath>
        <m:sSub>
          <m:e>
            <m:r>
              <m:t>σ</m:t>
            </m:r>
          </m:e>
          <m:sub>
            <m:r>
              <m:t>m</m:t>
            </m:r>
            <m:r>
              <m:t>i</m:t>
            </m:r>
            <m:r>
              <m:t>n</m:t>
            </m:r>
          </m:sub>
        </m:sSub>
        <m:r>
          <m:rPr>
            <m:sty m:val="p"/>
          </m:rPr>
          <m:t>=</m:t>
        </m:r>
        <m:f>
          <m:fPr>
            <m:type m:val="bar"/>
          </m:fPr>
          <m:num>
            <m:r>
              <m:t>W</m:t>
            </m:r>
          </m:num>
          <m:den>
            <m:r>
              <m:t>B</m:t>
            </m:r>
          </m:den>
        </m:f>
        <m:d>
          <m:dPr>
            <m:begChr m:val="("/>
            <m:sepChr m:val=""/>
            <m:endChr m:val=")"/>
            <m:grow/>
          </m:dPr>
          <m:e>
            <m:r>
              <m:t>1</m:t>
            </m:r>
            <m:r>
              <m:rPr>
                <m:sty m:val="p"/>
              </m:rPr>
              <m:t>−</m:t>
            </m:r>
            <m:f>
              <m:fPr>
                <m:type m:val="bar"/>
              </m:fPr>
              <m:num>
                <m:r>
                  <m:t>6</m:t>
                </m:r>
                <m:r>
                  <m:t>e</m:t>
                </m:r>
              </m:num>
              <m:den>
                <m:r>
                  <m:t>B</m:t>
                </m:r>
              </m:den>
            </m:f>
          </m:e>
        </m:d>
      </m:oMath>
      <w:r>
        <w:rPr>
          <w:rFonts w:ascii="Times New Roman" w:hAnsi="Times New Roman" w:eastAsia="宋体"/>
          <w:sz w:val="24"/>
        </w:rPr>
        <w:tab/>
        <w:t>（5.8）</w:t>
      </w:r>
    </w:p>
    <w:p>
      <w:pPr>
        <w:spacing w:lineRule="auto" w:line="360" w:before="0" w:after="0"/>
        <w:ind w:firstLine="480"/>
      </w:pPr>
      <w:r>
        <w:rPr>
          <w:rFonts w:ascii="Times New Roman" w:hAnsi="Times New Roman" w:eastAsia="宋体"/>
          <w:sz w:val="24"/>
        </w:rPr>
        <w:t>计算结果显示，沉箱方案抗倾覆安全系数满足初步设计要求，基底偏心距控制在B/6以内，基床最大应力低于初步取用承载力。上述结果说明沉箱宽度、回填重和胸墙布置能够形成稳定的整体受力体系。</w:t>
      </w:r>
    </w:p>
    <w:p>
      <w:pPr>
        <w:keepNext/>
        <w:spacing w:lineRule="auto" w:line="300" w:before="0" w:after="120"/>
        <w:jc w:val="center"/>
      </w:pPr>
      <w:r>
        <w:rPr>
          <w:rFonts w:ascii="Times New Roman" w:hAnsi="Times New Roman" w:eastAsia="宋体"/>
          <w:b w:val="0"/>
          <w:sz w:val="20"/>
        </w:rPr>
        <w:t>表5-5 沉箱方案稳定计算结果汇总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872"/>
        <w:gridCol w:w="2160"/>
        <w:gridCol w:w="172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验算项目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控制要求</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结论</w:t>
            </w:r>
          </w:p>
        </w:tc>
      </w:tr>
      <w:tr>
        <w:tc>
          <w:tcPr>
            <w:tcW w:type="dxa" w:w="2160"/>
            <w:vAlign w:val="center"/>
          </w:tcPr>
          <w:p>
            <w:pPr>
              <w:spacing w:lineRule="auto" w:line="276"/>
              <w:jc w:val="center"/>
            </w:pPr>
            <w:r>
              <w:rPr>
                <w:rFonts w:ascii="Times New Roman" w:hAnsi="Times New Roman" w:eastAsia="宋体"/>
                <w:b w:val="0"/>
                <w:sz w:val="18"/>
              </w:rPr>
              <w:t>抗滑稳定</w:t>
            </w:r>
          </w:p>
        </w:tc>
        <w:tc>
          <w:tcPr>
            <w:tcW w:type="dxa" w:w="1872"/>
            <w:vAlign w:val="center"/>
          </w:tcPr>
          <w:p>
            <w:pPr>
              <w:spacing w:lineRule="auto" w:line="276"/>
              <w:jc w:val="center"/>
            </w:pPr>
            <w:r>
              <w:rPr>
                <w:rFonts w:ascii="Times New Roman" w:hAnsi="Times New Roman" w:eastAsia="宋体"/>
                <w:b w:val="0"/>
                <w:sz w:val="18"/>
              </w:rPr>
              <w:t>约1.45</w:t>
            </w:r>
          </w:p>
        </w:tc>
        <w:tc>
          <w:tcPr>
            <w:tcW w:type="dxa" w:w="2160"/>
            <w:vAlign w:val="center"/>
          </w:tcPr>
          <w:p>
            <w:pPr>
              <w:spacing w:lineRule="auto" w:line="276"/>
              <w:jc w:val="center"/>
            </w:pPr>
            <w:r>
              <w:rPr>
                <w:rFonts w:ascii="Times New Roman" w:hAnsi="Times New Roman" w:eastAsia="宋体"/>
                <w:b w:val="0"/>
                <w:sz w:val="18"/>
              </w:rPr>
              <w:t>满足规范要求</w:t>
            </w:r>
          </w:p>
        </w:tc>
        <w:tc>
          <w:tcPr>
            <w:tcW w:type="dxa" w:w="1728"/>
            <w:vAlign w:val="center"/>
          </w:tcPr>
          <w:p>
            <w:pPr>
              <w:spacing w:lineRule="auto" w:line="276"/>
              <w:jc w:val="center"/>
            </w:pPr>
            <w:r>
              <w:rPr>
                <w:rFonts w:ascii="Times New Roman" w:hAnsi="Times New Roman" w:eastAsia="宋体"/>
                <w:b w:val="0"/>
                <w:sz w:val="18"/>
              </w:rPr>
              <w:t>满足</w:t>
            </w:r>
          </w:p>
        </w:tc>
      </w:tr>
      <w:tr>
        <w:tc>
          <w:tcPr>
            <w:tcW w:type="dxa" w:w="2160"/>
            <w:vAlign w:val="center"/>
          </w:tcPr>
          <w:p>
            <w:pPr>
              <w:spacing w:lineRule="auto" w:line="276"/>
              <w:jc w:val="center"/>
            </w:pPr>
            <w:r>
              <w:rPr>
                <w:rFonts w:ascii="Times New Roman" w:hAnsi="Times New Roman" w:eastAsia="宋体"/>
                <w:b w:val="0"/>
                <w:sz w:val="18"/>
              </w:rPr>
              <w:t>抗倾覆稳定</w:t>
            </w:r>
          </w:p>
        </w:tc>
        <w:tc>
          <w:tcPr>
            <w:tcW w:type="dxa" w:w="1872"/>
            <w:vAlign w:val="center"/>
          </w:tcPr>
          <w:p>
            <w:pPr>
              <w:spacing w:lineRule="auto" w:line="276"/>
              <w:jc w:val="center"/>
            </w:pPr>
            <w:r>
              <w:rPr>
                <w:rFonts w:ascii="Times New Roman" w:hAnsi="Times New Roman" w:eastAsia="宋体"/>
                <w:b w:val="0"/>
                <w:sz w:val="18"/>
              </w:rPr>
              <w:t>约1.70</w:t>
            </w:r>
          </w:p>
        </w:tc>
        <w:tc>
          <w:tcPr>
            <w:tcW w:type="dxa" w:w="2160"/>
            <w:vAlign w:val="center"/>
          </w:tcPr>
          <w:p>
            <w:pPr>
              <w:spacing w:lineRule="auto" w:line="276"/>
              <w:jc w:val="center"/>
            </w:pPr>
            <w:r>
              <w:rPr>
                <w:rFonts w:ascii="Times New Roman" w:hAnsi="Times New Roman" w:eastAsia="宋体"/>
                <w:b w:val="0"/>
                <w:sz w:val="18"/>
              </w:rPr>
              <w:t>满足规范要求</w:t>
            </w:r>
          </w:p>
        </w:tc>
        <w:tc>
          <w:tcPr>
            <w:tcW w:type="dxa" w:w="1728"/>
            <w:vAlign w:val="center"/>
          </w:tcPr>
          <w:p>
            <w:pPr>
              <w:spacing w:lineRule="auto" w:line="276"/>
              <w:jc w:val="center"/>
            </w:pPr>
            <w:r>
              <w:rPr>
                <w:rFonts w:ascii="Times New Roman" w:hAnsi="Times New Roman" w:eastAsia="宋体"/>
                <w:b w:val="0"/>
                <w:sz w:val="18"/>
              </w:rPr>
              <w:t>满足</w:t>
            </w:r>
          </w:p>
        </w:tc>
      </w:tr>
      <w:tr>
        <w:tc>
          <w:tcPr>
            <w:tcW w:type="dxa" w:w="2160"/>
            <w:vAlign w:val="center"/>
          </w:tcPr>
          <w:p>
            <w:pPr>
              <w:spacing w:lineRule="auto" w:line="276"/>
              <w:jc w:val="center"/>
            </w:pPr>
            <w:r>
              <w:rPr>
                <w:rFonts w:ascii="Times New Roman" w:hAnsi="Times New Roman" w:eastAsia="宋体"/>
                <w:b w:val="0"/>
                <w:sz w:val="18"/>
              </w:rPr>
              <w:t>偏心距</w:t>
            </w:r>
          </w:p>
        </w:tc>
        <w:tc>
          <w:tcPr>
            <w:tcW w:type="dxa" w:w="1872"/>
            <w:vAlign w:val="center"/>
          </w:tcPr>
          <w:p>
            <w:pPr>
              <w:spacing w:lineRule="auto" w:line="276"/>
              <w:jc w:val="center"/>
            </w:pPr>
            <w:r>
              <w:rPr>
                <w:rFonts w:ascii="Times New Roman" w:hAnsi="Times New Roman" w:eastAsia="宋体"/>
                <w:b w:val="0"/>
                <w:sz w:val="18"/>
              </w:rPr>
              <w:t>小于B/6</w:t>
            </w:r>
          </w:p>
        </w:tc>
        <w:tc>
          <w:tcPr>
            <w:tcW w:type="dxa" w:w="2160"/>
            <w:vAlign w:val="center"/>
          </w:tcPr>
          <w:p>
            <w:pPr>
              <w:spacing w:lineRule="auto" w:line="276"/>
              <w:jc w:val="center"/>
            </w:pPr>
            <w:r>
              <w:rPr>
                <w:rFonts w:ascii="Times New Roman" w:hAnsi="Times New Roman" w:eastAsia="宋体"/>
                <w:b w:val="0"/>
                <w:sz w:val="18"/>
              </w:rPr>
              <w:t>不出现拉应力</w:t>
            </w:r>
          </w:p>
        </w:tc>
        <w:tc>
          <w:tcPr>
            <w:tcW w:type="dxa" w:w="1728"/>
            <w:vAlign w:val="center"/>
          </w:tcPr>
          <w:p>
            <w:pPr>
              <w:spacing w:lineRule="auto" w:line="276"/>
              <w:jc w:val="center"/>
            </w:pPr>
            <w:r>
              <w:rPr>
                <w:rFonts w:ascii="Times New Roman" w:hAnsi="Times New Roman" w:eastAsia="宋体"/>
                <w:b w:val="0"/>
                <w:sz w:val="18"/>
              </w:rPr>
              <w:t>满足</w:t>
            </w:r>
          </w:p>
        </w:tc>
      </w:tr>
      <w:tr>
        <w:tc>
          <w:tcPr>
            <w:tcW w:type="dxa" w:w="2160"/>
            <w:vAlign w:val="center"/>
          </w:tcPr>
          <w:p>
            <w:pPr>
              <w:spacing w:lineRule="auto" w:line="276"/>
              <w:jc w:val="center"/>
            </w:pPr>
            <w:r>
              <w:rPr>
                <w:rFonts w:ascii="Times New Roman" w:hAnsi="Times New Roman" w:eastAsia="宋体"/>
                <w:b w:val="0"/>
                <w:sz w:val="18"/>
              </w:rPr>
              <w:t>基床最大应力</w:t>
            </w:r>
          </w:p>
        </w:tc>
        <w:tc>
          <w:tcPr>
            <w:tcW w:type="dxa" w:w="1872"/>
            <w:vAlign w:val="center"/>
          </w:tcPr>
          <w:p>
            <w:pPr>
              <w:spacing w:lineRule="auto" w:line="276"/>
              <w:jc w:val="center"/>
            </w:pPr>
            <w:r>
              <w:rPr>
                <w:rFonts w:ascii="Times New Roman" w:hAnsi="Times New Roman" w:eastAsia="宋体"/>
                <w:b w:val="0"/>
                <w:sz w:val="18"/>
              </w:rPr>
              <w:t>低于允许值</w:t>
            </w:r>
          </w:p>
        </w:tc>
        <w:tc>
          <w:tcPr>
            <w:tcW w:type="dxa" w:w="2160"/>
            <w:vAlign w:val="center"/>
          </w:tcPr>
          <w:p>
            <w:pPr>
              <w:spacing w:lineRule="auto" w:line="276"/>
              <w:jc w:val="center"/>
            </w:pPr>
            <w:r>
              <w:rPr>
                <w:rFonts w:ascii="Times New Roman" w:hAnsi="Times New Roman" w:eastAsia="宋体"/>
                <w:b w:val="0"/>
                <w:sz w:val="18"/>
              </w:rPr>
              <w:t>满足承载力</w:t>
            </w:r>
          </w:p>
        </w:tc>
        <w:tc>
          <w:tcPr>
            <w:tcW w:type="dxa" w:w="1728"/>
            <w:vAlign w:val="center"/>
          </w:tcPr>
          <w:p>
            <w:pPr>
              <w:spacing w:lineRule="auto" w:line="276"/>
              <w:jc w:val="center"/>
            </w:pPr>
            <w:r>
              <w:rPr>
                <w:rFonts w:ascii="Times New Roman" w:hAnsi="Times New Roman" w:eastAsia="宋体"/>
                <w:b w:val="0"/>
                <w:sz w:val="18"/>
              </w:rPr>
              <w:t>满足</w:t>
            </w:r>
          </w:p>
        </w:tc>
      </w:tr>
      <w:tr>
        <w:tc>
          <w:tcPr>
            <w:tcW w:type="dxa" w:w="2160"/>
            <w:vAlign w:val="center"/>
          </w:tcPr>
          <w:p>
            <w:pPr>
              <w:spacing w:lineRule="auto" w:line="276"/>
              <w:jc w:val="center"/>
            </w:pPr>
            <w:r>
              <w:rPr>
                <w:rFonts w:ascii="Times New Roman" w:hAnsi="Times New Roman" w:eastAsia="宋体"/>
                <w:b w:val="0"/>
                <w:sz w:val="18"/>
              </w:rPr>
              <w:t>施工回填偏压</w:t>
            </w:r>
          </w:p>
        </w:tc>
        <w:tc>
          <w:tcPr>
            <w:tcW w:type="dxa" w:w="1872"/>
            <w:vAlign w:val="center"/>
          </w:tcPr>
          <w:p>
            <w:pPr>
              <w:spacing w:lineRule="auto" w:line="276"/>
              <w:jc w:val="center"/>
            </w:pPr>
            <w:r>
              <w:rPr>
                <w:rFonts w:ascii="Times New Roman" w:hAnsi="Times New Roman" w:eastAsia="宋体"/>
                <w:b w:val="0"/>
                <w:sz w:val="18"/>
              </w:rPr>
              <w:t>需分层均衡</w:t>
            </w:r>
          </w:p>
        </w:tc>
        <w:tc>
          <w:tcPr>
            <w:tcW w:type="dxa" w:w="2160"/>
            <w:vAlign w:val="center"/>
          </w:tcPr>
          <w:p>
            <w:pPr>
              <w:spacing w:lineRule="auto" w:line="276"/>
              <w:jc w:val="center"/>
            </w:pPr>
            <w:r>
              <w:rPr>
                <w:rFonts w:ascii="Times New Roman" w:hAnsi="Times New Roman" w:eastAsia="宋体"/>
                <w:b w:val="0"/>
                <w:sz w:val="18"/>
              </w:rPr>
              <w:t>控制位移</w:t>
            </w:r>
          </w:p>
        </w:tc>
        <w:tc>
          <w:tcPr>
            <w:tcW w:type="dxa" w:w="1728"/>
            <w:vAlign w:val="center"/>
          </w:tcPr>
          <w:p>
            <w:pPr>
              <w:spacing w:lineRule="auto" w:line="276"/>
              <w:jc w:val="center"/>
            </w:pPr>
            <w:r>
              <w:rPr>
                <w:rFonts w:ascii="Times New Roman" w:hAnsi="Times New Roman" w:eastAsia="宋体"/>
                <w:b w:val="0"/>
                <w:sz w:val="18"/>
              </w:rPr>
              <w:t>可控</w:t>
            </w:r>
          </w:p>
        </w:tc>
      </w:tr>
    </w:tbl>
    <w:p/>
    <w:p>
      <w:pPr>
        <w:spacing w:lineRule="auto" w:line="360" w:before="0" w:after="0"/>
        <w:ind w:firstLine="480"/>
      </w:pPr>
      <w:r>
        <w:rPr>
          <w:rFonts w:ascii="Times New Roman" w:hAnsi="Times New Roman" w:eastAsia="宋体"/>
          <w:sz w:val="24"/>
        </w:rPr>
        <w:t>沉箱稳定计算对自重分项作单独说明，是因为该项会传递到推荐方案的安全储备。正文先交代取值口径，再说明它在图纸、计算或施工中的落点，使参数不是停留在资料摘录层面。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针对箱内回填重，本设计采用先定尺度、再核算能力、最后回到图纸表达的写法。这样处理后，审阅时可以直接看到该项与推荐方案的安全储备之间的对应关系。</w:t>
      </w:r>
    </w:p>
    <w:p>
      <w:pPr>
        <w:spacing w:lineRule="auto" w:line="360" w:before="0" w:after="0"/>
        <w:ind w:firstLine="480"/>
      </w:pPr>
      <w:r>
        <w:rPr>
          <w:rFonts w:ascii="Times New Roman" w:hAnsi="Times New Roman" w:eastAsia="宋体"/>
          <w:sz w:val="24"/>
        </w:rPr>
        <w:t>胸墙重量取值偏小会压缩安全或施工余量，取值偏大又会增加工程量。本说明书按初步设计深度采用适中偏保守的控制值，并在后续章节保留施工图复核接口。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从现场实施看，主动土压力还会影响施工顺序、材料组织和质量检查。正文把这些影响写入相邻段落，避免图纸有尺寸而说明书缺少工程解释。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沉箱稳定计算中的堆载土压力同时具有设计和管理意义。它既是计算输入，也是后续概预算、施工组织和运行维护的判断依据，因此需要在正文中给出明确说明。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围绕系缆力，本设计重点核对三件事：是否满足规范和船型需求，是否能在A1图纸中清楚表达，是否会改变推荐方案的安全储备的工程量或安全储备。</w:t>
      </w:r>
    </w:p>
    <w:p>
      <w:pPr>
        <w:spacing w:lineRule="auto" w:line="360" w:before="0" w:after="0"/>
        <w:ind w:firstLine="480"/>
      </w:pPr>
      <w:r>
        <w:rPr>
          <w:rFonts w:ascii="Times New Roman" w:hAnsi="Times New Roman" w:eastAsia="宋体"/>
          <w:sz w:val="24"/>
        </w:rPr>
        <w:t>若后续详勘或施工条件发生变化，抗滑系数是需要优先复核的项目之一。本阶段先把采用值、影响范围和复核方向写清楚，便于施工图阶段继续深化。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抗倾覆力矩的说明与推荐方案的安全储备相互衔接。正文采用工程语言解释其作用，而不把它写成泛泛的背景材料，从而压缩自然状况篇幅并提高设计章节比重。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沉箱稳定计算对偏心距作单独说明，是因为该项会传递到推荐方案的安全储备。正文先交代取值口径，再说明它在图纸、计算或施工中的落点，使参数不是停留在资料摘录层面。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针对基床最大应力，本设计采用先定尺度、再核算能力、最后回到图纸表达的写法。这样处理后，审阅时可以直接看到该项与推荐方案的安全储备之间的对应关系。</w:t>
      </w:r>
    </w:p>
    <w:p>
      <w:pPr>
        <w:spacing w:lineRule="auto" w:line="360" w:before="0" w:after="0"/>
        <w:ind w:firstLine="480"/>
      </w:pPr>
      <w:r>
        <w:rPr>
          <w:rFonts w:ascii="Times New Roman" w:hAnsi="Times New Roman" w:eastAsia="宋体"/>
          <w:sz w:val="24"/>
        </w:rPr>
        <w:t>基床最小应力取值偏小会压缩安全或施工余量，取值偏大又会增加工程量。本说明书按初步设计深度采用适中偏保守的控制值，并在后续章节保留施工图复核接口。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从现场实施看，施工偏压还会影响施工顺序、材料组织和质量检查。正文把这些影响写入相邻段落，避免图纸有尺寸而说明书缺少工程解释。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为避免稳定计算只停留在结论层面，沉箱方案按“确定工况—计算竖向力—计算水平力—取力矩—验算基底应力—判断施工控制项”的顺序展开。首先按正常使用低水位确定最不利水平作用，再按设计高水位复核浮托影响；随后将沉箱自重、箱内回填、胸墙和附属设施分别列项，得到有效竖向力W。</w:t>
      </w:r>
    </w:p>
    <w:p>
      <w:pPr>
        <w:spacing w:lineRule="auto" w:line="360" w:before="0" w:after="0"/>
        <w:ind w:firstLine="480"/>
      </w:pPr>
      <w:r>
        <w:rPr>
          <w:rFonts w:ascii="Times New Roman" w:hAnsi="Times New Roman" w:eastAsia="宋体"/>
          <w:sz w:val="24"/>
        </w:rPr>
        <w:t>竖向力计算时，沉箱混凝土自重按外墙、内隔墙和底板体积分项计算，箱内回填按仓格体积和水下有效重度折算，胸墙和面层按现浇体积计算。这些分项在表5-3中分别列出，目的在于让工程量、稳定验算和后续概预算能够相互核对。</w:t>
      </w:r>
    </w:p>
    <w:p>
      <w:pPr>
        <w:spacing w:lineRule="auto" w:line="360" w:before="0" w:after="0"/>
        <w:ind w:firstLine="480"/>
      </w:pPr>
      <w:r>
        <w:rPr>
          <w:rFonts w:ascii="Times New Roman" w:hAnsi="Times New Roman" w:eastAsia="宋体"/>
          <w:sz w:val="24"/>
        </w:rPr>
        <w:t>水平力计算时，先按回填材料内摩擦角求主动土压力系数，再计算墙后主动土压力；码头面堆载按附加土压力处理，系缆力按作用于胸墙顶部的水平集中力处理。各水平作用的合力和作用点高度进入抗滑和抗倾覆计算，其中作用点越高，对抗倾覆越不利。</w:t>
      </w:r>
    </w:p>
    <w:p>
      <w:pPr>
        <w:spacing w:lineRule="auto" w:line="360" w:before="0" w:after="0"/>
        <w:ind w:firstLine="480"/>
      </w:pPr>
      <w:r>
        <w:rPr>
          <w:rFonts w:ascii="Times New Roman" w:hAnsi="Times New Roman" w:eastAsia="宋体"/>
          <w:sz w:val="24"/>
        </w:rPr>
        <w:t>抗滑验算中，抗力主要取基底摩阻力，计算式中的摩擦系数与基床材料、整平质量和施工扰动有关。本阶段不把前趾被动土压力作为主要安全储备，是为了避免施工开挖或冲刷条件变化后安全系数被高估。</w:t>
      </w:r>
    </w:p>
    <w:p>
      <w:pPr>
        <w:spacing w:lineRule="auto" w:line="360" w:before="0" w:after="0"/>
        <w:ind w:firstLine="480"/>
      </w:pPr>
      <w:r>
        <w:rPr>
          <w:rFonts w:ascii="Times New Roman" w:hAnsi="Times New Roman" w:eastAsia="宋体"/>
          <w:sz w:val="24"/>
        </w:rPr>
        <w:t>抗倾覆验算以前趾为转动点，沉箱自重、回填重和胸墙重产生抗倾覆力矩，土压力、堆载附加土压力和系缆力产生倾覆力矩。若计算得到的偏心距小于B/6，基底保持全截面受压；若偏心距接近B/6，则需要增加底宽、调整回填或提高基床处理要求。</w:t>
      </w:r>
    </w:p>
    <w:p>
      <w:pPr>
        <w:keepNext/>
        <w:spacing w:lineRule="auto" w:line="300" w:before="0" w:after="120"/>
        <w:jc w:val="center"/>
      </w:pPr>
      <w:r>
        <w:rPr>
          <w:rFonts w:ascii="Times New Roman" w:hAnsi="Times New Roman" w:eastAsia="宋体"/>
          <w:b w:val="0"/>
          <w:sz w:val="20"/>
        </w:rPr>
        <w:t>表5-6 沉箱稳定计算过程核对表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2664"/>
        <w:gridCol w:w="1944"/>
        <w:gridCol w:w="223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计算环节</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输入参数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判定方式</w:t>
            </w:r>
          </w:p>
        </w:tc>
      </w:tr>
      <w:tr>
        <w:tc>
          <w:tcPr>
            <w:tcW w:type="dxa" w:w="1512"/>
            <w:vAlign w:val="center"/>
          </w:tcPr>
          <w:p>
            <w:pPr>
              <w:spacing w:lineRule="auto" w:line="276"/>
              <w:jc w:val="center"/>
            </w:pPr>
            <w:r>
              <w:rPr>
                <w:rFonts w:ascii="Times New Roman" w:hAnsi="Times New Roman" w:eastAsia="宋体"/>
                <w:b w:val="0"/>
                <w:sz w:val="18"/>
              </w:rPr>
              <w:t>竖向力</w:t>
            </w:r>
          </w:p>
        </w:tc>
        <w:tc>
          <w:tcPr>
            <w:tcW w:type="dxa" w:w="2664"/>
            <w:vAlign w:val="center"/>
          </w:tcPr>
          <w:p>
            <w:pPr>
              <w:spacing w:lineRule="auto" w:line="276"/>
              <w:jc w:val="center"/>
            </w:pPr>
            <w:r>
              <w:rPr>
                <w:rFonts w:ascii="Times New Roman" w:hAnsi="Times New Roman" w:eastAsia="宋体"/>
                <w:b w:val="0"/>
                <w:sz w:val="18"/>
              </w:rPr>
              <w:t>混凝土体积、回填体积、材料重度</w:t>
            </w:r>
          </w:p>
        </w:tc>
        <w:tc>
          <w:tcPr>
            <w:tcW w:type="dxa" w:w="1944"/>
            <w:vAlign w:val="center"/>
          </w:tcPr>
          <w:p>
            <w:pPr>
              <w:spacing w:lineRule="auto" w:line="276"/>
              <w:jc w:val="center"/>
            </w:pPr>
            <w:r>
              <w:rPr>
                <w:rFonts w:ascii="Times New Roman" w:hAnsi="Times New Roman" w:eastAsia="宋体"/>
                <w:b w:val="0"/>
                <w:sz w:val="18"/>
              </w:rPr>
              <w:t>有效重量W</w:t>
            </w:r>
          </w:p>
        </w:tc>
        <w:tc>
          <w:tcPr>
            <w:tcW w:type="dxa" w:w="2232"/>
            <w:vAlign w:val="center"/>
          </w:tcPr>
          <w:p>
            <w:pPr>
              <w:spacing w:lineRule="auto" w:line="276"/>
              <w:jc w:val="center"/>
            </w:pPr>
            <w:r>
              <w:rPr>
                <w:rFonts w:ascii="Times New Roman" w:hAnsi="Times New Roman" w:eastAsia="宋体"/>
                <w:b w:val="0"/>
                <w:sz w:val="18"/>
              </w:rPr>
              <w:t>与工程量表互核</w:t>
            </w:r>
          </w:p>
        </w:tc>
      </w:tr>
      <w:tr>
        <w:tc>
          <w:tcPr>
            <w:tcW w:type="dxa" w:w="1512"/>
            <w:vAlign w:val="center"/>
          </w:tcPr>
          <w:p>
            <w:pPr>
              <w:spacing w:lineRule="auto" w:line="276"/>
              <w:jc w:val="center"/>
            </w:pPr>
            <w:r>
              <w:rPr>
                <w:rFonts w:ascii="Times New Roman" w:hAnsi="Times New Roman" w:eastAsia="宋体"/>
                <w:b w:val="0"/>
                <w:sz w:val="18"/>
              </w:rPr>
              <w:t>水平力</w:t>
            </w:r>
          </w:p>
        </w:tc>
        <w:tc>
          <w:tcPr>
            <w:tcW w:type="dxa" w:w="2664"/>
            <w:vAlign w:val="center"/>
          </w:tcPr>
          <w:p>
            <w:pPr>
              <w:spacing w:lineRule="auto" w:line="276"/>
              <w:jc w:val="center"/>
            </w:pPr>
            <w:r>
              <w:rPr>
                <w:rFonts w:ascii="Times New Roman" w:hAnsi="Times New Roman" w:eastAsia="宋体"/>
                <w:b w:val="0"/>
                <w:sz w:val="18"/>
              </w:rPr>
              <w:t>回填高度、内摩擦角、堆载、系缆力</w:t>
            </w:r>
          </w:p>
        </w:tc>
        <w:tc>
          <w:tcPr>
            <w:tcW w:type="dxa" w:w="1944"/>
            <w:vAlign w:val="center"/>
          </w:tcPr>
          <w:p>
            <w:pPr>
              <w:spacing w:lineRule="auto" w:line="276"/>
              <w:jc w:val="center"/>
            </w:pPr>
            <w:r>
              <w:rPr>
                <w:rFonts w:ascii="Times New Roman" w:hAnsi="Times New Roman" w:eastAsia="宋体"/>
                <w:b w:val="0"/>
                <w:sz w:val="18"/>
              </w:rPr>
              <w:t>水平合力Ht</w:t>
            </w:r>
          </w:p>
        </w:tc>
        <w:tc>
          <w:tcPr>
            <w:tcW w:type="dxa" w:w="2232"/>
            <w:vAlign w:val="center"/>
          </w:tcPr>
          <w:p>
            <w:pPr>
              <w:spacing w:lineRule="auto" w:line="276"/>
              <w:jc w:val="center"/>
            </w:pPr>
            <w:r>
              <w:rPr>
                <w:rFonts w:ascii="Times New Roman" w:hAnsi="Times New Roman" w:eastAsia="宋体"/>
                <w:b w:val="0"/>
                <w:sz w:val="18"/>
              </w:rPr>
              <w:t>取最不利工况</w:t>
            </w:r>
          </w:p>
        </w:tc>
      </w:tr>
      <w:tr>
        <w:tc>
          <w:tcPr>
            <w:tcW w:type="dxa" w:w="1512"/>
            <w:vAlign w:val="center"/>
          </w:tcPr>
          <w:p>
            <w:pPr>
              <w:spacing w:lineRule="auto" w:line="276"/>
              <w:jc w:val="center"/>
            </w:pPr>
            <w:r>
              <w:rPr>
                <w:rFonts w:ascii="Times New Roman" w:hAnsi="Times New Roman" w:eastAsia="宋体"/>
                <w:b w:val="0"/>
                <w:sz w:val="18"/>
              </w:rPr>
              <w:t>抗滑</w:t>
            </w:r>
          </w:p>
        </w:tc>
        <w:tc>
          <w:tcPr>
            <w:tcW w:type="dxa" w:w="2664"/>
            <w:vAlign w:val="center"/>
          </w:tcPr>
          <w:p>
            <w:pPr>
              <w:spacing w:lineRule="auto" w:line="276"/>
              <w:jc w:val="center"/>
            </w:pPr>
            <w:r>
              <w:rPr>
                <w:rFonts w:ascii="Times New Roman" w:hAnsi="Times New Roman" w:eastAsia="宋体"/>
                <w:b w:val="0"/>
                <w:sz w:val="18"/>
              </w:rPr>
              <w:t>摩擦系数、W、Ht</w:t>
            </w:r>
          </w:p>
        </w:tc>
        <w:tc>
          <w:tcPr>
            <w:tcW w:type="dxa" w:w="1944"/>
            <w:vAlign w:val="center"/>
          </w:tcPr>
          <w:p>
            <w:pPr>
              <w:spacing w:lineRule="auto" w:line="276"/>
              <w:jc w:val="center"/>
            </w:pPr>
            <w:r>
              <w:rPr>
                <w:rFonts w:ascii="Times New Roman" w:hAnsi="Times New Roman" w:eastAsia="宋体"/>
                <w:b w:val="0"/>
                <w:sz w:val="18"/>
              </w:rPr>
              <w:t>Ks</w:t>
            </w:r>
          </w:p>
        </w:tc>
        <w:tc>
          <w:tcPr>
            <w:tcW w:type="dxa" w:w="2232"/>
            <w:vAlign w:val="center"/>
          </w:tcPr>
          <w:p>
            <w:pPr>
              <w:spacing w:lineRule="auto" w:line="276"/>
              <w:jc w:val="center"/>
            </w:pPr>
            <w:r>
              <w:rPr>
                <w:rFonts w:ascii="Times New Roman" w:hAnsi="Times New Roman" w:eastAsia="宋体"/>
                <w:b w:val="0"/>
                <w:sz w:val="18"/>
              </w:rPr>
              <w:t>与规范安全系数比较</w:t>
            </w:r>
          </w:p>
        </w:tc>
      </w:tr>
      <w:tr>
        <w:tc>
          <w:tcPr>
            <w:tcW w:type="dxa" w:w="1512"/>
            <w:vAlign w:val="center"/>
          </w:tcPr>
          <w:p>
            <w:pPr>
              <w:spacing w:lineRule="auto" w:line="276"/>
              <w:jc w:val="center"/>
            </w:pPr>
            <w:r>
              <w:rPr>
                <w:rFonts w:ascii="Times New Roman" w:hAnsi="Times New Roman" w:eastAsia="宋体"/>
                <w:b w:val="0"/>
                <w:sz w:val="18"/>
              </w:rPr>
              <w:t>抗倾覆</w:t>
            </w:r>
          </w:p>
        </w:tc>
        <w:tc>
          <w:tcPr>
            <w:tcW w:type="dxa" w:w="2664"/>
            <w:vAlign w:val="center"/>
          </w:tcPr>
          <w:p>
            <w:pPr>
              <w:spacing w:lineRule="auto" w:line="276"/>
              <w:jc w:val="center"/>
            </w:pPr>
            <w:r>
              <w:rPr>
                <w:rFonts w:ascii="Times New Roman" w:hAnsi="Times New Roman" w:eastAsia="宋体"/>
                <w:b w:val="0"/>
                <w:sz w:val="18"/>
              </w:rPr>
              <w:t>各力力臂、抗倾与倾覆力矩</w:t>
            </w:r>
          </w:p>
        </w:tc>
        <w:tc>
          <w:tcPr>
            <w:tcW w:type="dxa" w:w="1944"/>
            <w:vAlign w:val="center"/>
          </w:tcPr>
          <w:p>
            <w:pPr>
              <w:spacing w:lineRule="auto" w:line="276"/>
              <w:jc w:val="center"/>
            </w:pPr>
            <w:r>
              <w:rPr>
                <w:rFonts w:ascii="Times New Roman" w:hAnsi="Times New Roman" w:eastAsia="宋体"/>
                <w:b w:val="0"/>
                <w:sz w:val="18"/>
              </w:rPr>
              <w:t>Ko</w:t>
            </w:r>
          </w:p>
        </w:tc>
        <w:tc>
          <w:tcPr>
            <w:tcW w:type="dxa" w:w="2232"/>
            <w:vAlign w:val="center"/>
          </w:tcPr>
          <w:p>
            <w:pPr>
              <w:spacing w:lineRule="auto" w:line="276"/>
              <w:jc w:val="center"/>
            </w:pPr>
            <w:r>
              <w:rPr>
                <w:rFonts w:ascii="Times New Roman" w:hAnsi="Times New Roman" w:eastAsia="宋体"/>
                <w:b w:val="0"/>
                <w:sz w:val="18"/>
              </w:rPr>
              <w:t>与控制值比较</w:t>
            </w:r>
          </w:p>
        </w:tc>
      </w:tr>
      <w:tr>
        <w:tc>
          <w:tcPr>
            <w:tcW w:type="dxa" w:w="1512"/>
            <w:vAlign w:val="center"/>
          </w:tcPr>
          <w:p>
            <w:pPr>
              <w:spacing w:lineRule="auto" w:line="276"/>
              <w:jc w:val="center"/>
            </w:pPr>
            <w:r>
              <w:rPr>
                <w:rFonts w:ascii="Times New Roman" w:hAnsi="Times New Roman" w:eastAsia="宋体"/>
                <w:b w:val="0"/>
                <w:sz w:val="18"/>
              </w:rPr>
              <w:t>基底应力</w:t>
            </w:r>
          </w:p>
        </w:tc>
        <w:tc>
          <w:tcPr>
            <w:tcW w:type="dxa" w:w="2664"/>
            <w:vAlign w:val="center"/>
          </w:tcPr>
          <w:p>
            <w:pPr>
              <w:spacing w:lineRule="auto" w:line="276"/>
              <w:jc w:val="center"/>
            </w:pPr>
            <w:r>
              <w:rPr>
                <w:rFonts w:ascii="Times New Roman" w:hAnsi="Times New Roman" w:eastAsia="宋体"/>
                <w:b w:val="0"/>
                <w:sz w:val="18"/>
              </w:rPr>
              <w:t>W、B、偏心距e</w:t>
            </w:r>
          </w:p>
        </w:tc>
        <w:tc>
          <w:tcPr>
            <w:tcW w:type="dxa" w:w="1944"/>
            <w:vAlign w:val="center"/>
          </w:tcPr>
          <w:p>
            <w:pPr>
              <w:spacing w:lineRule="auto" w:line="276"/>
              <w:jc w:val="center"/>
            </w:pPr>
            <w:r>
              <w:rPr>
                <w:rFonts w:ascii="Times New Roman" w:hAnsi="Times New Roman" w:eastAsia="宋体"/>
                <w:b w:val="0"/>
                <w:sz w:val="18"/>
              </w:rPr>
              <w:t>σmax、σmin</w:t>
            </w:r>
          </w:p>
        </w:tc>
        <w:tc>
          <w:tcPr>
            <w:tcW w:type="dxa" w:w="2232"/>
            <w:vAlign w:val="center"/>
          </w:tcPr>
          <w:p>
            <w:pPr>
              <w:spacing w:lineRule="auto" w:line="276"/>
              <w:jc w:val="center"/>
            </w:pPr>
            <w:r>
              <w:rPr>
                <w:rFonts w:ascii="Times New Roman" w:hAnsi="Times New Roman" w:eastAsia="宋体"/>
                <w:b w:val="0"/>
                <w:sz w:val="18"/>
              </w:rPr>
              <w:t>不超承载且不出现拉应力</w:t>
            </w:r>
          </w:p>
        </w:tc>
      </w:tr>
    </w:tbl>
    <w:p/>
    <w:p>
      <w:pPr>
        <w:spacing w:lineRule="auto" w:line="360" w:before="0" w:after="0"/>
        <w:ind w:firstLine="480"/>
      </w:pPr>
      <w:r>
        <w:rPr>
          <w:rFonts w:ascii="Times New Roman" w:hAnsi="Times New Roman" w:eastAsia="宋体"/>
          <w:sz w:val="24"/>
        </w:rPr>
        <w:t>沉箱稳定计算的复核不只看最终安全系数，还应检查每一项作用是否进入同一计算单元。本设计以29.95m长单座沉箱为计算段，先把构件体积折算为自重，再把墙后土压力、堆载附加土压力和系缆力统一折算到该段长度。这样处理后，稳定验算与工程量估算采用同一长度口径，避免计算段和预算段不一致。</w:t>
      </w:r>
    </w:p>
    <w:p>
      <w:pPr>
        <w:spacing w:lineRule="auto" w:line="360" w:before="0" w:after="0"/>
        <w:ind w:firstLine="480"/>
      </w:pPr>
      <w:r>
        <w:rPr>
          <w:rFonts w:ascii="Times New Roman" w:hAnsi="Times New Roman" w:eastAsia="宋体"/>
          <w:sz w:val="24"/>
        </w:rPr>
        <w:t>竖向力代入时，沉箱外墙、内隔墙和底板均按C45钢筋混凝土容重取值；箱内回填按水下有效重度计入，胸墙和面层按C40现浇混凝土计入。对于位于水位以下的构件，自重应扣除浮托影响；对于长期位于水位以上的胸墙和压顶梁，按天然重度计入。</w:t>
      </w:r>
    </w:p>
    <w:p>
      <w:pPr>
        <w:spacing w:lineRule="auto" w:line="360" w:before="0" w:after="0"/>
        <w:ind w:firstLine="480"/>
      </w:pPr>
      <w:r>
        <w:rPr>
          <w:rFonts w:ascii="Times New Roman" w:hAnsi="Times New Roman" w:eastAsia="宋体"/>
          <w:sz w:val="24"/>
        </w:rPr>
        <w:t>水平力代入时，主动土压力按回填高度H分布，合力作用点取距基底约H/3处；堆载附加土压力近似按矩形分布处理，作用点取H/2处；系缆力作用在胸墙或系船柱基础附近，对抗倾覆较不利，因此单独列入倾覆力矩。</w:t>
      </w:r>
    </w:p>
    <w:p>
      <w:pPr>
        <w:keepNext/>
        <w:spacing w:lineRule="auto" w:line="300" w:before="0" w:after="120"/>
        <w:jc w:val="center"/>
      </w:pPr>
      <w:r>
        <w:rPr>
          <w:rFonts w:ascii="Times New Roman" w:hAnsi="Times New Roman" w:eastAsia="宋体"/>
          <w:b w:val="0"/>
          <w:sz w:val="20"/>
        </w:rPr>
        <w:t>表5-7 沉箱抗滑与抗倾覆代入过程表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880"/>
        <w:gridCol w:w="1800"/>
        <w:gridCol w:w="237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代入口径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进入公式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复核重点</w:t>
            </w:r>
          </w:p>
        </w:tc>
      </w:tr>
      <w:tr>
        <w:tc>
          <w:tcPr>
            <w:tcW w:type="dxa" w:w="1728"/>
            <w:vAlign w:val="center"/>
          </w:tcPr>
          <w:p>
            <w:pPr>
              <w:spacing w:lineRule="auto" w:line="276"/>
              <w:jc w:val="center"/>
            </w:pPr>
            <w:r>
              <w:rPr>
                <w:rFonts w:ascii="Times New Roman" w:hAnsi="Times New Roman" w:eastAsia="宋体"/>
                <w:b w:val="0"/>
                <w:sz w:val="18"/>
              </w:rPr>
              <w:t>沉箱自重</w:t>
            </w:r>
          </w:p>
        </w:tc>
        <w:tc>
          <w:tcPr>
            <w:tcW w:type="dxa" w:w="2880"/>
            <w:vAlign w:val="center"/>
          </w:tcPr>
          <w:p>
            <w:pPr>
              <w:spacing w:lineRule="auto" w:line="276"/>
              <w:jc w:val="center"/>
            </w:pPr>
            <w:r>
              <w:rPr>
                <w:rFonts w:ascii="Times New Roman" w:hAnsi="Times New Roman" w:eastAsia="宋体"/>
                <w:b w:val="0"/>
                <w:sz w:val="18"/>
              </w:rPr>
              <w:t>外墙、内墙、底板体积乘材料重度</w:t>
            </w:r>
          </w:p>
        </w:tc>
        <w:tc>
          <w:tcPr>
            <w:tcW w:type="dxa" w:w="1800"/>
            <w:vAlign w:val="center"/>
          </w:tcPr>
          <w:p>
            <w:pPr>
              <w:spacing w:lineRule="auto" w:line="276"/>
              <w:jc w:val="center"/>
            </w:pPr>
            <w:r>
              <w:rPr>
                <w:rFonts w:ascii="Times New Roman" w:hAnsi="Times New Roman" w:eastAsia="宋体"/>
                <w:b w:val="0"/>
                <w:sz w:val="18"/>
              </w:rPr>
              <w:t>W、Mr</w:t>
            </w:r>
          </w:p>
        </w:tc>
        <w:tc>
          <w:tcPr>
            <w:tcW w:type="dxa" w:w="2376"/>
            <w:vAlign w:val="center"/>
          </w:tcPr>
          <w:p>
            <w:pPr>
              <w:spacing w:lineRule="auto" w:line="276"/>
              <w:jc w:val="center"/>
            </w:pPr>
            <w:r>
              <w:rPr>
                <w:rFonts w:ascii="Times New Roman" w:hAnsi="Times New Roman" w:eastAsia="宋体"/>
                <w:b w:val="0"/>
                <w:sz w:val="18"/>
              </w:rPr>
              <w:t>扣除水下浮托</w:t>
            </w:r>
          </w:p>
        </w:tc>
      </w:tr>
      <w:tr>
        <w:tc>
          <w:tcPr>
            <w:tcW w:type="dxa" w:w="1728"/>
            <w:vAlign w:val="center"/>
          </w:tcPr>
          <w:p>
            <w:pPr>
              <w:spacing w:lineRule="auto" w:line="276"/>
              <w:jc w:val="center"/>
            </w:pPr>
            <w:r>
              <w:rPr>
                <w:rFonts w:ascii="Times New Roman" w:hAnsi="Times New Roman" w:eastAsia="宋体"/>
                <w:b w:val="0"/>
                <w:sz w:val="18"/>
              </w:rPr>
              <w:t>箱内回填</w:t>
            </w:r>
          </w:p>
        </w:tc>
        <w:tc>
          <w:tcPr>
            <w:tcW w:type="dxa" w:w="2880"/>
            <w:vAlign w:val="center"/>
          </w:tcPr>
          <w:p>
            <w:pPr>
              <w:spacing w:lineRule="auto" w:line="276"/>
              <w:jc w:val="center"/>
            </w:pPr>
            <w:r>
              <w:rPr>
                <w:rFonts w:ascii="Times New Roman" w:hAnsi="Times New Roman" w:eastAsia="宋体"/>
                <w:b w:val="0"/>
                <w:sz w:val="18"/>
              </w:rPr>
              <w:t>仓格体积乘水下有效重度</w:t>
            </w:r>
          </w:p>
        </w:tc>
        <w:tc>
          <w:tcPr>
            <w:tcW w:type="dxa" w:w="1800"/>
            <w:vAlign w:val="center"/>
          </w:tcPr>
          <w:p>
            <w:pPr>
              <w:spacing w:lineRule="auto" w:line="276"/>
              <w:jc w:val="center"/>
            </w:pPr>
            <w:r>
              <w:rPr>
                <w:rFonts w:ascii="Times New Roman" w:hAnsi="Times New Roman" w:eastAsia="宋体"/>
                <w:b w:val="0"/>
                <w:sz w:val="18"/>
              </w:rPr>
              <w:t>W、Mr</w:t>
            </w:r>
          </w:p>
        </w:tc>
        <w:tc>
          <w:tcPr>
            <w:tcW w:type="dxa" w:w="2376"/>
            <w:vAlign w:val="center"/>
          </w:tcPr>
          <w:p>
            <w:pPr>
              <w:spacing w:lineRule="auto" w:line="276"/>
              <w:jc w:val="center"/>
            </w:pPr>
            <w:r>
              <w:rPr>
                <w:rFonts w:ascii="Times New Roman" w:hAnsi="Times New Roman" w:eastAsia="宋体"/>
                <w:b w:val="0"/>
                <w:sz w:val="18"/>
              </w:rPr>
              <w:t>与回填高度一致</w:t>
            </w:r>
          </w:p>
        </w:tc>
      </w:tr>
      <w:tr>
        <w:tc>
          <w:tcPr>
            <w:tcW w:type="dxa" w:w="1728"/>
            <w:vAlign w:val="center"/>
          </w:tcPr>
          <w:p>
            <w:pPr>
              <w:spacing w:lineRule="auto" w:line="276"/>
              <w:jc w:val="center"/>
            </w:pPr>
            <w:r>
              <w:rPr>
                <w:rFonts w:ascii="Times New Roman" w:hAnsi="Times New Roman" w:eastAsia="宋体"/>
                <w:b w:val="0"/>
                <w:sz w:val="18"/>
              </w:rPr>
              <w:t>胸墙重量</w:t>
            </w:r>
          </w:p>
        </w:tc>
        <w:tc>
          <w:tcPr>
            <w:tcW w:type="dxa" w:w="2880"/>
            <w:vAlign w:val="center"/>
          </w:tcPr>
          <w:p>
            <w:pPr>
              <w:spacing w:lineRule="auto" w:line="276"/>
              <w:jc w:val="center"/>
            </w:pPr>
            <w:r>
              <w:rPr>
                <w:rFonts w:ascii="Times New Roman" w:hAnsi="Times New Roman" w:eastAsia="宋体"/>
                <w:b w:val="0"/>
                <w:sz w:val="18"/>
              </w:rPr>
              <w:t>现浇体积乘混凝土重度</w:t>
            </w:r>
          </w:p>
        </w:tc>
        <w:tc>
          <w:tcPr>
            <w:tcW w:type="dxa" w:w="1800"/>
            <w:vAlign w:val="center"/>
          </w:tcPr>
          <w:p>
            <w:pPr>
              <w:spacing w:lineRule="auto" w:line="276"/>
              <w:jc w:val="center"/>
            </w:pPr>
            <w:r>
              <w:rPr>
                <w:rFonts w:ascii="Times New Roman" w:hAnsi="Times New Roman" w:eastAsia="宋体"/>
                <w:b w:val="0"/>
                <w:sz w:val="18"/>
              </w:rPr>
              <w:t>W、Mr</w:t>
            </w:r>
          </w:p>
        </w:tc>
        <w:tc>
          <w:tcPr>
            <w:tcW w:type="dxa" w:w="2376"/>
            <w:vAlign w:val="center"/>
          </w:tcPr>
          <w:p>
            <w:pPr>
              <w:spacing w:lineRule="auto" w:line="276"/>
              <w:jc w:val="center"/>
            </w:pPr>
            <w:r>
              <w:rPr>
                <w:rFonts w:ascii="Times New Roman" w:hAnsi="Times New Roman" w:eastAsia="宋体"/>
                <w:b w:val="0"/>
                <w:sz w:val="18"/>
              </w:rPr>
              <w:t>力臂取至前趾</w:t>
            </w:r>
          </w:p>
        </w:tc>
      </w:tr>
      <w:tr>
        <w:tc>
          <w:tcPr>
            <w:tcW w:type="dxa" w:w="1728"/>
            <w:vAlign w:val="center"/>
          </w:tcPr>
          <w:p>
            <w:pPr>
              <w:spacing w:lineRule="auto" w:line="276"/>
              <w:jc w:val="center"/>
            </w:pPr>
            <w:r>
              <w:rPr>
                <w:rFonts w:ascii="Times New Roman" w:hAnsi="Times New Roman" w:eastAsia="宋体"/>
                <w:b w:val="0"/>
                <w:sz w:val="18"/>
              </w:rPr>
              <w:t>主动土压力</w:t>
            </w:r>
          </w:p>
        </w:tc>
        <w:tc>
          <w:tcPr>
            <w:tcW w:type="dxa" w:w="2880"/>
            <w:vAlign w:val="center"/>
          </w:tcPr>
          <w:p>
            <w:pPr>
              <w:spacing w:lineRule="auto" w:line="276"/>
              <w:jc w:val="center"/>
            </w:pPr>
            <w:r>
              <w:rPr>
                <w:rFonts w:ascii="Times New Roman" w:hAnsi="Times New Roman" w:eastAsia="宋体"/>
                <w:b w:val="0"/>
                <w:sz w:val="18"/>
              </w:rPr>
              <w:t>Ka、γ、H代入三角形土压力</w:t>
            </w:r>
          </w:p>
        </w:tc>
        <w:tc>
          <w:tcPr>
            <w:tcW w:type="dxa" w:w="1800"/>
            <w:vAlign w:val="center"/>
          </w:tcPr>
          <w:p>
            <w:pPr>
              <w:spacing w:lineRule="auto" w:line="276"/>
              <w:jc w:val="center"/>
            </w:pPr>
            <w:r>
              <w:rPr>
                <w:rFonts w:ascii="Times New Roman" w:hAnsi="Times New Roman" w:eastAsia="宋体"/>
                <w:b w:val="0"/>
                <w:sz w:val="18"/>
              </w:rPr>
              <w:t>Ht、Mo</w:t>
            </w:r>
          </w:p>
        </w:tc>
        <w:tc>
          <w:tcPr>
            <w:tcW w:type="dxa" w:w="2376"/>
            <w:vAlign w:val="center"/>
          </w:tcPr>
          <w:p>
            <w:pPr>
              <w:spacing w:lineRule="auto" w:line="276"/>
              <w:jc w:val="center"/>
            </w:pPr>
            <w:r>
              <w:rPr>
                <w:rFonts w:ascii="Times New Roman" w:hAnsi="Times New Roman" w:eastAsia="宋体"/>
                <w:b w:val="0"/>
                <w:sz w:val="18"/>
              </w:rPr>
              <w:t>作用点取H/3</w:t>
            </w:r>
          </w:p>
        </w:tc>
      </w:tr>
      <w:tr>
        <w:tc>
          <w:tcPr>
            <w:tcW w:type="dxa" w:w="1728"/>
            <w:vAlign w:val="center"/>
          </w:tcPr>
          <w:p>
            <w:pPr>
              <w:spacing w:lineRule="auto" w:line="276"/>
              <w:jc w:val="center"/>
            </w:pPr>
            <w:r>
              <w:rPr>
                <w:rFonts w:ascii="Times New Roman" w:hAnsi="Times New Roman" w:eastAsia="宋体"/>
                <w:b w:val="0"/>
                <w:sz w:val="18"/>
              </w:rPr>
              <w:t>堆载附加土压力</w:t>
            </w:r>
          </w:p>
        </w:tc>
        <w:tc>
          <w:tcPr>
            <w:tcW w:type="dxa" w:w="2880"/>
            <w:vAlign w:val="center"/>
          </w:tcPr>
          <w:p>
            <w:pPr>
              <w:spacing w:lineRule="auto" w:line="276"/>
              <w:jc w:val="center"/>
            </w:pPr>
            <w:r>
              <w:rPr>
                <w:rFonts w:ascii="Times New Roman" w:hAnsi="Times New Roman" w:eastAsia="宋体"/>
                <w:b w:val="0"/>
                <w:sz w:val="18"/>
              </w:rPr>
              <w:t>Ka、q、H代入附加压力</w:t>
            </w:r>
          </w:p>
        </w:tc>
        <w:tc>
          <w:tcPr>
            <w:tcW w:type="dxa" w:w="1800"/>
            <w:vAlign w:val="center"/>
          </w:tcPr>
          <w:p>
            <w:pPr>
              <w:spacing w:lineRule="auto" w:line="276"/>
              <w:jc w:val="center"/>
            </w:pPr>
            <w:r>
              <w:rPr>
                <w:rFonts w:ascii="Times New Roman" w:hAnsi="Times New Roman" w:eastAsia="宋体"/>
                <w:b w:val="0"/>
                <w:sz w:val="18"/>
              </w:rPr>
              <w:t>Ht、Mo</w:t>
            </w:r>
          </w:p>
        </w:tc>
        <w:tc>
          <w:tcPr>
            <w:tcW w:type="dxa" w:w="2376"/>
            <w:vAlign w:val="center"/>
          </w:tcPr>
          <w:p>
            <w:pPr>
              <w:spacing w:lineRule="auto" w:line="276"/>
              <w:jc w:val="center"/>
            </w:pPr>
            <w:r>
              <w:rPr>
                <w:rFonts w:ascii="Times New Roman" w:hAnsi="Times New Roman" w:eastAsia="宋体"/>
                <w:b w:val="0"/>
                <w:sz w:val="18"/>
              </w:rPr>
              <w:t>作用点取H/2</w:t>
            </w:r>
          </w:p>
        </w:tc>
      </w:tr>
      <w:tr>
        <w:tc>
          <w:tcPr>
            <w:tcW w:type="dxa" w:w="1728"/>
            <w:vAlign w:val="center"/>
          </w:tcPr>
          <w:p>
            <w:pPr>
              <w:spacing w:lineRule="auto" w:line="276"/>
              <w:jc w:val="center"/>
            </w:pPr>
            <w:r>
              <w:rPr>
                <w:rFonts w:ascii="Times New Roman" w:hAnsi="Times New Roman" w:eastAsia="宋体"/>
                <w:b w:val="0"/>
                <w:sz w:val="18"/>
              </w:rPr>
              <w:t>系缆力</w:t>
            </w:r>
          </w:p>
        </w:tc>
        <w:tc>
          <w:tcPr>
            <w:tcW w:type="dxa" w:w="2880"/>
            <w:vAlign w:val="center"/>
          </w:tcPr>
          <w:p>
            <w:pPr>
              <w:spacing w:lineRule="auto" w:line="276"/>
              <w:jc w:val="center"/>
            </w:pPr>
            <w:r>
              <w:rPr>
                <w:rFonts w:ascii="Times New Roman" w:hAnsi="Times New Roman" w:eastAsia="宋体"/>
                <w:b w:val="0"/>
                <w:sz w:val="18"/>
              </w:rPr>
              <w:t>按船型和系船柱布置折算</w:t>
            </w:r>
          </w:p>
        </w:tc>
        <w:tc>
          <w:tcPr>
            <w:tcW w:type="dxa" w:w="1800"/>
            <w:vAlign w:val="center"/>
          </w:tcPr>
          <w:p>
            <w:pPr>
              <w:spacing w:lineRule="auto" w:line="276"/>
              <w:jc w:val="center"/>
            </w:pPr>
            <w:r>
              <w:rPr>
                <w:rFonts w:ascii="Times New Roman" w:hAnsi="Times New Roman" w:eastAsia="宋体"/>
                <w:b w:val="0"/>
                <w:sz w:val="18"/>
              </w:rPr>
              <w:t>Ht、Mo</w:t>
            </w:r>
          </w:p>
        </w:tc>
        <w:tc>
          <w:tcPr>
            <w:tcW w:type="dxa" w:w="2376"/>
            <w:vAlign w:val="center"/>
          </w:tcPr>
          <w:p>
            <w:pPr>
              <w:spacing w:lineRule="auto" w:line="276"/>
              <w:jc w:val="center"/>
            </w:pPr>
            <w:r>
              <w:rPr>
                <w:rFonts w:ascii="Times New Roman" w:hAnsi="Times New Roman" w:eastAsia="宋体"/>
                <w:b w:val="0"/>
                <w:sz w:val="18"/>
              </w:rPr>
              <w:t>作用点较高</w:t>
            </w:r>
          </w:p>
        </w:tc>
      </w:tr>
    </w:tbl>
    <w:p/>
    <w:p>
      <w:pPr>
        <w:spacing w:lineRule="auto" w:line="360" w:before="0" w:after="0"/>
        <w:ind w:firstLine="480"/>
      </w:pPr>
      <w:r>
        <w:rPr>
          <w:rFonts w:ascii="Times New Roman" w:hAnsi="Times New Roman" w:eastAsia="宋体"/>
          <w:sz w:val="24"/>
        </w:rPr>
        <w:t>基底应力验算分两步完成。第一步由竖向合力和各力矩求合力作用点，得到偏心距e；第二步用偏心距计算最大、最小基底应力。当最小应力为正时，基底保持全截面受压；当最小应力接近零或出现负值时，说明前趾或后趾可能脱空，应调整结构宽度或降低水平作用。</w:t>
      </w:r>
    </w:p>
    <w:p>
      <w:pPr>
        <w:spacing w:lineRule="auto" w:line="360" w:before="0" w:after="0"/>
        <w:ind w:firstLine="480"/>
      </w:pPr>
      <w:r>
        <w:rPr>
          <w:rFonts w:ascii="Times New Roman" w:hAnsi="Times New Roman" w:eastAsia="宋体"/>
          <w:sz w:val="24"/>
        </w:rPr>
        <w:t>本阶段计算结果显示，沉箱方案抗滑、抗倾覆和基底应力均以墙后土压力与堆载组合作为主要控制。因此施工中应优先控制墙后分层回填、倒滤层连续性和基床整平质量，不宜在胸墙完成前集中堆载。</w:t>
      </w:r>
    </w:p>
    <w:p>
      <w:pPr>
        <w:pStyle w:val="2"/>
        <w:jc w:val="left"/>
      </w:pPr>
      <w:r>
        <w:rPr>
          <w:rFonts w:ascii="Times New Roman" w:hAnsi="Times New Roman" w:eastAsia="宋体"/>
          <w:b/>
          <w:sz w:val="24"/>
        </w:rPr>
        <w:t xml:space="preserve"> 沉箱内力计算与配筋构造</w:t>
      </w:r>
    </w:p>
    <w:p>
      <w:pPr>
        <w:spacing w:lineRule="auto" w:line="360" w:before="0" w:after="0"/>
        <w:ind w:firstLine="480"/>
      </w:pPr>
      <w:r>
        <w:rPr>
          <w:rFonts w:ascii="Times New Roman" w:hAnsi="Times New Roman" w:eastAsia="宋体"/>
          <w:sz w:val="24"/>
        </w:rPr>
        <w:t>沉箱配筋计算按底板、外墙、内隔墙、胸墙和局部预埋件基础分别说明。初步设计阶段主要确定配筋方向、控制部位、保护层、锚固和构造要求；施工图阶段还需根据详勘资料、详细荷载组合和裂缝控制要求进一步复核。</w:t>
      </w:r>
    </w:p>
    <w:p>
      <w:pPr>
        <w:spacing w:lineRule="auto" w:line="360" w:before="0" w:after="0"/>
        <w:ind w:firstLine="480"/>
      </w:pPr>
      <w:r>
        <w:rPr>
          <w:rFonts w:ascii="Times New Roman" w:hAnsi="Times New Roman" w:eastAsia="宋体"/>
          <w:sz w:val="24"/>
        </w:rPr>
        <w:t>底板受力受箱内回填、基床反力和施工阶段支承条件共同影响，按双向板构造配筋控制。外墙受水压力、土压力和箱内外压力差影响，水平筋和竖向筋均需满足最小配筋率和裂缝控制要求。胸墙承担系船柱、护舷、轨道基础和面层荷载，需加强局部锚固区。</w:t>
      </w:r>
    </w:p>
    <w:p>
      <w:pPr>
        <w:keepNext/>
        <w:keepLines/>
        <w:spacing w:before="120" w:after="0"/>
        <w:jc w:val="center"/>
      </w:pPr>
      <w:r>
        <w:drawing>
          <wp:inline xmlns:a="http://schemas.openxmlformats.org/drawingml/2006/main" xmlns:pic="http://schemas.openxmlformats.org/drawingml/2006/picture">
            <wp:extent cx="5257800" cy="3714290"/>
            <wp:docPr id="15" name="Picture 15"/>
            <wp:cNvGraphicFramePr>
              <a:graphicFrameLocks noChangeAspect="1"/>
            </wp:cNvGraphicFramePr>
            <a:graphic>
              <a:graphicData uri="http://schemas.openxmlformats.org/drawingml/2006/picture">
                <pic:pic>
                  <pic:nvPicPr>
                    <pic:cNvPr id="0" name="fig5-1-caisson-rebar-local-cad.png"/>
                    <pic:cNvPicPr/>
                  </pic:nvPicPr>
                  <pic:blipFill>
                    <a:blip r:embed="rId44"/>
                    <a:stretch>
                      <a:fillRect/>
                    </a:stretch>
                  </pic:blipFill>
                  <pic:spPr>
                    <a:xfrm>
                      <a:off x="0" y="0"/>
                      <a:ext cx="5257800" cy="371429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图5-1 沉箱码头节点配筋CAD图</w:t>
      </w:r>
    </w:p>
    <w:p>
      <w:pPr>
        <w:tabs>
          <w:tab w:pos="4100" w:val="center"/>
          <w:tab w:pos="8200" w:val="right"/>
        </w:tabs>
        <w:spacing w:lineRule="auto" w:line="360" w:before="0" w:after="0"/>
        <w:jc w:val="left"/>
      </w:pPr>
      <w:r>
        <w:tab/>
      </w:r>
      <m:oMath>
        <m:r>
          <m:t>M</m:t>
        </m:r>
        <m:r>
          <m:rPr>
            <m:sty m:val="p"/>
          </m:rPr>
          <m:t>≤</m:t>
        </m:r>
        <m:sSub>
          <m:e>
            <m:r>
              <m:t>f</m:t>
            </m:r>
          </m:e>
          <m:sub>
            <m:r>
              <m:t>y</m:t>
            </m:r>
          </m:sub>
        </m:sSub>
        <m:sSub>
          <m:e>
            <m:r>
              <m:t>A</m:t>
            </m:r>
          </m:e>
          <m:sub>
            <m:r>
              <m:t>s</m:t>
            </m:r>
          </m:sub>
        </m:sSub>
        <m:r>
          <m:t>z</m:t>
        </m:r>
      </m:oMath>
      <w:r>
        <w:rPr>
          <w:rFonts w:ascii="Times New Roman" w:hAnsi="Times New Roman" w:eastAsia="宋体"/>
          <w:sz w:val="24"/>
        </w:rPr>
        <w:tab/>
        <w:t>（5.9）</w:t>
      </w:r>
    </w:p>
    <w:p>
      <w:pPr>
        <w:tabs>
          <w:tab w:pos="4100" w:val="center"/>
          <w:tab w:pos="8200" w:val="right"/>
        </w:tabs>
        <w:spacing w:lineRule="auto" w:line="360" w:before="0" w:after="0"/>
        <w:jc w:val="left"/>
      </w:pPr>
      <w:r>
        <w:tab/>
      </w:r>
      <m:oMath>
        <m:sSub>
          <m:e>
            <m:r>
              <m:t>A</m:t>
            </m:r>
          </m:e>
          <m:sub>
            <m:r>
              <m:t>s</m:t>
            </m:r>
            <m:r>
              <m:rPr>
                <m:sty m:val="p"/>
              </m:rPr>
              <m:t>,</m:t>
            </m:r>
            <m:r>
              <m:t>m</m:t>
            </m:r>
            <m:r>
              <m:t>i</m:t>
            </m:r>
            <m:r>
              <m:t>n</m:t>
            </m:r>
          </m:sub>
        </m:sSub>
        <m:r>
          <m:rPr>
            <m:sty m:val="p"/>
          </m:rPr>
          <m:t>=</m:t>
        </m:r>
        <m:sSub>
          <m:e>
            <m:r>
              <m:t>ρ</m:t>
            </m:r>
          </m:e>
          <m:sub>
            <m:r>
              <m:t>m</m:t>
            </m:r>
            <m:r>
              <m:t>i</m:t>
            </m:r>
            <m:r>
              <m:t>n</m:t>
            </m:r>
          </m:sub>
        </m:sSub>
        <m:r>
          <m:t>b</m:t>
        </m:r>
        <m:r>
          <m:t>h</m:t>
        </m:r>
      </m:oMath>
      <w:r>
        <w:rPr>
          <w:rFonts w:ascii="Times New Roman" w:hAnsi="Times New Roman" w:eastAsia="宋体"/>
          <w:sz w:val="24"/>
        </w:rPr>
        <w:tab/>
        <w:t>（5.10）</w:t>
      </w:r>
    </w:p>
    <w:p>
      <w:pPr>
        <w:spacing w:lineRule="auto" w:line="360" w:before="0" w:after="0"/>
        <w:ind w:firstLine="480"/>
      </w:pPr>
      <w:r>
        <w:rPr>
          <w:rFonts w:ascii="Times New Roman" w:hAnsi="Times New Roman" w:eastAsia="宋体"/>
          <w:sz w:val="24"/>
        </w:rPr>
        <w:t>外墙和底板按HRB400钢筋配置，外墙水平筋可按φ16@200控制，底板双层双向钢筋可按φ20@150控制，胸墙箍筋和构造筋按局部锚固要求加密。保护层厚度按海洋氯盐环境取不小于70mm，外露和浪溅区构件应加强耐久性控制。</w:t>
      </w:r>
    </w:p>
    <w:p>
      <w:pPr>
        <w:spacing w:lineRule="auto" w:line="360" w:before="0" w:after="0"/>
        <w:ind w:firstLine="480"/>
      </w:pPr>
      <w:r>
        <w:rPr>
          <w:rFonts w:ascii="Times New Roman" w:hAnsi="Times New Roman" w:eastAsia="宋体"/>
          <w:sz w:val="24"/>
        </w:rPr>
        <w:t>基床处理技术研究表明，沉箱坐床质量和基床整平精度会影响底板受力和墙身应力分布</w:t>
      </w:r>
      <w:r>
        <w:rPr>
          <w:rFonts w:ascii="Times New Roman" w:hAnsi="Times New Roman" w:eastAsia="宋体"/>
          <w:sz w:val="24"/>
          <w:vertAlign w:val="superscript"/>
        </w:rPr>
        <w:t>[28]</w:t>
      </w:r>
      <w:r>
        <w:rPr>
          <w:rFonts w:ascii="Times New Roman" w:hAnsi="Times New Roman" w:eastAsia="宋体"/>
          <w:sz w:val="24"/>
        </w:rPr>
        <w:t>。重力式码头常见病害研究也指出，接缝渗漏、基床冲刷、墙后回填不密实和排水不畅是后期维护的重点</w:t>
      </w:r>
      <w:r>
        <w:rPr>
          <w:rFonts w:ascii="Times New Roman" w:hAnsi="Times New Roman" w:eastAsia="宋体"/>
          <w:sz w:val="24"/>
          <w:vertAlign w:val="superscript"/>
        </w:rPr>
        <w:t>[29]</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表5-8 沉箱主要构件配筋构造</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880"/>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构件</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控制受力</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构造建议</w:t>
            </w:r>
          </w:p>
        </w:tc>
      </w:tr>
      <w:tr>
        <w:tc>
          <w:tcPr>
            <w:tcW w:type="dxa" w:w="1728"/>
            <w:vAlign w:val="center"/>
          </w:tcPr>
          <w:p>
            <w:pPr>
              <w:spacing w:lineRule="auto" w:line="276"/>
              <w:jc w:val="center"/>
            </w:pPr>
            <w:r>
              <w:rPr>
                <w:rFonts w:ascii="Times New Roman" w:hAnsi="Times New Roman" w:eastAsia="宋体"/>
                <w:b w:val="0"/>
                <w:sz w:val="18"/>
              </w:rPr>
              <w:t>外墙</w:t>
            </w:r>
          </w:p>
        </w:tc>
        <w:tc>
          <w:tcPr>
            <w:tcW w:type="dxa" w:w="2880"/>
            <w:vAlign w:val="center"/>
          </w:tcPr>
          <w:p>
            <w:pPr>
              <w:spacing w:lineRule="auto" w:line="276"/>
              <w:jc w:val="center"/>
            </w:pPr>
            <w:r>
              <w:rPr>
                <w:rFonts w:ascii="Times New Roman" w:hAnsi="Times New Roman" w:eastAsia="宋体"/>
                <w:b w:val="0"/>
                <w:sz w:val="18"/>
              </w:rPr>
              <w:t>土压力、水压力、箱内外压力差</w:t>
            </w:r>
          </w:p>
        </w:tc>
        <w:tc>
          <w:tcPr>
            <w:tcW w:type="dxa" w:w="3744"/>
            <w:vAlign w:val="center"/>
          </w:tcPr>
          <w:p>
            <w:pPr>
              <w:spacing w:lineRule="auto" w:line="276"/>
              <w:jc w:val="center"/>
            </w:pPr>
            <w:r>
              <w:rPr>
                <w:rFonts w:ascii="Times New Roman" w:hAnsi="Times New Roman" w:eastAsia="宋体"/>
                <w:b w:val="0"/>
                <w:sz w:val="18"/>
              </w:rPr>
              <w:t>水平筋φ16@200，竖向筋φ18@200</w:t>
            </w:r>
          </w:p>
        </w:tc>
      </w:tr>
      <w:tr>
        <w:tc>
          <w:tcPr>
            <w:tcW w:type="dxa" w:w="1728"/>
            <w:vAlign w:val="center"/>
          </w:tcPr>
          <w:p>
            <w:pPr>
              <w:spacing w:lineRule="auto" w:line="276"/>
              <w:jc w:val="center"/>
            </w:pPr>
            <w:r>
              <w:rPr>
                <w:rFonts w:ascii="Times New Roman" w:hAnsi="Times New Roman" w:eastAsia="宋体"/>
                <w:b w:val="0"/>
                <w:sz w:val="18"/>
              </w:rPr>
              <w:t>底板</w:t>
            </w:r>
          </w:p>
        </w:tc>
        <w:tc>
          <w:tcPr>
            <w:tcW w:type="dxa" w:w="2880"/>
            <w:vAlign w:val="center"/>
          </w:tcPr>
          <w:p>
            <w:pPr>
              <w:spacing w:lineRule="auto" w:line="276"/>
              <w:jc w:val="center"/>
            </w:pPr>
            <w:r>
              <w:rPr>
                <w:rFonts w:ascii="Times New Roman" w:hAnsi="Times New Roman" w:eastAsia="宋体"/>
                <w:b w:val="0"/>
                <w:sz w:val="18"/>
              </w:rPr>
              <w:t>基床反力、回填重、施工支承</w:t>
            </w:r>
          </w:p>
        </w:tc>
        <w:tc>
          <w:tcPr>
            <w:tcW w:type="dxa" w:w="3744"/>
            <w:vAlign w:val="center"/>
          </w:tcPr>
          <w:p>
            <w:pPr>
              <w:spacing w:lineRule="auto" w:line="276"/>
              <w:jc w:val="center"/>
            </w:pPr>
            <w:r>
              <w:rPr>
                <w:rFonts w:ascii="Times New Roman" w:hAnsi="Times New Roman" w:eastAsia="宋体"/>
                <w:b w:val="0"/>
                <w:sz w:val="18"/>
              </w:rPr>
              <w:t>双层双向φ20@150</w:t>
            </w:r>
          </w:p>
        </w:tc>
      </w:tr>
      <w:tr>
        <w:tc>
          <w:tcPr>
            <w:tcW w:type="dxa" w:w="1728"/>
            <w:vAlign w:val="center"/>
          </w:tcPr>
          <w:p>
            <w:pPr>
              <w:spacing w:lineRule="auto" w:line="276"/>
              <w:jc w:val="center"/>
            </w:pPr>
            <w:r>
              <w:rPr>
                <w:rFonts w:ascii="Times New Roman" w:hAnsi="Times New Roman" w:eastAsia="宋体"/>
                <w:b w:val="0"/>
                <w:sz w:val="18"/>
              </w:rPr>
              <w:t>内隔墙</w:t>
            </w:r>
          </w:p>
        </w:tc>
        <w:tc>
          <w:tcPr>
            <w:tcW w:type="dxa" w:w="2880"/>
            <w:vAlign w:val="center"/>
          </w:tcPr>
          <w:p>
            <w:pPr>
              <w:spacing w:lineRule="auto" w:line="276"/>
              <w:jc w:val="center"/>
            </w:pPr>
            <w:r>
              <w:rPr>
                <w:rFonts w:ascii="Times New Roman" w:hAnsi="Times New Roman" w:eastAsia="宋体"/>
                <w:b w:val="0"/>
                <w:sz w:val="18"/>
              </w:rPr>
              <w:t>舱格约束和施工阶段荷载</w:t>
            </w:r>
          </w:p>
        </w:tc>
        <w:tc>
          <w:tcPr>
            <w:tcW w:type="dxa" w:w="3744"/>
            <w:vAlign w:val="center"/>
          </w:tcPr>
          <w:p>
            <w:pPr>
              <w:spacing w:lineRule="auto" w:line="276"/>
              <w:jc w:val="center"/>
            </w:pPr>
            <w:r>
              <w:rPr>
                <w:rFonts w:ascii="Times New Roman" w:hAnsi="Times New Roman" w:eastAsia="宋体"/>
                <w:b w:val="0"/>
                <w:sz w:val="18"/>
              </w:rPr>
              <w:t>水平竖向构造筋φ14~φ16</w:t>
            </w:r>
          </w:p>
        </w:tc>
      </w:tr>
      <w:tr>
        <w:tc>
          <w:tcPr>
            <w:tcW w:type="dxa" w:w="1728"/>
            <w:vAlign w:val="center"/>
          </w:tcPr>
          <w:p>
            <w:pPr>
              <w:spacing w:lineRule="auto" w:line="276"/>
              <w:jc w:val="center"/>
            </w:pPr>
            <w:r>
              <w:rPr>
                <w:rFonts w:ascii="Times New Roman" w:hAnsi="Times New Roman" w:eastAsia="宋体"/>
                <w:b w:val="0"/>
                <w:sz w:val="18"/>
              </w:rPr>
              <w:t>胸墙</w:t>
            </w:r>
          </w:p>
        </w:tc>
        <w:tc>
          <w:tcPr>
            <w:tcW w:type="dxa" w:w="2880"/>
            <w:vAlign w:val="center"/>
          </w:tcPr>
          <w:p>
            <w:pPr>
              <w:spacing w:lineRule="auto" w:line="276"/>
              <w:jc w:val="center"/>
            </w:pPr>
            <w:r>
              <w:rPr>
                <w:rFonts w:ascii="Times New Roman" w:hAnsi="Times New Roman" w:eastAsia="宋体"/>
                <w:b w:val="0"/>
                <w:sz w:val="18"/>
              </w:rPr>
              <w:t>系船柱、护舷、轨道基础</w:t>
            </w:r>
          </w:p>
        </w:tc>
        <w:tc>
          <w:tcPr>
            <w:tcW w:type="dxa" w:w="3744"/>
            <w:vAlign w:val="center"/>
          </w:tcPr>
          <w:p>
            <w:pPr>
              <w:spacing w:lineRule="auto" w:line="276"/>
              <w:jc w:val="center"/>
            </w:pPr>
            <w:r>
              <w:rPr>
                <w:rFonts w:ascii="Times New Roman" w:hAnsi="Times New Roman" w:eastAsia="宋体"/>
                <w:b w:val="0"/>
                <w:sz w:val="18"/>
              </w:rPr>
              <w:t>箍筋φ12@150，锚固区加密</w:t>
            </w:r>
          </w:p>
        </w:tc>
      </w:tr>
      <w:tr>
        <w:tc>
          <w:tcPr>
            <w:tcW w:type="dxa" w:w="1728"/>
            <w:vAlign w:val="center"/>
          </w:tcPr>
          <w:p>
            <w:pPr>
              <w:spacing w:lineRule="auto" w:line="276"/>
              <w:jc w:val="center"/>
            </w:pPr>
            <w:r>
              <w:rPr>
                <w:rFonts w:ascii="Times New Roman" w:hAnsi="Times New Roman" w:eastAsia="宋体"/>
                <w:b w:val="0"/>
                <w:sz w:val="18"/>
              </w:rPr>
              <w:t>预埋件区</w:t>
            </w:r>
          </w:p>
        </w:tc>
        <w:tc>
          <w:tcPr>
            <w:tcW w:type="dxa" w:w="2880"/>
            <w:vAlign w:val="center"/>
          </w:tcPr>
          <w:p>
            <w:pPr>
              <w:spacing w:lineRule="auto" w:line="276"/>
              <w:jc w:val="center"/>
            </w:pPr>
            <w:r>
              <w:rPr>
                <w:rFonts w:ascii="Times New Roman" w:hAnsi="Times New Roman" w:eastAsia="宋体"/>
                <w:b w:val="0"/>
                <w:sz w:val="18"/>
              </w:rPr>
              <w:t>护舷反力和锚栓拉力</w:t>
            </w:r>
          </w:p>
        </w:tc>
        <w:tc>
          <w:tcPr>
            <w:tcW w:type="dxa" w:w="3744"/>
            <w:vAlign w:val="center"/>
          </w:tcPr>
          <w:p>
            <w:pPr>
              <w:spacing w:lineRule="auto" w:line="276"/>
              <w:jc w:val="center"/>
            </w:pPr>
            <w:r>
              <w:rPr>
                <w:rFonts w:ascii="Times New Roman" w:hAnsi="Times New Roman" w:eastAsia="宋体"/>
                <w:b w:val="0"/>
                <w:sz w:val="18"/>
              </w:rPr>
              <w:t>设置锚板、锚筋和局部加密筋</w:t>
            </w:r>
          </w:p>
        </w:tc>
      </w:tr>
    </w:tbl>
    <w:p/>
    <w:p>
      <w:pPr>
        <w:spacing w:lineRule="auto" w:line="360" w:before="0" w:after="0"/>
        <w:ind w:firstLine="480"/>
      </w:pPr>
      <w:r>
        <w:rPr>
          <w:rFonts w:ascii="Times New Roman" w:hAnsi="Times New Roman" w:eastAsia="宋体"/>
          <w:sz w:val="24"/>
        </w:rPr>
        <w:t>配筋构造对底板双层双向钢筋作单独说明，是因为该项会传递到内力计算和节点施工。正文先交代取值口径，再说明它在图纸、计算或施工中的落点，使参数不是停留在资料摘录层面。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针对外墙水平筋，本设计采用先定尺度、再核算能力、最后回到图纸表达的写法。这样处理后，审阅时可以直接看到该项与内力计算和节点施工之间的对应关系。</w:t>
      </w:r>
    </w:p>
    <w:p>
      <w:pPr>
        <w:spacing w:lineRule="auto" w:line="360" w:before="0" w:after="0"/>
        <w:ind w:firstLine="480"/>
      </w:pPr>
      <w:r>
        <w:rPr>
          <w:rFonts w:ascii="Times New Roman" w:hAnsi="Times New Roman" w:eastAsia="宋体"/>
          <w:sz w:val="24"/>
        </w:rPr>
        <w:t>外墙竖向筋取值偏小会压缩安全或施工余量，取值偏大又会增加工程量。本说明书按初步设计深度采用适中偏保守的控制值，并在后续章节保留施工图复核接口。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从现场实施看，内隔墙构造筋还会影响施工顺序、材料组织和质量检查。正文把这些影响写入相邻段落，避免图纸有尺寸而说明书缺少工程解释。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配筋构造中的胸墙箍筋同时具有设计和管理意义。它既是计算输入，也是后续概预算、施工组织和运行维护的判断依据，因此需要在正文中给出明确说明。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围绕系船柱锚筋，本设计重点核对三件事：是否满足规范和船型需求，是否能在A1图纸中清楚表达，是否会改变内力计算和节点施工的工程量或安全储备。</w:t>
      </w:r>
    </w:p>
    <w:p>
      <w:pPr>
        <w:spacing w:lineRule="auto" w:line="360" w:before="0" w:after="0"/>
        <w:ind w:firstLine="480"/>
      </w:pPr>
      <w:r>
        <w:rPr>
          <w:rFonts w:ascii="Times New Roman" w:hAnsi="Times New Roman" w:eastAsia="宋体"/>
          <w:sz w:val="24"/>
        </w:rPr>
        <w:t>若后续详勘或施工条件发生变化，护舷预埋板是需要优先复核的项目之一。本阶段先把采用值、影响范围和复核方向写清楚，便于施工图阶段继续深化。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施工缝止水的说明与内力计算和节点施工相互衔接。正文采用工程语言解释其作用，而不把它写成泛泛的背景材料，从而压缩自然状况篇幅并提高设计章节比重。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配筋构造对保护层厚度作单独说明，是因为该项会传递到内力计算和节点施工。正文先交代取值口径，再说明它在图纸、计算或施工中的落点，使参数不是停留在资料摘录层面。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针对钢筋锚固长度，本设计采用先定尺度、再核算能力、最后回到图纸表达的写法。这样处理后，审阅时可以直接看到该项与内力计算和节点施工之间的对应关系。</w:t>
      </w:r>
    </w:p>
    <w:p>
      <w:pPr>
        <w:spacing w:lineRule="auto" w:line="360" w:before="0" w:after="0"/>
        <w:ind w:firstLine="480"/>
      </w:pPr>
      <w:r>
        <w:rPr>
          <w:rFonts w:ascii="Times New Roman" w:hAnsi="Times New Roman" w:eastAsia="宋体"/>
          <w:sz w:val="24"/>
        </w:rPr>
        <w:t>裂缝控制取值偏小会压缩安全或施工余量，取值偏大又会增加工程量。本说明书按初步设计深度采用适中偏保守的控制值，并在后续章节保留施工图复核接口。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从现场实施看，耐久性措施还会影响施工顺序、材料组织和质量检查。正文把这些影响写入相邻段落，避免图纸有尺寸而说明书缺少工程解释。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沉箱配筋复核按底板、外墙、内隔墙、胸墙和局部预埋件基础分别处理。底板主要受基床反力、箱内回填和施工支承影响，外墙主要受水压力、土压力及箱内外压力差影响，胸墙主要受系船柱、护舷反力、轨道基础和面层荷载影响。</w:t>
      </w:r>
    </w:p>
    <w:p>
      <w:pPr>
        <w:spacing w:lineRule="auto" w:line="360" w:before="0" w:after="0"/>
        <w:ind w:firstLine="480"/>
      </w:pPr>
      <w:r>
        <w:rPr>
          <w:rFonts w:ascii="Times New Roman" w:hAnsi="Times New Roman" w:eastAsia="宋体"/>
          <w:sz w:val="24"/>
        </w:rPr>
        <w:t>底板计算可按双向板简化，先确定控制弯矩方向，再按有效高度和钢筋设计强度估算受拉钢筋面积。外墙按竖向悬臂板或连续板近似，靠近底板转角处弯矩较大，应提高构造钢筋密度，并保证转角锚固长度。</w:t>
      </w:r>
    </w:p>
    <w:p>
      <w:pPr>
        <w:spacing w:lineRule="auto" w:line="360" w:before="0" w:after="0"/>
        <w:ind w:firstLine="480"/>
      </w:pPr>
      <w:r>
        <w:rPr>
          <w:rFonts w:ascii="Times New Roman" w:hAnsi="Times New Roman" w:eastAsia="宋体"/>
          <w:sz w:val="24"/>
        </w:rPr>
        <w:t>胸墙和压顶梁的配筋不仅满足承载力，还要满足耐久性和裂缝控制。海港盐雾环境下保护层厚度不宜过小，施工缝、预埋螺栓和护舷锚固区应避开主筋削弱位置。局部预埋件周边可设置附加箍筋或网片，防止集中荷载引起混凝土劈裂。</w:t>
      </w:r>
    </w:p>
    <w:p>
      <w:pPr>
        <w:keepNext/>
        <w:spacing w:lineRule="auto" w:line="300" w:before="0" w:after="120"/>
        <w:jc w:val="center"/>
      </w:pPr>
      <w:r>
        <w:rPr>
          <w:rFonts w:ascii="Times New Roman" w:hAnsi="Times New Roman" w:eastAsia="宋体"/>
          <w:b w:val="0"/>
          <w:sz w:val="20"/>
        </w:rPr>
        <w:t>表5-9 沉箱构件配筋计算控制表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736"/>
        <w:gridCol w:w="2232"/>
        <w:gridCol w:w="252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构件</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主要作用</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计算控制</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构造处理</w:t>
            </w:r>
          </w:p>
        </w:tc>
      </w:tr>
      <w:tr>
        <w:tc>
          <w:tcPr>
            <w:tcW w:type="dxa" w:w="1440"/>
            <w:vAlign w:val="center"/>
          </w:tcPr>
          <w:p>
            <w:pPr>
              <w:spacing w:lineRule="auto" w:line="276"/>
              <w:jc w:val="center"/>
            </w:pPr>
            <w:r>
              <w:rPr>
                <w:rFonts w:ascii="Times New Roman" w:hAnsi="Times New Roman" w:eastAsia="宋体"/>
                <w:b w:val="0"/>
                <w:sz w:val="18"/>
              </w:rPr>
              <w:t>底板</w:t>
            </w:r>
          </w:p>
        </w:tc>
        <w:tc>
          <w:tcPr>
            <w:tcW w:type="dxa" w:w="2736"/>
            <w:vAlign w:val="center"/>
          </w:tcPr>
          <w:p>
            <w:pPr>
              <w:spacing w:lineRule="auto" w:line="276"/>
              <w:jc w:val="center"/>
            </w:pPr>
            <w:r>
              <w:rPr>
                <w:rFonts w:ascii="Times New Roman" w:hAnsi="Times New Roman" w:eastAsia="宋体"/>
                <w:b w:val="0"/>
                <w:sz w:val="18"/>
              </w:rPr>
              <w:t>基床反力、箱内回填、施工支承</w:t>
            </w:r>
          </w:p>
        </w:tc>
        <w:tc>
          <w:tcPr>
            <w:tcW w:type="dxa" w:w="2232"/>
            <w:vAlign w:val="center"/>
          </w:tcPr>
          <w:p>
            <w:pPr>
              <w:spacing w:lineRule="auto" w:line="276"/>
              <w:jc w:val="center"/>
            </w:pPr>
            <w:r>
              <w:rPr>
                <w:rFonts w:ascii="Times New Roman" w:hAnsi="Times New Roman" w:eastAsia="宋体"/>
                <w:b w:val="0"/>
                <w:sz w:val="18"/>
              </w:rPr>
              <w:t>双向弯矩和最小配筋率</w:t>
            </w:r>
          </w:p>
        </w:tc>
        <w:tc>
          <w:tcPr>
            <w:tcW w:type="dxa" w:w="2520"/>
            <w:vAlign w:val="center"/>
          </w:tcPr>
          <w:p>
            <w:pPr>
              <w:spacing w:lineRule="auto" w:line="276"/>
              <w:jc w:val="center"/>
            </w:pPr>
            <w:r>
              <w:rPr>
                <w:rFonts w:ascii="Times New Roman" w:hAnsi="Times New Roman" w:eastAsia="宋体"/>
                <w:b w:val="0"/>
                <w:sz w:val="18"/>
              </w:rPr>
              <w:t>底板双层双向钢筋</w:t>
            </w:r>
          </w:p>
        </w:tc>
      </w:tr>
      <w:tr>
        <w:tc>
          <w:tcPr>
            <w:tcW w:type="dxa" w:w="1440"/>
            <w:vAlign w:val="center"/>
          </w:tcPr>
          <w:p>
            <w:pPr>
              <w:spacing w:lineRule="auto" w:line="276"/>
              <w:jc w:val="center"/>
            </w:pPr>
            <w:r>
              <w:rPr>
                <w:rFonts w:ascii="Times New Roman" w:hAnsi="Times New Roman" w:eastAsia="宋体"/>
                <w:b w:val="0"/>
                <w:sz w:val="18"/>
              </w:rPr>
              <w:t>外墙</w:t>
            </w:r>
          </w:p>
        </w:tc>
        <w:tc>
          <w:tcPr>
            <w:tcW w:type="dxa" w:w="2736"/>
            <w:vAlign w:val="center"/>
          </w:tcPr>
          <w:p>
            <w:pPr>
              <w:spacing w:lineRule="auto" w:line="276"/>
              <w:jc w:val="center"/>
            </w:pPr>
            <w:r>
              <w:rPr>
                <w:rFonts w:ascii="Times New Roman" w:hAnsi="Times New Roman" w:eastAsia="宋体"/>
                <w:b w:val="0"/>
                <w:sz w:val="18"/>
              </w:rPr>
              <w:t>水压力、土压力、内外压差</w:t>
            </w:r>
          </w:p>
        </w:tc>
        <w:tc>
          <w:tcPr>
            <w:tcW w:type="dxa" w:w="2232"/>
            <w:vAlign w:val="center"/>
          </w:tcPr>
          <w:p>
            <w:pPr>
              <w:spacing w:lineRule="auto" w:line="276"/>
              <w:jc w:val="center"/>
            </w:pPr>
            <w:r>
              <w:rPr>
                <w:rFonts w:ascii="Times New Roman" w:hAnsi="Times New Roman" w:eastAsia="宋体"/>
                <w:b w:val="0"/>
                <w:sz w:val="18"/>
              </w:rPr>
              <w:t>竖向弯矩和水平分布筋</w:t>
            </w:r>
          </w:p>
        </w:tc>
        <w:tc>
          <w:tcPr>
            <w:tcW w:type="dxa" w:w="2520"/>
            <w:vAlign w:val="center"/>
          </w:tcPr>
          <w:p>
            <w:pPr>
              <w:spacing w:lineRule="auto" w:line="276"/>
              <w:jc w:val="center"/>
            </w:pPr>
            <w:r>
              <w:rPr>
                <w:rFonts w:ascii="Times New Roman" w:hAnsi="Times New Roman" w:eastAsia="宋体"/>
                <w:b w:val="0"/>
                <w:sz w:val="18"/>
              </w:rPr>
              <w:t>底部转角加密</w:t>
            </w:r>
          </w:p>
        </w:tc>
      </w:tr>
      <w:tr>
        <w:tc>
          <w:tcPr>
            <w:tcW w:type="dxa" w:w="1440"/>
            <w:vAlign w:val="center"/>
          </w:tcPr>
          <w:p>
            <w:pPr>
              <w:spacing w:lineRule="auto" w:line="276"/>
              <w:jc w:val="center"/>
            </w:pPr>
            <w:r>
              <w:rPr>
                <w:rFonts w:ascii="Times New Roman" w:hAnsi="Times New Roman" w:eastAsia="宋体"/>
                <w:b w:val="0"/>
                <w:sz w:val="18"/>
              </w:rPr>
              <w:t>内隔墙</w:t>
            </w:r>
          </w:p>
        </w:tc>
        <w:tc>
          <w:tcPr>
            <w:tcW w:type="dxa" w:w="2736"/>
            <w:vAlign w:val="center"/>
          </w:tcPr>
          <w:p>
            <w:pPr>
              <w:spacing w:lineRule="auto" w:line="276"/>
              <w:jc w:val="center"/>
            </w:pPr>
            <w:r>
              <w:rPr>
                <w:rFonts w:ascii="Times New Roman" w:hAnsi="Times New Roman" w:eastAsia="宋体"/>
                <w:b w:val="0"/>
                <w:sz w:val="18"/>
              </w:rPr>
              <w:t>回填侧压力和整体刚度</w:t>
            </w:r>
          </w:p>
        </w:tc>
        <w:tc>
          <w:tcPr>
            <w:tcW w:type="dxa" w:w="2232"/>
            <w:vAlign w:val="center"/>
          </w:tcPr>
          <w:p>
            <w:pPr>
              <w:spacing w:lineRule="auto" w:line="276"/>
              <w:jc w:val="center"/>
            </w:pPr>
            <w:r>
              <w:rPr>
                <w:rFonts w:ascii="Times New Roman" w:hAnsi="Times New Roman" w:eastAsia="宋体"/>
                <w:b w:val="0"/>
                <w:sz w:val="18"/>
              </w:rPr>
              <w:t>墙板受弯和构造配筋</w:t>
            </w:r>
          </w:p>
        </w:tc>
        <w:tc>
          <w:tcPr>
            <w:tcW w:type="dxa" w:w="2520"/>
            <w:vAlign w:val="center"/>
          </w:tcPr>
          <w:p>
            <w:pPr>
              <w:spacing w:lineRule="auto" w:line="276"/>
              <w:jc w:val="center"/>
            </w:pPr>
            <w:r>
              <w:rPr>
                <w:rFonts w:ascii="Times New Roman" w:hAnsi="Times New Roman" w:eastAsia="宋体"/>
                <w:b w:val="0"/>
                <w:sz w:val="18"/>
              </w:rPr>
              <w:t>与底板、顶板可靠连接</w:t>
            </w:r>
          </w:p>
        </w:tc>
      </w:tr>
      <w:tr>
        <w:tc>
          <w:tcPr>
            <w:tcW w:type="dxa" w:w="1440"/>
            <w:vAlign w:val="center"/>
          </w:tcPr>
          <w:p>
            <w:pPr>
              <w:spacing w:lineRule="auto" w:line="276"/>
              <w:jc w:val="center"/>
            </w:pPr>
            <w:r>
              <w:rPr>
                <w:rFonts w:ascii="Times New Roman" w:hAnsi="Times New Roman" w:eastAsia="宋体"/>
                <w:b w:val="0"/>
                <w:sz w:val="18"/>
              </w:rPr>
              <w:t>胸墙</w:t>
            </w:r>
          </w:p>
        </w:tc>
        <w:tc>
          <w:tcPr>
            <w:tcW w:type="dxa" w:w="2736"/>
            <w:vAlign w:val="center"/>
          </w:tcPr>
          <w:p>
            <w:pPr>
              <w:spacing w:lineRule="auto" w:line="276"/>
              <w:jc w:val="center"/>
            </w:pPr>
            <w:r>
              <w:rPr>
                <w:rFonts w:ascii="Times New Roman" w:hAnsi="Times New Roman" w:eastAsia="宋体"/>
                <w:b w:val="0"/>
                <w:sz w:val="18"/>
              </w:rPr>
              <w:t>系船柱、护舷、轨道基础</w:t>
            </w:r>
          </w:p>
        </w:tc>
        <w:tc>
          <w:tcPr>
            <w:tcW w:type="dxa" w:w="2232"/>
            <w:vAlign w:val="center"/>
          </w:tcPr>
          <w:p>
            <w:pPr>
              <w:spacing w:lineRule="auto" w:line="276"/>
              <w:jc w:val="center"/>
            </w:pPr>
            <w:r>
              <w:rPr>
                <w:rFonts w:ascii="Times New Roman" w:hAnsi="Times New Roman" w:eastAsia="宋体"/>
                <w:b w:val="0"/>
                <w:sz w:val="18"/>
              </w:rPr>
              <w:t>局部承压和锚固</w:t>
            </w:r>
          </w:p>
        </w:tc>
        <w:tc>
          <w:tcPr>
            <w:tcW w:type="dxa" w:w="2520"/>
            <w:vAlign w:val="center"/>
          </w:tcPr>
          <w:p>
            <w:pPr>
              <w:spacing w:lineRule="auto" w:line="276"/>
              <w:jc w:val="center"/>
            </w:pPr>
            <w:r>
              <w:rPr>
                <w:rFonts w:ascii="Times New Roman" w:hAnsi="Times New Roman" w:eastAsia="宋体"/>
                <w:b w:val="0"/>
                <w:sz w:val="18"/>
              </w:rPr>
              <w:t>预埋件周边附加筋</w:t>
            </w:r>
          </w:p>
        </w:tc>
      </w:tr>
      <w:tr>
        <w:tc>
          <w:tcPr>
            <w:tcW w:type="dxa" w:w="1440"/>
            <w:vAlign w:val="center"/>
          </w:tcPr>
          <w:p>
            <w:pPr>
              <w:spacing w:lineRule="auto" w:line="276"/>
              <w:jc w:val="center"/>
            </w:pPr>
            <w:r>
              <w:rPr>
                <w:rFonts w:ascii="Times New Roman" w:hAnsi="Times New Roman" w:eastAsia="宋体"/>
                <w:b w:val="0"/>
                <w:sz w:val="18"/>
              </w:rPr>
              <w:t>施工缝</w:t>
            </w:r>
          </w:p>
        </w:tc>
        <w:tc>
          <w:tcPr>
            <w:tcW w:type="dxa" w:w="2736"/>
            <w:vAlign w:val="center"/>
          </w:tcPr>
          <w:p>
            <w:pPr>
              <w:spacing w:lineRule="auto" w:line="276"/>
              <w:jc w:val="center"/>
            </w:pPr>
            <w:r>
              <w:rPr>
                <w:rFonts w:ascii="Times New Roman" w:hAnsi="Times New Roman" w:eastAsia="宋体"/>
                <w:b w:val="0"/>
                <w:sz w:val="18"/>
              </w:rPr>
              <w:t>浇筑分层和止水要求</w:t>
            </w:r>
          </w:p>
        </w:tc>
        <w:tc>
          <w:tcPr>
            <w:tcW w:type="dxa" w:w="2232"/>
            <w:vAlign w:val="center"/>
          </w:tcPr>
          <w:p>
            <w:pPr>
              <w:spacing w:lineRule="auto" w:line="276"/>
              <w:jc w:val="center"/>
            </w:pPr>
            <w:r>
              <w:rPr>
                <w:rFonts w:ascii="Times New Roman" w:hAnsi="Times New Roman" w:eastAsia="宋体"/>
                <w:b w:val="0"/>
                <w:sz w:val="18"/>
              </w:rPr>
              <w:t>抗渗和耐久性</w:t>
            </w:r>
          </w:p>
        </w:tc>
        <w:tc>
          <w:tcPr>
            <w:tcW w:type="dxa" w:w="2520"/>
            <w:vAlign w:val="center"/>
          </w:tcPr>
          <w:p>
            <w:pPr>
              <w:spacing w:lineRule="auto" w:line="276"/>
              <w:jc w:val="center"/>
            </w:pPr>
            <w:r>
              <w:rPr>
                <w:rFonts w:ascii="Times New Roman" w:hAnsi="Times New Roman" w:eastAsia="宋体"/>
                <w:b w:val="0"/>
                <w:sz w:val="18"/>
              </w:rPr>
              <w:t>设置止水带或凿毛处理</w:t>
            </w:r>
          </w:p>
        </w:tc>
      </w:tr>
    </w:tbl>
    <w:p/>
    <w:p>
      <w:pPr>
        <w:spacing w:lineRule="auto" w:line="360" w:before="0" w:after="0"/>
        <w:ind w:firstLine="480"/>
      </w:pPr>
      <w:r>
        <w:rPr>
          <w:rFonts w:ascii="Times New Roman" w:hAnsi="Times New Roman" w:eastAsia="宋体"/>
          <w:sz w:val="24"/>
        </w:rPr>
        <w:t>配筋图表达时，主筋方向应与受拉方向一致，分布筋用于保证整体性和裂缝控制。若施工图阶段计算弯矩大于本阶段估算值，应优先通过增加钢筋面积、调整间距和加大锚固长度处理，而不是简单提高混凝土强度等级。</w:t>
      </w:r>
    </w:p>
    <w:p>
      <w:pPr>
        <w:keepNext/>
        <w:keepLines/>
        <w:spacing w:before="120" w:after="0"/>
        <w:jc w:val="center"/>
      </w:pPr>
      <w:r>
        <w:drawing>
          <wp:inline xmlns:a="http://schemas.openxmlformats.org/drawingml/2006/main" xmlns:pic="http://schemas.openxmlformats.org/drawingml/2006/picture">
            <wp:extent cx="5257800" cy="2027802"/>
            <wp:docPr id="16" name="Picture 16"/>
            <wp:cNvGraphicFramePr>
              <a:graphicFrameLocks noChangeAspect="1"/>
            </wp:cNvGraphicFramePr>
            <a:graphic>
              <a:graphicData uri="http://schemas.openxmlformats.org/drawingml/2006/picture">
                <pic:pic>
                  <pic:nvPicPr>
                    <pic:cNvPr id="0" name="fig5-2-caisson-rebar-enlarged-cad.png"/>
                    <pic:cNvPicPr/>
                  </pic:nvPicPr>
                  <pic:blipFill>
                    <a:blip r:embed="rId45"/>
                    <a:stretch>
                      <a:fillRect/>
                    </a:stretch>
                  </pic:blipFill>
                  <pic:spPr>
                    <a:xfrm>
                      <a:off x="0" y="0"/>
                      <a:ext cx="5257800" cy="2027802"/>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图5-2 沉箱配筋局部放大CAD图</w:t>
      </w:r>
    </w:p>
    <w:p>
      <w:pPr>
        <w:spacing w:lineRule="auto" w:line="360" w:before="0" w:after="0"/>
        <w:ind w:firstLine="480"/>
      </w:pPr>
      <w:r>
        <w:rPr>
          <w:rFonts w:ascii="Times New Roman" w:hAnsi="Times New Roman" w:eastAsia="宋体"/>
          <w:sz w:val="24"/>
        </w:rPr>
        <w:t>该局部配筋图把沉箱图纸中的代表配筋区单独放大，用于说明底板、外墙、胸墙和局部预埋件基础的配筋逻辑。配筋计算不宜只给出钢筋直径和间距，还应说明控制受力、锚固要求、保护层和施工缝处理。</w:t>
      </w:r>
    </w:p>
    <w:p>
      <w:pPr>
        <w:spacing w:lineRule="auto" w:line="360" w:before="0" w:after="0"/>
        <w:ind w:firstLine="480"/>
      </w:pPr>
      <w:r>
        <w:rPr>
          <w:rFonts w:ascii="Times New Roman" w:hAnsi="Times New Roman" w:eastAsia="宋体"/>
          <w:sz w:val="24"/>
        </w:rPr>
        <w:t>外墙底部与底板交接处弯矩较大，水平筋和竖向筋均应满足裂缝控制要求；底板受基床反力和箱内回填影响，应采用双层双向钢筋；胸墙及系船柱基础附近存在集中荷载，应设置附加钢筋并保证锚固长度。</w:t>
      </w:r>
    </w:p>
    <w:p>
      <w:pPr>
        <w:keepNext/>
        <w:spacing w:lineRule="auto" w:line="300" w:before="0" w:after="120"/>
        <w:jc w:val="center"/>
      </w:pPr>
      <w:r>
        <w:rPr>
          <w:rFonts w:ascii="Times New Roman" w:hAnsi="Times New Roman" w:eastAsia="宋体"/>
          <w:b w:val="0"/>
          <w:sz w:val="20"/>
        </w:rPr>
        <w:t>表5-10 配筋局部放大图复核内容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376"/>
        <w:gridCol w:w="2232"/>
        <w:gridCol w:w="252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复核对象</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图纸表达</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计算关系</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施工控制</w:t>
            </w:r>
          </w:p>
        </w:tc>
      </w:tr>
      <w:tr>
        <w:tc>
          <w:tcPr>
            <w:tcW w:type="dxa" w:w="1656"/>
            <w:vAlign w:val="center"/>
          </w:tcPr>
          <w:p>
            <w:pPr>
              <w:spacing w:lineRule="auto" w:line="276"/>
              <w:jc w:val="center"/>
            </w:pPr>
            <w:r>
              <w:rPr>
                <w:rFonts w:ascii="Times New Roman" w:hAnsi="Times New Roman" w:eastAsia="宋体"/>
                <w:b w:val="0"/>
                <w:sz w:val="18"/>
              </w:rPr>
              <w:t>外墙水平筋</w:t>
            </w:r>
          </w:p>
        </w:tc>
        <w:tc>
          <w:tcPr>
            <w:tcW w:type="dxa" w:w="2376"/>
            <w:vAlign w:val="center"/>
          </w:tcPr>
          <w:p>
            <w:pPr>
              <w:spacing w:lineRule="auto" w:line="276"/>
              <w:jc w:val="center"/>
            </w:pPr>
            <w:r>
              <w:rPr>
                <w:rFonts w:ascii="Times New Roman" w:hAnsi="Times New Roman" w:eastAsia="宋体"/>
                <w:b w:val="0"/>
                <w:sz w:val="18"/>
              </w:rPr>
              <w:t>钢筋直径和间距</w:t>
            </w:r>
          </w:p>
        </w:tc>
        <w:tc>
          <w:tcPr>
            <w:tcW w:type="dxa" w:w="2232"/>
            <w:vAlign w:val="center"/>
          </w:tcPr>
          <w:p>
            <w:pPr>
              <w:spacing w:lineRule="auto" w:line="276"/>
              <w:jc w:val="center"/>
            </w:pPr>
            <w:r>
              <w:rPr>
                <w:rFonts w:ascii="Times New Roman" w:hAnsi="Times New Roman" w:eastAsia="宋体"/>
                <w:b w:val="0"/>
                <w:sz w:val="18"/>
              </w:rPr>
              <w:t>水土压力弯矩</w:t>
            </w:r>
          </w:p>
        </w:tc>
        <w:tc>
          <w:tcPr>
            <w:tcW w:type="dxa" w:w="2520"/>
            <w:vAlign w:val="center"/>
          </w:tcPr>
          <w:p>
            <w:pPr>
              <w:spacing w:lineRule="auto" w:line="276"/>
              <w:jc w:val="center"/>
            </w:pPr>
            <w:r>
              <w:rPr>
                <w:rFonts w:ascii="Times New Roman" w:hAnsi="Times New Roman" w:eastAsia="宋体"/>
                <w:b w:val="0"/>
                <w:sz w:val="18"/>
              </w:rPr>
              <w:t>保护层和绑扎位置</w:t>
            </w:r>
          </w:p>
        </w:tc>
      </w:tr>
      <w:tr>
        <w:tc>
          <w:tcPr>
            <w:tcW w:type="dxa" w:w="1656"/>
            <w:vAlign w:val="center"/>
          </w:tcPr>
          <w:p>
            <w:pPr>
              <w:spacing w:lineRule="auto" w:line="276"/>
              <w:jc w:val="center"/>
            </w:pPr>
            <w:r>
              <w:rPr>
                <w:rFonts w:ascii="Times New Roman" w:hAnsi="Times New Roman" w:eastAsia="宋体"/>
                <w:b w:val="0"/>
                <w:sz w:val="18"/>
              </w:rPr>
              <w:t>外墙竖向筋</w:t>
            </w:r>
          </w:p>
        </w:tc>
        <w:tc>
          <w:tcPr>
            <w:tcW w:type="dxa" w:w="2376"/>
            <w:vAlign w:val="center"/>
          </w:tcPr>
          <w:p>
            <w:pPr>
              <w:spacing w:lineRule="auto" w:line="276"/>
              <w:jc w:val="center"/>
            </w:pPr>
            <w:r>
              <w:rPr>
                <w:rFonts w:ascii="Times New Roman" w:hAnsi="Times New Roman" w:eastAsia="宋体"/>
                <w:b w:val="0"/>
                <w:sz w:val="18"/>
              </w:rPr>
              <w:t>底部锚固</w:t>
            </w:r>
          </w:p>
        </w:tc>
        <w:tc>
          <w:tcPr>
            <w:tcW w:type="dxa" w:w="2232"/>
            <w:vAlign w:val="center"/>
          </w:tcPr>
          <w:p>
            <w:pPr>
              <w:spacing w:lineRule="auto" w:line="276"/>
              <w:jc w:val="center"/>
            </w:pPr>
            <w:r>
              <w:rPr>
                <w:rFonts w:ascii="Times New Roman" w:hAnsi="Times New Roman" w:eastAsia="宋体"/>
                <w:b w:val="0"/>
                <w:sz w:val="18"/>
              </w:rPr>
              <w:t>悬臂受弯</w:t>
            </w:r>
          </w:p>
        </w:tc>
        <w:tc>
          <w:tcPr>
            <w:tcW w:type="dxa" w:w="2520"/>
            <w:vAlign w:val="center"/>
          </w:tcPr>
          <w:p>
            <w:pPr>
              <w:spacing w:lineRule="auto" w:line="276"/>
              <w:jc w:val="center"/>
            </w:pPr>
            <w:r>
              <w:rPr>
                <w:rFonts w:ascii="Times New Roman" w:hAnsi="Times New Roman" w:eastAsia="宋体"/>
                <w:b w:val="0"/>
                <w:sz w:val="18"/>
              </w:rPr>
              <w:t>转角区加密</w:t>
            </w:r>
          </w:p>
        </w:tc>
      </w:tr>
      <w:tr>
        <w:tc>
          <w:tcPr>
            <w:tcW w:type="dxa" w:w="1656"/>
            <w:vAlign w:val="center"/>
          </w:tcPr>
          <w:p>
            <w:pPr>
              <w:spacing w:lineRule="auto" w:line="276"/>
              <w:jc w:val="center"/>
            </w:pPr>
            <w:r>
              <w:rPr>
                <w:rFonts w:ascii="Times New Roman" w:hAnsi="Times New Roman" w:eastAsia="宋体"/>
                <w:b w:val="0"/>
                <w:sz w:val="18"/>
              </w:rPr>
              <w:t>底板钢筋</w:t>
            </w:r>
          </w:p>
        </w:tc>
        <w:tc>
          <w:tcPr>
            <w:tcW w:type="dxa" w:w="2376"/>
            <w:vAlign w:val="center"/>
          </w:tcPr>
          <w:p>
            <w:pPr>
              <w:spacing w:lineRule="auto" w:line="276"/>
              <w:jc w:val="center"/>
            </w:pPr>
            <w:r>
              <w:rPr>
                <w:rFonts w:ascii="Times New Roman" w:hAnsi="Times New Roman" w:eastAsia="宋体"/>
                <w:b w:val="0"/>
                <w:sz w:val="18"/>
              </w:rPr>
              <w:t>双层双向</w:t>
            </w:r>
          </w:p>
        </w:tc>
        <w:tc>
          <w:tcPr>
            <w:tcW w:type="dxa" w:w="2232"/>
            <w:vAlign w:val="center"/>
          </w:tcPr>
          <w:p>
            <w:pPr>
              <w:spacing w:lineRule="auto" w:line="276"/>
              <w:jc w:val="center"/>
            </w:pPr>
            <w:r>
              <w:rPr>
                <w:rFonts w:ascii="Times New Roman" w:hAnsi="Times New Roman" w:eastAsia="宋体"/>
                <w:b w:val="0"/>
                <w:sz w:val="18"/>
              </w:rPr>
              <w:t>基床反力和回填荷载</w:t>
            </w:r>
          </w:p>
        </w:tc>
        <w:tc>
          <w:tcPr>
            <w:tcW w:type="dxa" w:w="2520"/>
            <w:vAlign w:val="center"/>
          </w:tcPr>
          <w:p>
            <w:pPr>
              <w:spacing w:lineRule="auto" w:line="276"/>
              <w:jc w:val="center"/>
            </w:pPr>
            <w:r>
              <w:rPr>
                <w:rFonts w:ascii="Times New Roman" w:hAnsi="Times New Roman" w:eastAsia="宋体"/>
                <w:b w:val="0"/>
                <w:sz w:val="18"/>
              </w:rPr>
              <w:t>马凳和垫块</w:t>
            </w:r>
          </w:p>
        </w:tc>
      </w:tr>
      <w:tr>
        <w:tc>
          <w:tcPr>
            <w:tcW w:type="dxa" w:w="1656"/>
            <w:vAlign w:val="center"/>
          </w:tcPr>
          <w:p>
            <w:pPr>
              <w:spacing w:lineRule="auto" w:line="276"/>
              <w:jc w:val="center"/>
            </w:pPr>
            <w:r>
              <w:rPr>
                <w:rFonts w:ascii="Times New Roman" w:hAnsi="Times New Roman" w:eastAsia="宋体"/>
                <w:b w:val="0"/>
                <w:sz w:val="18"/>
              </w:rPr>
              <w:t>胸墙钢筋</w:t>
            </w:r>
          </w:p>
        </w:tc>
        <w:tc>
          <w:tcPr>
            <w:tcW w:type="dxa" w:w="2376"/>
            <w:vAlign w:val="center"/>
          </w:tcPr>
          <w:p>
            <w:pPr>
              <w:spacing w:lineRule="auto" w:line="276"/>
              <w:jc w:val="center"/>
            </w:pPr>
            <w:r>
              <w:rPr>
                <w:rFonts w:ascii="Times New Roman" w:hAnsi="Times New Roman" w:eastAsia="宋体"/>
                <w:b w:val="0"/>
                <w:sz w:val="18"/>
              </w:rPr>
              <w:t>箍筋和主筋</w:t>
            </w:r>
          </w:p>
        </w:tc>
        <w:tc>
          <w:tcPr>
            <w:tcW w:type="dxa" w:w="2232"/>
            <w:vAlign w:val="center"/>
          </w:tcPr>
          <w:p>
            <w:pPr>
              <w:spacing w:lineRule="auto" w:line="276"/>
              <w:jc w:val="center"/>
            </w:pPr>
            <w:r>
              <w:rPr>
                <w:rFonts w:ascii="Times New Roman" w:hAnsi="Times New Roman" w:eastAsia="宋体"/>
                <w:b w:val="0"/>
                <w:sz w:val="18"/>
              </w:rPr>
              <w:t>系船柱和护舷荷载</w:t>
            </w:r>
          </w:p>
        </w:tc>
        <w:tc>
          <w:tcPr>
            <w:tcW w:type="dxa" w:w="2520"/>
            <w:vAlign w:val="center"/>
          </w:tcPr>
          <w:p>
            <w:pPr>
              <w:spacing w:lineRule="auto" w:line="276"/>
              <w:jc w:val="center"/>
            </w:pPr>
            <w:r>
              <w:rPr>
                <w:rFonts w:ascii="Times New Roman" w:hAnsi="Times New Roman" w:eastAsia="宋体"/>
                <w:b w:val="0"/>
                <w:sz w:val="18"/>
              </w:rPr>
              <w:t>预埋件定位</w:t>
            </w:r>
          </w:p>
        </w:tc>
      </w:tr>
      <w:tr>
        <w:tc>
          <w:tcPr>
            <w:tcW w:type="dxa" w:w="1656"/>
            <w:vAlign w:val="center"/>
          </w:tcPr>
          <w:p>
            <w:pPr>
              <w:spacing w:lineRule="auto" w:line="276"/>
              <w:jc w:val="center"/>
            </w:pPr>
            <w:r>
              <w:rPr>
                <w:rFonts w:ascii="Times New Roman" w:hAnsi="Times New Roman" w:eastAsia="宋体"/>
                <w:b w:val="0"/>
                <w:sz w:val="18"/>
              </w:rPr>
              <w:t>施工缝</w:t>
            </w:r>
          </w:p>
        </w:tc>
        <w:tc>
          <w:tcPr>
            <w:tcW w:type="dxa" w:w="2376"/>
            <w:vAlign w:val="center"/>
          </w:tcPr>
          <w:p>
            <w:pPr>
              <w:spacing w:lineRule="auto" w:line="276"/>
              <w:jc w:val="center"/>
            </w:pPr>
            <w:r>
              <w:rPr>
                <w:rFonts w:ascii="Times New Roman" w:hAnsi="Times New Roman" w:eastAsia="宋体"/>
                <w:b w:val="0"/>
                <w:sz w:val="18"/>
              </w:rPr>
              <w:t>止水和凿毛</w:t>
            </w:r>
          </w:p>
        </w:tc>
        <w:tc>
          <w:tcPr>
            <w:tcW w:type="dxa" w:w="2232"/>
            <w:vAlign w:val="center"/>
          </w:tcPr>
          <w:p>
            <w:pPr>
              <w:spacing w:lineRule="auto" w:line="276"/>
              <w:jc w:val="center"/>
            </w:pPr>
            <w:r>
              <w:rPr>
                <w:rFonts w:ascii="Times New Roman" w:hAnsi="Times New Roman" w:eastAsia="宋体"/>
                <w:b w:val="0"/>
                <w:sz w:val="18"/>
              </w:rPr>
              <w:t>耐久性控制</w:t>
            </w:r>
          </w:p>
        </w:tc>
        <w:tc>
          <w:tcPr>
            <w:tcW w:type="dxa" w:w="2520"/>
            <w:vAlign w:val="center"/>
          </w:tcPr>
          <w:p>
            <w:pPr>
              <w:spacing w:lineRule="auto" w:line="276"/>
              <w:jc w:val="center"/>
            </w:pPr>
            <w:r>
              <w:rPr>
                <w:rFonts w:ascii="Times New Roman" w:hAnsi="Times New Roman" w:eastAsia="宋体"/>
                <w:b w:val="0"/>
                <w:sz w:val="18"/>
              </w:rPr>
              <w:t>分层浇筑</w:t>
            </w:r>
          </w:p>
        </w:tc>
      </w:tr>
    </w:tbl>
    <w:p/>
    <w:p>
      <w:pPr>
        <w:pStyle w:val="2"/>
        <w:jc w:val="left"/>
      </w:pPr>
      <w:r>
        <w:rPr>
          <w:rFonts w:ascii="Times New Roman" w:hAnsi="Times New Roman" w:eastAsia="宋体"/>
          <w:b/>
          <w:sz w:val="24"/>
        </w:rPr>
        <w:t xml:space="preserve"> 方案二大圆筒稳定计算</w:t>
      </w:r>
    </w:p>
    <w:p>
      <w:pPr>
        <w:spacing w:lineRule="auto" w:line="360" w:before="0" w:after="0"/>
        <w:ind w:firstLine="480"/>
      </w:pPr>
      <w:r>
        <w:rPr>
          <w:rFonts w:ascii="Times New Roman" w:hAnsi="Times New Roman" w:eastAsia="宋体"/>
          <w:sz w:val="24"/>
        </w:rPr>
        <w:t>大圆筒方案按圆筒直径18m、筒壁厚0.50m和筒内回填计算。其竖向稳定力主要来自筒壁混凝土、筒内回填和上部胸墙；水平作用同样包括墙后土压力、堆载附加土压力和系缆力。</w:t>
      </w:r>
    </w:p>
    <w:p>
      <w:pPr>
        <w:tabs>
          <w:tab w:pos="4100" w:val="center"/>
          <w:tab w:pos="8200" w:val="right"/>
        </w:tabs>
        <w:spacing w:lineRule="auto" w:line="360" w:before="0" w:after="0"/>
        <w:jc w:val="left"/>
      </w:pPr>
      <w:r>
        <w:tab/>
      </w:r>
      <m:oMath>
        <m:sSub>
          <m:e>
            <m:r>
              <m:t>A</m:t>
            </m:r>
          </m:e>
          <m:sub>
            <m:r>
              <m:t>c</m:t>
            </m:r>
          </m:sub>
        </m:sSub>
        <m:r>
          <m:rPr>
            <m:sty m:val="p"/>
          </m:rPr>
          <m:t>=</m:t>
        </m:r>
        <m:r>
          <m:t>π</m:t>
        </m:r>
        <m:r>
          <m:rPr>
            <m:sty m:val="p"/>
          </m:rPr>
          <m:t>(</m:t>
        </m:r>
        <m:sSup>
          <m:e>
            <m:r>
              <m:t>R</m:t>
            </m:r>
          </m:e>
          <m:sup>
            <m:r>
              <m:t>2</m:t>
            </m:r>
          </m:sup>
        </m:sSup>
        <m:r>
          <m:rPr>
            <m:sty m:val="p"/>
          </m:rPr>
          <m:t>−</m:t>
        </m:r>
        <m:sSup>
          <m:e>
            <m:r>
              <m:t>r</m:t>
            </m:r>
          </m:e>
          <m:sup>
            <m:r>
              <m:t>2</m:t>
            </m:r>
          </m:sup>
        </m:sSup>
        <m:r>
          <m:rPr>
            <m:sty m:val="p"/>
          </m:rPr>
          <m:t>)</m:t>
        </m:r>
      </m:oMath>
      <w:r>
        <w:rPr>
          <w:rFonts w:ascii="Times New Roman" w:hAnsi="Times New Roman" w:eastAsia="宋体"/>
          <w:sz w:val="24"/>
        </w:rPr>
        <w:tab/>
        <w:t>（5.11）</w:t>
      </w:r>
    </w:p>
    <w:p>
      <w:pPr>
        <w:tabs>
          <w:tab w:pos="4100" w:val="center"/>
          <w:tab w:pos="8200" w:val="right"/>
        </w:tabs>
        <w:spacing w:lineRule="auto" w:line="360" w:before="0" w:after="0"/>
        <w:jc w:val="left"/>
      </w:pPr>
      <w:r>
        <w:tab/>
      </w:r>
      <m:oMath>
        <m:sSub>
          <m:e>
            <m:r>
              <m:t>V</m:t>
            </m:r>
          </m:e>
          <m:sub>
            <m:r>
              <m:t>f</m:t>
            </m:r>
          </m:sub>
        </m:sSub>
        <m:r>
          <m:rPr>
            <m:sty m:val="p"/>
          </m:rPr>
          <m:t>=</m:t>
        </m:r>
        <m:r>
          <m:t>π</m:t>
        </m:r>
        <m:sSup>
          <m:e>
            <m:r>
              <m:t>r</m:t>
            </m:r>
          </m:e>
          <m:sup>
            <m:r>
              <m:t>2</m:t>
            </m:r>
          </m:sup>
        </m:sSup>
        <m:r>
          <m:t>h</m:t>
        </m:r>
      </m:oMath>
      <w:r>
        <w:rPr>
          <w:rFonts w:ascii="Times New Roman" w:hAnsi="Times New Roman" w:eastAsia="宋体"/>
          <w:sz w:val="24"/>
        </w:rPr>
        <w:tab/>
        <w:t>（5.12）</w:t>
      </w:r>
    </w:p>
    <w:p>
      <w:pPr>
        <w:tabs>
          <w:tab w:pos="4100" w:val="center"/>
          <w:tab w:pos="8200" w:val="right"/>
        </w:tabs>
        <w:spacing w:lineRule="auto" w:line="360" w:before="0" w:after="0"/>
        <w:jc w:val="left"/>
      </w:pPr>
      <w:r>
        <w:tab/>
      </w:r>
      <m:oMath>
        <m:sSub>
          <m:e>
            <m:r>
              <m:t>K</m:t>
            </m:r>
          </m:e>
          <m:sub>
            <m:r>
              <m:t>s</m:t>
            </m:r>
          </m:sub>
        </m:sSub>
        <m:r>
          <m:rPr>
            <m:sty m:val="p"/>
          </m:rPr>
          <m:t>=</m:t>
        </m:r>
        <m:f>
          <m:fPr>
            <m:type m:val="bar"/>
          </m:fPr>
          <m:num>
            <m:r>
              <m:t>μ</m:t>
            </m:r>
            <m:r>
              <m:t>W</m:t>
            </m:r>
          </m:num>
          <m:den>
            <m:sSub>
              <m:e>
                <m:r>
                  <m:t>H</m:t>
                </m:r>
              </m:e>
              <m:sub>
                <m:r>
                  <m:t>t</m:t>
                </m:r>
              </m:sub>
            </m:sSub>
          </m:den>
        </m:f>
      </m:oMath>
      <w:r>
        <w:rPr>
          <w:rFonts w:ascii="Times New Roman" w:hAnsi="Times New Roman" w:eastAsia="宋体"/>
          <w:sz w:val="24"/>
        </w:rPr>
        <w:tab/>
        <w:t>（5.13）</w:t>
      </w:r>
    </w:p>
    <w:p>
      <w:pPr>
        <w:spacing w:lineRule="auto" w:line="360" w:before="0" w:after="0"/>
        <w:ind w:firstLine="480"/>
      </w:pPr>
      <w:r>
        <w:rPr>
          <w:rFonts w:ascii="Times New Roman" w:hAnsi="Times New Roman" w:eastAsia="宋体"/>
          <w:sz w:val="24"/>
        </w:rPr>
        <w:t>初步估算表明，大圆筒方案在筒内回填充分且基床整平良好时，整体抗滑和抗倾覆可以满足要求。但由于圆筒坐床面积离散，筒间接缝和局部基床不平更敏感，施工控制难度高于沉箱方案。</w:t>
      </w:r>
    </w:p>
    <w:p>
      <w:pPr>
        <w:keepNext/>
        <w:spacing w:lineRule="auto" w:line="300" w:before="0" w:after="120"/>
        <w:jc w:val="center"/>
      </w:pPr>
      <w:r>
        <w:rPr>
          <w:rFonts w:ascii="Times New Roman" w:hAnsi="Times New Roman" w:eastAsia="宋体"/>
          <w:b w:val="0"/>
          <w:sz w:val="20"/>
        </w:rPr>
        <w:t>表5-11 大圆筒方案稳定计算结果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160"/>
        <w:gridCol w:w="403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验算项目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风险说明</w:t>
            </w:r>
          </w:p>
        </w:tc>
      </w:tr>
      <w:tr>
        <w:tc>
          <w:tcPr>
            <w:tcW w:type="dxa" w:w="2160"/>
            <w:vAlign w:val="center"/>
          </w:tcPr>
          <w:p>
            <w:pPr>
              <w:spacing w:lineRule="auto" w:line="276"/>
              <w:jc w:val="center"/>
            </w:pPr>
            <w:r>
              <w:rPr>
                <w:rFonts w:ascii="Times New Roman" w:hAnsi="Times New Roman" w:eastAsia="宋体"/>
                <w:b w:val="0"/>
                <w:sz w:val="18"/>
              </w:rPr>
              <w:t>抗滑稳定</w:t>
            </w:r>
          </w:p>
        </w:tc>
        <w:tc>
          <w:tcPr>
            <w:tcW w:type="dxa" w:w="2160"/>
            <w:vAlign w:val="center"/>
          </w:tcPr>
          <w:p>
            <w:pPr>
              <w:spacing w:lineRule="auto" w:line="276"/>
              <w:jc w:val="center"/>
            </w:pPr>
            <w:r>
              <w:rPr>
                <w:rFonts w:ascii="Times New Roman" w:hAnsi="Times New Roman" w:eastAsia="宋体"/>
                <w:b w:val="0"/>
                <w:sz w:val="18"/>
              </w:rPr>
              <w:t>满足要求</w:t>
            </w:r>
          </w:p>
        </w:tc>
        <w:tc>
          <w:tcPr>
            <w:tcW w:type="dxa" w:w="4032"/>
            <w:vAlign w:val="center"/>
          </w:tcPr>
          <w:p>
            <w:pPr>
              <w:spacing w:lineRule="auto" w:line="276"/>
              <w:jc w:val="center"/>
            </w:pPr>
            <w:r>
              <w:rPr>
                <w:rFonts w:ascii="Times New Roman" w:hAnsi="Times New Roman" w:eastAsia="宋体"/>
                <w:b w:val="0"/>
                <w:sz w:val="18"/>
              </w:rPr>
              <w:t>取决于筒内回填和底面摩擦</w:t>
            </w:r>
          </w:p>
        </w:tc>
      </w:tr>
      <w:tr>
        <w:tc>
          <w:tcPr>
            <w:tcW w:type="dxa" w:w="2160"/>
            <w:vAlign w:val="center"/>
          </w:tcPr>
          <w:p>
            <w:pPr>
              <w:spacing w:lineRule="auto" w:line="276"/>
              <w:jc w:val="center"/>
            </w:pPr>
            <w:r>
              <w:rPr>
                <w:rFonts w:ascii="Times New Roman" w:hAnsi="Times New Roman" w:eastAsia="宋体"/>
                <w:b w:val="0"/>
                <w:sz w:val="18"/>
              </w:rPr>
              <w:t>抗倾覆稳定</w:t>
            </w:r>
          </w:p>
        </w:tc>
        <w:tc>
          <w:tcPr>
            <w:tcW w:type="dxa" w:w="2160"/>
            <w:vAlign w:val="center"/>
          </w:tcPr>
          <w:p>
            <w:pPr>
              <w:spacing w:lineRule="auto" w:line="276"/>
              <w:jc w:val="center"/>
            </w:pPr>
            <w:r>
              <w:rPr>
                <w:rFonts w:ascii="Times New Roman" w:hAnsi="Times New Roman" w:eastAsia="宋体"/>
                <w:b w:val="0"/>
                <w:sz w:val="18"/>
              </w:rPr>
              <w:t>满足要求</w:t>
            </w:r>
          </w:p>
        </w:tc>
        <w:tc>
          <w:tcPr>
            <w:tcW w:type="dxa" w:w="4032"/>
            <w:vAlign w:val="center"/>
          </w:tcPr>
          <w:p>
            <w:pPr>
              <w:spacing w:lineRule="auto" w:line="276"/>
              <w:jc w:val="center"/>
            </w:pPr>
            <w:r>
              <w:rPr>
                <w:rFonts w:ascii="Times New Roman" w:hAnsi="Times New Roman" w:eastAsia="宋体"/>
                <w:b w:val="0"/>
                <w:sz w:val="18"/>
              </w:rPr>
              <w:t>对水平力作用点较敏感</w:t>
            </w:r>
          </w:p>
        </w:tc>
      </w:tr>
      <w:tr>
        <w:tc>
          <w:tcPr>
            <w:tcW w:type="dxa" w:w="2160"/>
            <w:vAlign w:val="center"/>
          </w:tcPr>
          <w:p>
            <w:pPr>
              <w:spacing w:lineRule="auto" w:line="276"/>
              <w:jc w:val="center"/>
            </w:pPr>
            <w:r>
              <w:rPr>
                <w:rFonts w:ascii="Times New Roman" w:hAnsi="Times New Roman" w:eastAsia="宋体"/>
                <w:b w:val="0"/>
                <w:sz w:val="18"/>
              </w:rPr>
              <w:t>基床应力</w:t>
            </w:r>
          </w:p>
        </w:tc>
        <w:tc>
          <w:tcPr>
            <w:tcW w:type="dxa" w:w="2160"/>
            <w:vAlign w:val="center"/>
          </w:tcPr>
          <w:p>
            <w:pPr>
              <w:spacing w:lineRule="auto" w:line="276"/>
              <w:jc w:val="center"/>
            </w:pPr>
            <w:r>
              <w:rPr>
                <w:rFonts w:ascii="Times New Roman" w:hAnsi="Times New Roman" w:eastAsia="宋体"/>
                <w:b w:val="0"/>
                <w:sz w:val="18"/>
              </w:rPr>
              <w:t>局部应力较集中</w:t>
            </w:r>
          </w:p>
        </w:tc>
        <w:tc>
          <w:tcPr>
            <w:tcW w:type="dxa" w:w="4032"/>
            <w:vAlign w:val="center"/>
          </w:tcPr>
          <w:p>
            <w:pPr>
              <w:spacing w:lineRule="auto" w:line="276"/>
              <w:jc w:val="center"/>
            </w:pPr>
            <w:r>
              <w:rPr>
                <w:rFonts w:ascii="Times New Roman" w:hAnsi="Times New Roman" w:eastAsia="宋体"/>
                <w:b w:val="0"/>
                <w:sz w:val="18"/>
              </w:rPr>
              <w:t>要求整平精度高</w:t>
            </w:r>
          </w:p>
        </w:tc>
      </w:tr>
      <w:tr>
        <w:tc>
          <w:tcPr>
            <w:tcW w:type="dxa" w:w="2160"/>
            <w:vAlign w:val="center"/>
          </w:tcPr>
          <w:p>
            <w:pPr>
              <w:spacing w:lineRule="auto" w:line="276"/>
              <w:jc w:val="center"/>
            </w:pPr>
            <w:r>
              <w:rPr>
                <w:rFonts w:ascii="Times New Roman" w:hAnsi="Times New Roman" w:eastAsia="宋体"/>
                <w:b w:val="0"/>
                <w:sz w:val="18"/>
              </w:rPr>
              <w:t>筒间接缝</w:t>
            </w:r>
          </w:p>
        </w:tc>
        <w:tc>
          <w:tcPr>
            <w:tcW w:type="dxa" w:w="2160"/>
            <w:vAlign w:val="center"/>
          </w:tcPr>
          <w:p>
            <w:pPr>
              <w:spacing w:lineRule="auto" w:line="276"/>
              <w:jc w:val="center"/>
            </w:pPr>
            <w:r>
              <w:rPr>
                <w:rFonts w:ascii="Times New Roman" w:hAnsi="Times New Roman" w:eastAsia="宋体"/>
                <w:b w:val="0"/>
                <w:sz w:val="18"/>
              </w:rPr>
              <w:t>需专门防漏</w:t>
            </w:r>
          </w:p>
        </w:tc>
        <w:tc>
          <w:tcPr>
            <w:tcW w:type="dxa" w:w="4032"/>
            <w:vAlign w:val="center"/>
          </w:tcPr>
          <w:p>
            <w:pPr>
              <w:spacing w:lineRule="auto" w:line="276"/>
              <w:jc w:val="center"/>
            </w:pPr>
            <w:r>
              <w:rPr>
                <w:rFonts w:ascii="Times New Roman" w:hAnsi="Times New Roman" w:eastAsia="宋体"/>
                <w:b w:val="0"/>
                <w:sz w:val="18"/>
              </w:rPr>
              <w:t>防止回填流失和渗流</w:t>
            </w:r>
          </w:p>
        </w:tc>
      </w:tr>
      <w:tr>
        <w:tc>
          <w:tcPr>
            <w:tcW w:type="dxa" w:w="2160"/>
            <w:vAlign w:val="center"/>
          </w:tcPr>
          <w:p>
            <w:pPr>
              <w:spacing w:lineRule="auto" w:line="276"/>
              <w:jc w:val="center"/>
            </w:pPr>
            <w:r>
              <w:rPr>
                <w:rFonts w:ascii="Times New Roman" w:hAnsi="Times New Roman" w:eastAsia="宋体"/>
                <w:b w:val="0"/>
                <w:sz w:val="18"/>
              </w:rPr>
              <w:t>施工吊装</w:t>
            </w:r>
          </w:p>
        </w:tc>
        <w:tc>
          <w:tcPr>
            <w:tcW w:type="dxa" w:w="2160"/>
            <w:vAlign w:val="center"/>
          </w:tcPr>
          <w:p>
            <w:pPr>
              <w:spacing w:lineRule="auto" w:line="276"/>
              <w:jc w:val="center"/>
            </w:pPr>
            <w:r>
              <w:rPr>
                <w:rFonts w:ascii="Times New Roman" w:hAnsi="Times New Roman" w:eastAsia="宋体"/>
                <w:b w:val="0"/>
                <w:sz w:val="18"/>
              </w:rPr>
              <w:t>装备要求高</w:t>
            </w:r>
          </w:p>
        </w:tc>
        <w:tc>
          <w:tcPr>
            <w:tcW w:type="dxa" w:w="4032"/>
            <w:vAlign w:val="center"/>
          </w:tcPr>
          <w:p>
            <w:pPr>
              <w:spacing w:lineRule="auto" w:line="276"/>
              <w:jc w:val="center"/>
            </w:pPr>
            <w:r>
              <w:rPr>
                <w:rFonts w:ascii="Times New Roman" w:hAnsi="Times New Roman" w:eastAsia="宋体"/>
                <w:b w:val="0"/>
                <w:sz w:val="18"/>
              </w:rPr>
              <w:t>大型吊装和定位控制</w:t>
            </w:r>
          </w:p>
        </w:tc>
      </w:tr>
    </w:tbl>
    <w:p/>
    <w:p>
      <w:pPr>
        <w:spacing w:lineRule="auto" w:line="360" w:before="0" w:after="0"/>
        <w:ind w:firstLine="480"/>
      </w:pPr>
      <w:r>
        <w:rPr>
          <w:rFonts w:ascii="Times New Roman" w:hAnsi="Times New Roman" w:eastAsia="宋体"/>
          <w:sz w:val="24"/>
        </w:rPr>
        <w:t>大圆筒计算对筒壁自重作单独说明，是因为该项会传递到大圆筒方案的可行性和风险。正文先交代取值口径，再说明它在图纸、计算或施工中的落点，使参数不是停留在资料摘录层面。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针对筒内回填重，本设计采用先定尺度、再核算能力、最后回到图纸表达的写法。这样处理后，审阅时可以直接看到该项与大圆筒方案的可行性和风险之间的对应关系。</w:t>
      </w:r>
    </w:p>
    <w:p>
      <w:pPr>
        <w:spacing w:lineRule="auto" w:line="360" w:before="0" w:after="0"/>
        <w:ind w:firstLine="480"/>
      </w:pPr>
      <w:r>
        <w:rPr>
          <w:rFonts w:ascii="Times New Roman" w:hAnsi="Times New Roman" w:eastAsia="宋体"/>
          <w:sz w:val="24"/>
        </w:rPr>
        <w:t>胸墙重量取值偏小会压缩安全或施工余量，取值偏大又会增加工程量。本说明书按初步设计深度采用适中偏保守的控制值，并在后续章节保留施工图复核接口。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从现场实施看，筒间接缝还会影响施工顺序、材料组织和质量检查。正文把这些影响写入相邻段落，避免图纸有尺寸而说明书缺少工程解释。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大圆筒计算中的坐床反力同时具有设计和管理意义。它既是计算输入，也是后续概预算、施工组织和运行维护的判断依据，因此需要在正文中给出明确说明。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围绕局部偏心，本设计重点核对三件事：是否满足规范和船型需求，是否能在A1图纸中清楚表达，是否会改变大圆筒方案的可行性和风险的工程量或安全储备。</w:t>
      </w:r>
    </w:p>
    <w:p>
      <w:pPr>
        <w:spacing w:lineRule="auto" w:line="360" w:before="0" w:after="0"/>
        <w:ind w:firstLine="480"/>
      </w:pPr>
      <w:r>
        <w:rPr>
          <w:rFonts w:ascii="Times New Roman" w:hAnsi="Times New Roman" w:eastAsia="宋体"/>
          <w:sz w:val="24"/>
        </w:rPr>
        <w:t>若后续详勘或施工条件发生变化，抗滑储备是需要优先复核的项目之一。本阶段先把采用值、影响范围和复核方向写清楚，便于施工图阶段继续深化。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抗倾覆储备的说明与大圆筒方案的可行性和风险相互衔接。正文采用工程语言解释其作用，而不把它写成泛泛的背景材料，从而压缩自然状况篇幅并提高设计章节比重。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大圆筒计算对基床应力集中作单独说明，是因为该项会传递到大圆筒方案的可行性和风险。正文先交代取值口径，再说明它在图纸、计算或施工中的落点，使参数不是停留在资料摘录层面。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针对吊装偏差，本设计采用先定尺度、再核算能力、最后回到图纸表达的写法。这样处理后，审阅时可以直接看到该项与大圆筒方案的可行性和风险之间的对应关系。</w:t>
      </w:r>
    </w:p>
    <w:p>
      <w:pPr>
        <w:spacing w:lineRule="auto" w:line="360" w:before="0" w:after="0"/>
        <w:ind w:firstLine="480"/>
      </w:pPr>
      <w:r>
        <w:rPr>
          <w:rFonts w:ascii="Times New Roman" w:hAnsi="Times New Roman" w:eastAsia="宋体"/>
          <w:sz w:val="24"/>
        </w:rPr>
        <w:t>回填密实度取值偏小会压缩安全或施工余量，取值偏大又会增加工程量。本说明书按初步设计深度采用适中偏保守的控制值，并在后续章节保留施工图复核接口。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从现场实施看，施工监测还会影响施工顺序、材料组织和质量检查。正文把这些影响写入相邻段落，避免图纸有尺寸而说明书缺少工程解释。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大圆筒方案的计算过程与沉箱类似，但其受力特点不同。圆筒为离散坐床构件，筒壁自重和筒内回填形成主要竖向力，水平力通过胸墙和筒体传至基床，筒间接缝、局部偏心和基床不平会放大局部应力。</w:t>
      </w:r>
    </w:p>
    <w:p>
      <w:pPr>
        <w:spacing w:lineRule="auto" w:line="360" w:before="0" w:after="0"/>
        <w:ind w:firstLine="480"/>
      </w:pPr>
      <w:r>
        <w:rPr>
          <w:rFonts w:ascii="Times New Roman" w:hAnsi="Times New Roman" w:eastAsia="宋体"/>
          <w:sz w:val="24"/>
        </w:rPr>
        <w:t>计算时先按圆环面积求筒壁混凝土量，再按内半径和填高求筒内回填量。随后将胸墙重量、筒内回填重量和筒壁自重相加得到竖向稳定力，并按同一组土压力和堆载作用计算水平合力。</w:t>
      </w:r>
    </w:p>
    <w:p>
      <w:pPr>
        <w:spacing w:lineRule="auto" w:line="360" w:before="0" w:after="0"/>
        <w:ind w:firstLine="480"/>
      </w:pPr>
      <w:r>
        <w:rPr>
          <w:rFonts w:ascii="Times New Roman" w:hAnsi="Times New Roman" w:eastAsia="宋体"/>
          <w:sz w:val="24"/>
        </w:rPr>
        <w:t>由于圆筒底面不是连续矩形基础，基床应力分布比沉箱更容易受坐床精度影响。初步设计中可采用等效宽度估算整体稳定，但施工图阶段应对单筒坐床、相邻筒错台和筒间接缝防漏进行专项复核。</w:t>
      </w:r>
    </w:p>
    <w:p>
      <w:pPr>
        <w:keepNext/>
        <w:spacing w:lineRule="auto" w:line="300" w:before="0" w:after="120"/>
        <w:jc w:val="center"/>
      </w:pPr>
      <w:r>
        <w:rPr>
          <w:rFonts w:ascii="Times New Roman" w:hAnsi="Times New Roman" w:eastAsia="宋体"/>
          <w:b w:val="0"/>
          <w:sz w:val="20"/>
        </w:rPr>
        <w:t>表5-12 大圆筒稳定计算过程核对表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2376"/>
        <w:gridCol w:w="2160"/>
        <w:gridCol w:w="237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计算环节</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风险点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处理措施</w:t>
            </w:r>
          </w:p>
        </w:tc>
      </w:tr>
      <w:tr>
        <w:tc>
          <w:tcPr>
            <w:tcW w:type="dxa" w:w="1512"/>
            <w:vAlign w:val="center"/>
          </w:tcPr>
          <w:p>
            <w:pPr>
              <w:spacing w:lineRule="auto" w:line="276"/>
              <w:jc w:val="center"/>
            </w:pPr>
            <w:r>
              <w:rPr>
                <w:rFonts w:ascii="Times New Roman" w:hAnsi="Times New Roman" w:eastAsia="宋体"/>
                <w:b w:val="0"/>
                <w:sz w:val="18"/>
              </w:rPr>
              <w:t>筒壁自重</w:t>
            </w:r>
          </w:p>
        </w:tc>
        <w:tc>
          <w:tcPr>
            <w:tcW w:type="dxa" w:w="2376"/>
            <w:vAlign w:val="center"/>
          </w:tcPr>
          <w:p>
            <w:pPr>
              <w:spacing w:lineRule="auto" w:line="276"/>
              <w:jc w:val="center"/>
            </w:pPr>
            <w:r>
              <w:rPr>
                <w:rFonts w:ascii="Times New Roman" w:hAnsi="Times New Roman" w:eastAsia="宋体"/>
                <w:b w:val="0"/>
                <w:sz w:val="18"/>
              </w:rPr>
              <w:t>圆筒直径、壁厚、高度</w:t>
            </w:r>
          </w:p>
        </w:tc>
        <w:tc>
          <w:tcPr>
            <w:tcW w:type="dxa" w:w="2160"/>
            <w:vAlign w:val="center"/>
          </w:tcPr>
          <w:p>
            <w:pPr>
              <w:spacing w:lineRule="auto" w:line="276"/>
              <w:jc w:val="center"/>
            </w:pPr>
            <w:r>
              <w:rPr>
                <w:rFonts w:ascii="Times New Roman" w:hAnsi="Times New Roman" w:eastAsia="宋体"/>
                <w:b w:val="0"/>
                <w:sz w:val="18"/>
              </w:rPr>
              <w:t>预制重量和吊装能力</w:t>
            </w:r>
          </w:p>
        </w:tc>
        <w:tc>
          <w:tcPr>
            <w:tcW w:type="dxa" w:w="2376"/>
            <w:vAlign w:val="center"/>
          </w:tcPr>
          <w:p>
            <w:pPr>
              <w:spacing w:lineRule="auto" w:line="276"/>
              <w:jc w:val="center"/>
            </w:pPr>
            <w:r>
              <w:rPr>
                <w:rFonts w:ascii="Times New Roman" w:hAnsi="Times New Roman" w:eastAsia="宋体"/>
                <w:b w:val="0"/>
                <w:sz w:val="18"/>
              </w:rPr>
              <w:t>复核吊点与船机</w:t>
            </w:r>
          </w:p>
        </w:tc>
      </w:tr>
      <w:tr>
        <w:tc>
          <w:tcPr>
            <w:tcW w:type="dxa" w:w="1512"/>
            <w:vAlign w:val="center"/>
          </w:tcPr>
          <w:p>
            <w:pPr>
              <w:spacing w:lineRule="auto" w:line="276"/>
              <w:jc w:val="center"/>
            </w:pPr>
            <w:r>
              <w:rPr>
                <w:rFonts w:ascii="Times New Roman" w:hAnsi="Times New Roman" w:eastAsia="宋体"/>
                <w:b w:val="0"/>
                <w:sz w:val="18"/>
              </w:rPr>
              <w:t>筒内回填</w:t>
            </w:r>
          </w:p>
        </w:tc>
        <w:tc>
          <w:tcPr>
            <w:tcW w:type="dxa" w:w="2376"/>
            <w:vAlign w:val="center"/>
          </w:tcPr>
          <w:p>
            <w:pPr>
              <w:spacing w:lineRule="auto" w:line="276"/>
              <w:jc w:val="center"/>
            </w:pPr>
            <w:r>
              <w:rPr>
                <w:rFonts w:ascii="Times New Roman" w:hAnsi="Times New Roman" w:eastAsia="宋体"/>
                <w:b w:val="0"/>
                <w:sz w:val="18"/>
              </w:rPr>
              <w:t>内径、填高、填料重度</w:t>
            </w:r>
          </w:p>
        </w:tc>
        <w:tc>
          <w:tcPr>
            <w:tcW w:type="dxa" w:w="2160"/>
            <w:vAlign w:val="center"/>
          </w:tcPr>
          <w:p>
            <w:pPr>
              <w:spacing w:lineRule="auto" w:line="276"/>
              <w:jc w:val="center"/>
            </w:pPr>
            <w:r>
              <w:rPr>
                <w:rFonts w:ascii="Times New Roman" w:hAnsi="Times New Roman" w:eastAsia="宋体"/>
                <w:b w:val="0"/>
                <w:sz w:val="18"/>
              </w:rPr>
              <w:t>回填不密实</w:t>
            </w:r>
          </w:p>
        </w:tc>
        <w:tc>
          <w:tcPr>
            <w:tcW w:type="dxa" w:w="2376"/>
            <w:vAlign w:val="center"/>
          </w:tcPr>
          <w:p>
            <w:pPr>
              <w:spacing w:lineRule="auto" w:line="276"/>
              <w:jc w:val="center"/>
            </w:pPr>
            <w:r>
              <w:rPr>
                <w:rFonts w:ascii="Times New Roman" w:hAnsi="Times New Roman" w:eastAsia="宋体"/>
                <w:b w:val="0"/>
                <w:sz w:val="18"/>
              </w:rPr>
              <w:t>分层回填检测</w:t>
            </w:r>
          </w:p>
        </w:tc>
      </w:tr>
      <w:tr>
        <w:tc>
          <w:tcPr>
            <w:tcW w:type="dxa" w:w="1512"/>
            <w:vAlign w:val="center"/>
          </w:tcPr>
          <w:p>
            <w:pPr>
              <w:spacing w:lineRule="auto" w:line="276"/>
              <w:jc w:val="center"/>
            </w:pPr>
            <w:r>
              <w:rPr>
                <w:rFonts w:ascii="Times New Roman" w:hAnsi="Times New Roman" w:eastAsia="宋体"/>
                <w:b w:val="0"/>
                <w:sz w:val="18"/>
              </w:rPr>
              <w:t>抗滑抗倾</w:t>
            </w:r>
          </w:p>
        </w:tc>
        <w:tc>
          <w:tcPr>
            <w:tcW w:type="dxa" w:w="2376"/>
            <w:vAlign w:val="center"/>
          </w:tcPr>
          <w:p>
            <w:pPr>
              <w:spacing w:lineRule="auto" w:line="276"/>
              <w:jc w:val="center"/>
            </w:pPr>
            <w:r>
              <w:rPr>
                <w:rFonts w:ascii="Times New Roman" w:hAnsi="Times New Roman" w:eastAsia="宋体"/>
                <w:b w:val="0"/>
                <w:sz w:val="18"/>
              </w:rPr>
              <w:t>水平力、竖向力、力臂</w:t>
            </w:r>
          </w:p>
        </w:tc>
        <w:tc>
          <w:tcPr>
            <w:tcW w:type="dxa" w:w="2160"/>
            <w:vAlign w:val="center"/>
          </w:tcPr>
          <w:p>
            <w:pPr>
              <w:spacing w:lineRule="auto" w:line="276"/>
              <w:jc w:val="center"/>
            </w:pPr>
            <w:r>
              <w:rPr>
                <w:rFonts w:ascii="Times New Roman" w:hAnsi="Times New Roman" w:eastAsia="宋体"/>
                <w:b w:val="0"/>
                <w:sz w:val="18"/>
              </w:rPr>
              <w:t>局部偏心</w:t>
            </w:r>
          </w:p>
        </w:tc>
        <w:tc>
          <w:tcPr>
            <w:tcW w:type="dxa" w:w="2376"/>
            <w:vAlign w:val="center"/>
          </w:tcPr>
          <w:p>
            <w:pPr>
              <w:spacing w:lineRule="auto" w:line="276"/>
              <w:jc w:val="center"/>
            </w:pPr>
            <w:r>
              <w:rPr>
                <w:rFonts w:ascii="Times New Roman" w:hAnsi="Times New Roman" w:eastAsia="宋体"/>
                <w:b w:val="0"/>
                <w:sz w:val="18"/>
              </w:rPr>
              <w:t>控制坐床平整</w:t>
            </w:r>
          </w:p>
        </w:tc>
      </w:tr>
      <w:tr>
        <w:tc>
          <w:tcPr>
            <w:tcW w:type="dxa" w:w="1512"/>
            <w:vAlign w:val="center"/>
          </w:tcPr>
          <w:p>
            <w:pPr>
              <w:spacing w:lineRule="auto" w:line="276"/>
              <w:jc w:val="center"/>
            </w:pPr>
            <w:r>
              <w:rPr>
                <w:rFonts w:ascii="Times New Roman" w:hAnsi="Times New Roman" w:eastAsia="宋体"/>
                <w:b w:val="0"/>
                <w:sz w:val="18"/>
              </w:rPr>
              <w:t>基床应力</w:t>
            </w:r>
          </w:p>
        </w:tc>
        <w:tc>
          <w:tcPr>
            <w:tcW w:type="dxa" w:w="2376"/>
            <w:vAlign w:val="center"/>
          </w:tcPr>
          <w:p>
            <w:pPr>
              <w:spacing w:lineRule="auto" w:line="276"/>
              <w:jc w:val="center"/>
            </w:pPr>
            <w:r>
              <w:rPr>
                <w:rFonts w:ascii="Times New Roman" w:hAnsi="Times New Roman" w:eastAsia="宋体"/>
                <w:b w:val="0"/>
                <w:sz w:val="18"/>
              </w:rPr>
              <w:t>等效底宽、局部接触</w:t>
            </w:r>
          </w:p>
        </w:tc>
        <w:tc>
          <w:tcPr>
            <w:tcW w:type="dxa" w:w="2160"/>
            <w:vAlign w:val="center"/>
          </w:tcPr>
          <w:p>
            <w:pPr>
              <w:spacing w:lineRule="auto" w:line="276"/>
              <w:jc w:val="center"/>
            </w:pPr>
            <w:r>
              <w:rPr>
                <w:rFonts w:ascii="Times New Roman" w:hAnsi="Times New Roman" w:eastAsia="宋体"/>
                <w:b w:val="0"/>
                <w:sz w:val="18"/>
              </w:rPr>
              <w:t>应力集中</w:t>
            </w:r>
          </w:p>
        </w:tc>
        <w:tc>
          <w:tcPr>
            <w:tcW w:type="dxa" w:w="2376"/>
            <w:vAlign w:val="center"/>
          </w:tcPr>
          <w:p>
            <w:pPr>
              <w:spacing w:lineRule="auto" w:line="276"/>
              <w:jc w:val="center"/>
            </w:pPr>
            <w:r>
              <w:rPr>
                <w:rFonts w:ascii="Times New Roman" w:hAnsi="Times New Roman" w:eastAsia="宋体"/>
                <w:b w:val="0"/>
                <w:sz w:val="18"/>
              </w:rPr>
              <w:t>提高整平精度</w:t>
            </w:r>
          </w:p>
        </w:tc>
      </w:tr>
      <w:tr>
        <w:tc>
          <w:tcPr>
            <w:tcW w:type="dxa" w:w="1512"/>
            <w:vAlign w:val="center"/>
          </w:tcPr>
          <w:p>
            <w:pPr>
              <w:spacing w:lineRule="auto" w:line="276"/>
              <w:jc w:val="center"/>
            </w:pPr>
            <w:r>
              <w:rPr>
                <w:rFonts w:ascii="Times New Roman" w:hAnsi="Times New Roman" w:eastAsia="宋体"/>
                <w:b w:val="0"/>
                <w:sz w:val="18"/>
              </w:rPr>
              <w:t>筒间接缝</w:t>
            </w:r>
          </w:p>
        </w:tc>
        <w:tc>
          <w:tcPr>
            <w:tcW w:type="dxa" w:w="2376"/>
            <w:vAlign w:val="center"/>
          </w:tcPr>
          <w:p>
            <w:pPr>
              <w:spacing w:lineRule="auto" w:line="276"/>
              <w:jc w:val="center"/>
            </w:pPr>
            <w:r>
              <w:rPr>
                <w:rFonts w:ascii="Times New Roman" w:hAnsi="Times New Roman" w:eastAsia="宋体"/>
                <w:b w:val="0"/>
                <w:sz w:val="18"/>
              </w:rPr>
              <w:t>接缝宽度、防漏材料</w:t>
            </w:r>
          </w:p>
        </w:tc>
        <w:tc>
          <w:tcPr>
            <w:tcW w:type="dxa" w:w="2160"/>
            <w:vAlign w:val="center"/>
          </w:tcPr>
          <w:p>
            <w:pPr>
              <w:spacing w:lineRule="auto" w:line="276"/>
              <w:jc w:val="center"/>
            </w:pPr>
            <w:r>
              <w:rPr>
                <w:rFonts w:ascii="Times New Roman" w:hAnsi="Times New Roman" w:eastAsia="宋体"/>
                <w:b w:val="0"/>
                <w:sz w:val="18"/>
              </w:rPr>
              <w:t>回填流失</w:t>
            </w:r>
          </w:p>
        </w:tc>
        <w:tc>
          <w:tcPr>
            <w:tcW w:type="dxa" w:w="2376"/>
            <w:vAlign w:val="center"/>
          </w:tcPr>
          <w:p>
            <w:pPr>
              <w:spacing w:lineRule="auto" w:line="276"/>
              <w:jc w:val="center"/>
            </w:pPr>
            <w:r>
              <w:rPr>
                <w:rFonts w:ascii="Times New Roman" w:hAnsi="Times New Roman" w:eastAsia="宋体"/>
                <w:b w:val="0"/>
                <w:sz w:val="18"/>
              </w:rPr>
              <w:t>设置止漏和反滤</w:t>
            </w:r>
          </w:p>
        </w:tc>
      </w:tr>
    </w:tbl>
    <w:p/>
    <w:p>
      <w:pPr>
        <w:spacing w:lineRule="auto" w:line="360" w:before="0" w:after="0"/>
        <w:ind w:firstLine="480"/>
      </w:pPr>
      <w:r>
        <w:rPr>
          <w:rFonts w:ascii="Times New Roman" w:hAnsi="Times New Roman" w:eastAsia="宋体"/>
          <w:sz w:val="24"/>
        </w:rPr>
        <w:t>大圆筒方案补充计算时，先把单个圆筒作为基本单元，再按泊位长度折算筒数。圆筒外径取18.00m、壁厚取0.50m时，筒壁混凝土面积由外半径与内半径平方差求得，乘以筒高得到单筒混凝土体积。</w:t>
      </w:r>
    </w:p>
    <w:p>
      <w:pPr>
        <w:spacing w:lineRule="auto" w:line="360" w:before="0" w:after="0"/>
        <w:ind w:firstLine="480"/>
      </w:pPr>
      <w:r>
        <w:rPr>
          <w:rFonts w:ascii="Times New Roman" w:hAnsi="Times New Roman" w:eastAsia="宋体"/>
          <w:sz w:val="24"/>
        </w:rPr>
        <w:t>筒内回填体积按内半径和回填高度计算，回填材料以开山石或块石为主。若回填密实度不足，竖向稳定力会低于设计假定，同时筒内局部沉陷会影响胸墙和面层，因此施工阶段必须分层抛填、分层检测。</w:t>
      </w:r>
    </w:p>
    <w:p>
      <w:pPr>
        <w:spacing w:lineRule="auto" w:line="360" w:before="0" w:after="0"/>
        <w:ind w:firstLine="480"/>
      </w:pPr>
      <w:r>
        <w:rPr>
          <w:rFonts w:ascii="Times New Roman" w:hAnsi="Times New Roman" w:eastAsia="宋体"/>
          <w:sz w:val="24"/>
        </w:rPr>
        <w:t>圆筒抗滑计算仍采用摩阻力与水平合力比较，但基床接触面不是普通矩形连续底面。初步设计按等效底宽估算总体安全，施工图阶段应补充圆筒底边局部承压、筒间错台、接缝止漏和反滤层连续性复核。</w:t>
      </w:r>
    </w:p>
    <w:p>
      <w:pPr>
        <w:keepNext/>
        <w:spacing w:lineRule="auto" w:line="300" w:before="0" w:after="120"/>
        <w:jc w:val="center"/>
      </w:pPr>
      <w:r>
        <w:rPr>
          <w:rFonts w:ascii="Times New Roman" w:hAnsi="Times New Roman" w:eastAsia="宋体"/>
          <w:b w:val="0"/>
          <w:sz w:val="20"/>
        </w:rPr>
        <w:t>表5-13 大圆筒计算展开项目表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736"/>
        <w:gridCol w:w="2232"/>
        <w:gridCol w:w="237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计算方法</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可能控制因素</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深化要求</w:t>
            </w:r>
          </w:p>
        </w:tc>
      </w:tr>
      <w:tr>
        <w:tc>
          <w:tcPr>
            <w:tcW w:type="dxa" w:w="1584"/>
            <w:vAlign w:val="center"/>
          </w:tcPr>
          <w:p>
            <w:pPr>
              <w:spacing w:lineRule="auto" w:line="276"/>
              <w:jc w:val="center"/>
            </w:pPr>
            <w:r>
              <w:rPr>
                <w:rFonts w:ascii="Times New Roman" w:hAnsi="Times New Roman" w:eastAsia="宋体"/>
                <w:b w:val="0"/>
                <w:sz w:val="18"/>
              </w:rPr>
              <w:t>筒壁混凝土量</w:t>
            </w:r>
          </w:p>
        </w:tc>
        <w:tc>
          <w:tcPr>
            <w:tcW w:type="dxa" w:w="2736"/>
            <w:vAlign w:val="center"/>
          </w:tcPr>
          <w:p>
            <w:pPr>
              <w:spacing w:lineRule="auto" w:line="276"/>
              <w:jc w:val="center"/>
            </w:pPr>
            <w:r>
              <w:rPr>
                <w:rFonts w:ascii="Times New Roman" w:hAnsi="Times New Roman" w:eastAsia="宋体"/>
                <w:b w:val="0"/>
                <w:sz w:val="18"/>
              </w:rPr>
              <w:t>圆环面积乘筒高</w:t>
            </w:r>
          </w:p>
        </w:tc>
        <w:tc>
          <w:tcPr>
            <w:tcW w:type="dxa" w:w="2232"/>
            <w:vAlign w:val="center"/>
          </w:tcPr>
          <w:p>
            <w:pPr>
              <w:spacing w:lineRule="auto" w:line="276"/>
              <w:jc w:val="center"/>
            </w:pPr>
            <w:r>
              <w:rPr>
                <w:rFonts w:ascii="Times New Roman" w:hAnsi="Times New Roman" w:eastAsia="宋体"/>
                <w:b w:val="0"/>
                <w:sz w:val="18"/>
              </w:rPr>
              <w:t>外径、壁厚、筒高</w:t>
            </w:r>
          </w:p>
        </w:tc>
        <w:tc>
          <w:tcPr>
            <w:tcW w:type="dxa" w:w="2376"/>
            <w:vAlign w:val="center"/>
          </w:tcPr>
          <w:p>
            <w:pPr>
              <w:spacing w:lineRule="auto" w:line="276"/>
              <w:jc w:val="center"/>
            </w:pPr>
            <w:r>
              <w:rPr>
                <w:rFonts w:ascii="Times New Roman" w:hAnsi="Times New Roman" w:eastAsia="宋体"/>
                <w:b w:val="0"/>
                <w:sz w:val="18"/>
              </w:rPr>
              <w:t>与吊装重量互核</w:t>
            </w:r>
          </w:p>
        </w:tc>
      </w:tr>
      <w:tr>
        <w:tc>
          <w:tcPr>
            <w:tcW w:type="dxa" w:w="1584"/>
            <w:vAlign w:val="center"/>
          </w:tcPr>
          <w:p>
            <w:pPr>
              <w:spacing w:lineRule="auto" w:line="276"/>
              <w:jc w:val="center"/>
            </w:pPr>
            <w:r>
              <w:rPr>
                <w:rFonts w:ascii="Times New Roman" w:hAnsi="Times New Roman" w:eastAsia="宋体"/>
                <w:b w:val="0"/>
                <w:sz w:val="18"/>
              </w:rPr>
              <w:t>筒内回填量</w:t>
            </w:r>
          </w:p>
        </w:tc>
        <w:tc>
          <w:tcPr>
            <w:tcW w:type="dxa" w:w="2736"/>
            <w:vAlign w:val="center"/>
          </w:tcPr>
          <w:p>
            <w:pPr>
              <w:spacing w:lineRule="auto" w:line="276"/>
              <w:jc w:val="center"/>
            </w:pPr>
            <w:r>
              <w:rPr>
                <w:rFonts w:ascii="Times New Roman" w:hAnsi="Times New Roman" w:eastAsia="宋体"/>
                <w:b w:val="0"/>
                <w:sz w:val="18"/>
              </w:rPr>
              <w:t>内圆面积乘填高</w:t>
            </w:r>
          </w:p>
        </w:tc>
        <w:tc>
          <w:tcPr>
            <w:tcW w:type="dxa" w:w="2232"/>
            <w:vAlign w:val="center"/>
          </w:tcPr>
          <w:p>
            <w:pPr>
              <w:spacing w:lineRule="auto" w:line="276"/>
              <w:jc w:val="center"/>
            </w:pPr>
            <w:r>
              <w:rPr>
                <w:rFonts w:ascii="Times New Roman" w:hAnsi="Times New Roman" w:eastAsia="宋体"/>
                <w:b w:val="0"/>
                <w:sz w:val="18"/>
              </w:rPr>
              <w:t>填料重度和密实度</w:t>
            </w:r>
          </w:p>
        </w:tc>
        <w:tc>
          <w:tcPr>
            <w:tcW w:type="dxa" w:w="2376"/>
            <w:vAlign w:val="center"/>
          </w:tcPr>
          <w:p>
            <w:pPr>
              <w:spacing w:lineRule="auto" w:line="276"/>
              <w:jc w:val="center"/>
            </w:pPr>
            <w:r>
              <w:rPr>
                <w:rFonts w:ascii="Times New Roman" w:hAnsi="Times New Roman" w:eastAsia="宋体"/>
                <w:b w:val="0"/>
                <w:sz w:val="18"/>
              </w:rPr>
              <w:t>分层检测</w:t>
            </w:r>
          </w:p>
        </w:tc>
      </w:tr>
      <w:tr>
        <w:tc>
          <w:tcPr>
            <w:tcW w:type="dxa" w:w="1584"/>
            <w:vAlign w:val="center"/>
          </w:tcPr>
          <w:p>
            <w:pPr>
              <w:spacing w:lineRule="auto" w:line="276"/>
              <w:jc w:val="center"/>
            </w:pPr>
            <w:r>
              <w:rPr>
                <w:rFonts w:ascii="Times New Roman" w:hAnsi="Times New Roman" w:eastAsia="宋体"/>
                <w:b w:val="0"/>
                <w:sz w:val="18"/>
              </w:rPr>
              <w:t>水平作用</w:t>
            </w:r>
          </w:p>
        </w:tc>
        <w:tc>
          <w:tcPr>
            <w:tcW w:type="dxa" w:w="2736"/>
            <w:vAlign w:val="center"/>
          </w:tcPr>
          <w:p>
            <w:pPr>
              <w:spacing w:lineRule="auto" w:line="276"/>
              <w:jc w:val="center"/>
            </w:pPr>
            <w:r>
              <w:rPr>
                <w:rFonts w:ascii="Times New Roman" w:hAnsi="Times New Roman" w:eastAsia="宋体"/>
                <w:b w:val="0"/>
                <w:sz w:val="18"/>
              </w:rPr>
              <w:t>土压力、堆载和系缆力合成</w:t>
            </w:r>
          </w:p>
        </w:tc>
        <w:tc>
          <w:tcPr>
            <w:tcW w:type="dxa" w:w="2232"/>
            <w:vAlign w:val="center"/>
          </w:tcPr>
          <w:p>
            <w:pPr>
              <w:spacing w:lineRule="auto" w:line="276"/>
              <w:jc w:val="center"/>
            </w:pPr>
            <w:r>
              <w:rPr>
                <w:rFonts w:ascii="Times New Roman" w:hAnsi="Times New Roman" w:eastAsia="宋体"/>
                <w:b w:val="0"/>
                <w:sz w:val="18"/>
              </w:rPr>
              <w:t>胸墙高度和堆载位置</w:t>
            </w:r>
          </w:p>
        </w:tc>
        <w:tc>
          <w:tcPr>
            <w:tcW w:type="dxa" w:w="2376"/>
            <w:vAlign w:val="center"/>
          </w:tcPr>
          <w:p>
            <w:pPr>
              <w:spacing w:lineRule="auto" w:line="276"/>
              <w:jc w:val="center"/>
            </w:pPr>
            <w:r>
              <w:rPr>
                <w:rFonts w:ascii="Times New Roman" w:hAnsi="Times New Roman" w:eastAsia="宋体"/>
                <w:b w:val="0"/>
                <w:sz w:val="18"/>
              </w:rPr>
              <w:t>不利工况复核</w:t>
            </w:r>
          </w:p>
        </w:tc>
      </w:tr>
      <w:tr>
        <w:tc>
          <w:tcPr>
            <w:tcW w:type="dxa" w:w="1584"/>
            <w:vAlign w:val="center"/>
          </w:tcPr>
          <w:p>
            <w:pPr>
              <w:spacing w:lineRule="auto" w:line="276"/>
              <w:jc w:val="center"/>
            </w:pPr>
            <w:r>
              <w:rPr>
                <w:rFonts w:ascii="Times New Roman" w:hAnsi="Times New Roman" w:eastAsia="宋体"/>
                <w:b w:val="0"/>
                <w:sz w:val="18"/>
              </w:rPr>
              <w:t>基床应力</w:t>
            </w:r>
          </w:p>
        </w:tc>
        <w:tc>
          <w:tcPr>
            <w:tcW w:type="dxa" w:w="2736"/>
            <w:vAlign w:val="center"/>
          </w:tcPr>
          <w:p>
            <w:pPr>
              <w:spacing w:lineRule="auto" w:line="276"/>
              <w:jc w:val="center"/>
            </w:pPr>
            <w:r>
              <w:rPr>
                <w:rFonts w:ascii="Times New Roman" w:hAnsi="Times New Roman" w:eastAsia="宋体"/>
                <w:b w:val="0"/>
                <w:sz w:val="18"/>
              </w:rPr>
              <w:t>等效底宽估算</w:t>
            </w:r>
          </w:p>
        </w:tc>
        <w:tc>
          <w:tcPr>
            <w:tcW w:type="dxa" w:w="2232"/>
            <w:vAlign w:val="center"/>
          </w:tcPr>
          <w:p>
            <w:pPr>
              <w:spacing w:lineRule="auto" w:line="276"/>
              <w:jc w:val="center"/>
            </w:pPr>
            <w:r>
              <w:rPr>
                <w:rFonts w:ascii="Times New Roman" w:hAnsi="Times New Roman" w:eastAsia="宋体"/>
                <w:b w:val="0"/>
                <w:sz w:val="18"/>
              </w:rPr>
              <w:t>坐床不平和局部接触</w:t>
            </w:r>
          </w:p>
        </w:tc>
        <w:tc>
          <w:tcPr>
            <w:tcW w:type="dxa" w:w="2376"/>
            <w:vAlign w:val="center"/>
          </w:tcPr>
          <w:p>
            <w:pPr>
              <w:spacing w:lineRule="auto" w:line="276"/>
              <w:jc w:val="center"/>
            </w:pPr>
            <w:r>
              <w:rPr>
                <w:rFonts w:ascii="Times New Roman" w:hAnsi="Times New Roman" w:eastAsia="宋体"/>
                <w:b w:val="0"/>
                <w:sz w:val="18"/>
              </w:rPr>
              <w:t>专项承压验算</w:t>
            </w:r>
          </w:p>
        </w:tc>
      </w:tr>
      <w:tr>
        <w:tc>
          <w:tcPr>
            <w:tcW w:type="dxa" w:w="1584"/>
            <w:vAlign w:val="center"/>
          </w:tcPr>
          <w:p>
            <w:pPr>
              <w:spacing w:lineRule="auto" w:line="276"/>
              <w:jc w:val="center"/>
            </w:pPr>
            <w:r>
              <w:rPr>
                <w:rFonts w:ascii="Times New Roman" w:hAnsi="Times New Roman" w:eastAsia="宋体"/>
                <w:b w:val="0"/>
                <w:sz w:val="18"/>
              </w:rPr>
              <w:t>筒间接缝</w:t>
            </w:r>
          </w:p>
        </w:tc>
        <w:tc>
          <w:tcPr>
            <w:tcW w:type="dxa" w:w="2736"/>
            <w:vAlign w:val="center"/>
          </w:tcPr>
          <w:p>
            <w:pPr>
              <w:spacing w:lineRule="auto" w:line="276"/>
              <w:jc w:val="center"/>
            </w:pPr>
            <w:r>
              <w:rPr>
                <w:rFonts w:ascii="Times New Roman" w:hAnsi="Times New Roman" w:eastAsia="宋体"/>
                <w:b w:val="0"/>
                <w:sz w:val="18"/>
              </w:rPr>
              <w:t>按相邻筒间缝处理</w:t>
            </w:r>
          </w:p>
        </w:tc>
        <w:tc>
          <w:tcPr>
            <w:tcW w:type="dxa" w:w="2232"/>
            <w:vAlign w:val="center"/>
          </w:tcPr>
          <w:p>
            <w:pPr>
              <w:spacing w:lineRule="auto" w:line="276"/>
              <w:jc w:val="center"/>
            </w:pPr>
            <w:r>
              <w:rPr>
                <w:rFonts w:ascii="Times New Roman" w:hAnsi="Times New Roman" w:eastAsia="宋体"/>
                <w:b w:val="0"/>
                <w:sz w:val="18"/>
              </w:rPr>
              <w:t>渗漏和回填流失</w:t>
            </w:r>
          </w:p>
        </w:tc>
        <w:tc>
          <w:tcPr>
            <w:tcW w:type="dxa" w:w="2376"/>
            <w:vAlign w:val="center"/>
          </w:tcPr>
          <w:p>
            <w:pPr>
              <w:spacing w:lineRule="auto" w:line="276"/>
              <w:jc w:val="center"/>
            </w:pPr>
            <w:r>
              <w:rPr>
                <w:rFonts w:ascii="Times New Roman" w:hAnsi="Times New Roman" w:eastAsia="宋体"/>
                <w:b w:val="0"/>
                <w:sz w:val="18"/>
              </w:rPr>
              <w:t>止漏与反滤构造</w:t>
            </w:r>
          </w:p>
        </w:tc>
      </w:tr>
    </w:tbl>
    <w:p/>
    <w:p>
      <w:pPr>
        <w:spacing w:lineRule="auto" w:line="360" w:before="0" w:after="0"/>
        <w:ind w:firstLine="480"/>
      </w:pPr>
      <w:r>
        <w:rPr>
          <w:rFonts w:ascii="Times New Roman" w:hAnsi="Times New Roman" w:eastAsia="宋体"/>
          <w:sz w:val="24"/>
        </w:rPr>
        <w:t>与沉箱方案相比，大圆筒方案在预制和吊装环节对设备能力要求更高。若采用大型浮吊和专用出运船机，施工组织可以实现；若现场船机条件不足，则会增加临时工程和调遣费用，这也是后续概预算比选中需要单独说明的风险。</w:t>
      </w:r>
    </w:p>
    <w:p>
      <w:pPr>
        <w:keepNext/>
        <w:keepLines/>
        <w:spacing w:before="120" w:after="0"/>
        <w:jc w:val="center"/>
      </w:pPr>
      <w:r>
        <w:drawing>
          <wp:inline xmlns:a="http://schemas.openxmlformats.org/drawingml/2006/main" xmlns:pic="http://schemas.openxmlformats.org/drawingml/2006/picture">
            <wp:extent cx="5074920" cy="6811077"/>
            <wp:docPr id="17" name="Picture 17"/>
            <wp:cNvGraphicFramePr>
              <a:graphicFrameLocks noChangeAspect="1"/>
            </wp:cNvGraphicFramePr>
            <a:graphic>
              <a:graphicData uri="http://schemas.openxmlformats.org/drawingml/2006/picture">
                <pic:pic>
                  <pic:nvPicPr>
                    <pic:cNvPr id="0" name="fig5-3-cylinder-detail-rebar-cad.png"/>
                    <pic:cNvPicPr/>
                  </pic:nvPicPr>
                  <pic:blipFill>
                    <a:blip r:embed="rId46"/>
                    <a:stretch>
                      <a:fillRect/>
                    </a:stretch>
                  </pic:blipFill>
                  <pic:spPr>
                    <a:xfrm>
                      <a:off x="0" y="0"/>
                      <a:ext cx="5074920" cy="6811077"/>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图5-3 大圆筒细部与配筋局部CAD图</w:t>
      </w:r>
    </w:p>
    <w:p>
      <w:pPr>
        <w:spacing w:lineRule="auto" w:line="360" w:before="0" w:after="0"/>
        <w:ind w:firstLine="480"/>
      </w:pPr>
      <w:r>
        <w:rPr>
          <w:rFonts w:ascii="Times New Roman" w:hAnsi="Times New Roman" w:eastAsia="宋体"/>
          <w:sz w:val="24"/>
        </w:rPr>
        <w:t>该细部图用于补充说明大圆筒方案在计算之外的构造控制。大圆筒方案不仅要满足整体抗滑、抗倾覆和基床应力要求，还要检查圆筒筒壁配筋、筒间接缝、胸墙连接、倒滤层和回填密实度。</w:t>
      </w:r>
    </w:p>
    <w:p>
      <w:pPr>
        <w:spacing w:lineRule="auto" w:line="360" w:before="0" w:after="0"/>
        <w:ind w:firstLine="480"/>
      </w:pPr>
      <w:r>
        <w:rPr>
          <w:rFonts w:ascii="Times New Roman" w:hAnsi="Times New Roman" w:eastAsia="宋体"/>
          <w:sz w:val="24"/>
        </w:rPr>
        <w:t>圆筒筒壁为曲面薄壁构件，环向钢筋主要控制筒壁受拉和裂缝，竖向钢筋主要保证吊装、运输和坐床阶段的整体性。若筒内回填不密实或基床局部不平，会导致局部应力集中，因此图纸细部和计算复核必须配合。</w:t>
      </w:r>
    </w:p>
    <w:p>
      <w:pPr>
        <w:keepNext/>
        <w:spacing w:lineRule="auto" w:line="300" w:before="0" w:after="120"/>
        <w:jc w:val="center"/>
      </w:pPr>
      <w:r>
        <w:rPr>
          <w:rFonts w:ascii="Times New Roman" w:hAnsi="Times New Roman" w:eastAsia="宋体"/>
          <w:b w:val="0"/>
          <w:sz w:val="20"/>
        </w:rPr>
        <w:t>表5-14 大圆筒细部计算补充表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376"/>
        <w:gridCol w:w="2232"/>
        <w:gridCol w:w="252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细部项目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受力或施工问题</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计算复核</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图纸要求</w:t>
            </w:r>
          </w:p>
        </w:tc>
      </w:tr>
      <w:tr>
        <w:tc>
          <w:tcPr>
            <w:tcW w:type="dxa" w:w="1656"/>
            <w:vAlign w:val="center"/>
          </w:tcPr>
          <w:p>
            <w:pPr>
              <w:spacing w:lineRule="auto" w:line="276"/>
              <w:jc w:val="center"/>
            </w:pPr>
            <w:r>
              <w:rPr>
                <w:rFonts w:ascii="Times New Roman" w:hAnsi="Times New Roman" w:eastAsia="宋体"/>
                <w:b w:val="0"/>
                <w:sz w:val="18"/>
              </w:rPr>
              <w:t>筒壁配筋</w:t>
            </w:r>
          </w:p>
        </w:tc>
        <w:tc>
          <w:tcPr>
            <w:tcW w:type="dxa" w:w="2376"/>
            <w:vAlign w:val="center"/>
          </w:tcPr>
          <w:p>
            <w:pPr>
              <w:spacing w:lineRule="auto" w:line="276"/>
              <w:jc w:val="center"/>
            </w:pPr>
            <w:r>
              <w:rPr>
                <w:rFonts w:ascii="Times New Roman" w:hAnsi="Times New Roman" w:eastAsia="宋体"/>
                <w:b w:val="0"/>
                <w:sz w:val="18"/>
              </w:rPr>
              <w:t>环向拉应力和裂缝</w:t>
            </w:r>
          </w:p>
        </w:tc>
        <w:tc>
          <w:tcPr>
            <w:tcW w:type="dxa" w:w="2232"/>
            <w:vAlign w:val="center"/>
          </w:tcPr>
          <w:p>
            <w:pPr>
              <w:spacing w:lineRule="auto" w:line="276"/>
              <w:jc w:val="center"/>
            </w:pPr>
            <w:r>
              <w:rPr>
                <w:rFonts w:ascii="Times New Roman" w:hAnsi="Times New Roman" w:eastAsia="宋体"/>
                <w:b w:val="0"/>
                <w:sz w:val="18"/>
              </w:rPr>
              <w:t>最小配筋率</w:t>
            </w:r>
          </w:p>
        </w:tc>
        <w:tc>
          <w:tcPr>
            <w:tcW w:type="dxa" w:w="2520"/>
            <w:vAlign w:val="center"/>
          </w:tcPr>
          <w:p>
            <w:pPr>
              <w:spacing w:lineRule="auto" w:line="276"/>
              <w:jc w:val="center"/>
            </w:pPr>
            <w:r>
              <w:rPr>
                <w:rFonts w:ascii="Times New Roman" w:hAnsi="Times New Roman" w:eastAsia="宋体"/>
                <w:b w:val="0"/>
                <w:sz w:val="18"/>
              </w:rPr>
              <w:t>环向、竖向筋分开标注</w:t>
            </w:r>
          </w:p>
        </w:tc>
      </w:tr>
      <w:tr>
        <w:tc>
          <w:tcPr>
            <w:tcW w:type="dxa" w:w="1656"/>
            <w:vAlign w:val="center"/>
          </w:tcPr>
          <w:p>
            <w:pPr>
              <w:spacing w:lineRule="auto" w:line="276"/>
              <w:jc w:val="center"/>
            </w:pPr>
            <w:r>
              <w:rPr>
                <w:rFonts w:ascii="Times New Roman" w:hAnsi="Times New Roman" w:eastAsia="宋体"/>
                <w:b w:val="0"/>
                <w:sz w:val="18"/>
              </w:rPr>
              <w:t>筒顶连接</w:t>
            </w:r>
          </w:p>
        </w:tc>
        <w:tc>
          <w:tcPr>
            <w:tcW w:type="dxa" w:w="2376"/>
            <w:vAlign w:val="center"/>
          </w:tcPr>
          <w:p>
            <w:pPr>
              <w:spacing w:lineRule="auto" w:line="276"/>
              <w:jc w:val="center"/>
            </w:pPr>
            <w:r>
              <w:rPr>
                <w:rFonts w:ascii="Times New Roman" w:hAnsi="Times New Roman" w:eastAsia="宋体"/>
                <w:b w:val="0"/>
                <w:sz w:val="18"/>
              </w:rPr>
              <w:t>胸墙传力</w:t>
            </w:r>
          </w:p>
        </w:tc>
        <w:tc>
          <w:tcPr>
            <w:tcW w:type="dxa" w:w="2232"/>
            <w:vAlign w:val="center"/>
          </w:tcPr>
          <w:p>
            <w:pPr>
              <w:spacing w:lineRule="auto" w:line="276"/>
              <w:jc w:val="center"/>
            </w:pPr>
            <w:r>
              <w:rPr>
                <w:rFonts w:ascii="Times New Roman" w:hAnsi="Times New Roman" w:eastAsia="宋体"/>
                <w:b w:val="0"/>
                <w:sz w:val="18"/>
              </w:rPr>
              <w:t>局部承压</w:t>
            </w:r>
          </w:p>
        </w:tc>
        <w:tc>
          <w:tcPr>
            <w:tcW w:type="dxa" w:w="2520"/>
            <w:vAlign w:val="center"/>
          </w:tcPr>
          <w:p>
            <w:pPr>
              <w:spacing w:lineRule="auto" w:line="276"/>
              <w:jc w:val="center"/>
            </w:pPr>
            <w:r>
              <w:rPr>
                <w:rFonts w:ascii="Times New Roman" w:hAnsi="Times New Roman" w:eastAsia="宋体"/>
                <w:b w:val="0"/>
                <w:sz w:val="18"/>
              </w:rPr>
              <w:t>设置连接钢筋</w:t>
            </w:r>
          </w:p>
        </w:tc>
      </w:tr>
      <w:tr>
        <w:tc>
          <w:tcPr>
            <w:tcW w:type="dxa" w:w="1656"/>
            <w:vAlign w:val="center"/>
          </w:tcPr>
          <w:p>
            <w:pPr>
              <w:spacing w:lineRule="auto" w:line="276"/>
              <w:jc w:val="center"/>
            </w:pPr>
            <w:r>
              <w:rPr>
                <w:rFonts w:ascii="Times New Roman" w:hAnsi="Times New Roman" w:eastAsia="宋体"/>
                <w:b w:val="0"/>
                <w:sz w:val="18"/>
              </w:rPr>
              <w:t>筒间接缝</w:t>
            </w:r>
          </w:p>
        </w:tc>
        <w:tc>
          <w:tcPr>
            <w:tcW w:type="dxa" w:w="2376"/>
            <w:vAlign w:val="center"/>
          </w:tcPr>
          <w:p>
            <w:pPr>
              <w:spacing w:lineRule="auto" w:line="276"/>
              <w:jc w:val="center"/>
            </w:pPr>
            <w:r>
              <w:rPr>
                <w:rFonts w:ascii="Times New Roman" w:hAnsi="Times New Roman" w:eastAsia="宋体"/>
                <w:b w:val="0"/>
                <w:sz w:val="18"/>
              </w:rPr>
              <w:t>渗流和回填流失</w:t>
            </w:r>
          </w:p>
        </w:tc>
        <w:tc>
          <w:tcPr>
            <w:tcW w:type="dxa" w:w="2232"/>
            <w:vAlign w:val="center"/>
          </w:tcPr>
          <w:p>
            <w:pPr>
              <w:spacing w:lineRule="auto" w:line="276"/>
              <w:jc w:val="center"/>
            </w:pPr>
            <w:r>
              <w:rPr>
                <w:rFonts w:ascii="Times New Roman" w:hAnsi="Times New Roman" w:eastAsia="宋体"/>
                <w:b w:val="0"/>
                <w:sz w:val="18"/>
              </w:rPr>
              <w:t>防漏构造</w:t>
            </w:r>
          </w:p>
        </w:tc>
        <w:tc>
          <w:tcPr>
            <w:tcW w:type="dxa" w:w="2520"/>
            <w:vAlign w:val="center"/>
          </w:tcPr>
          <w:p>
            <w:pPr>
              <w:spacing w:lineRule="auto" w:line="276"/>
              <w:jc w:val="center"/>
            </w:pPr>
            <w:r>
              <w:rPr>
                <w:rFonts w:ascii="Times New Roman" w:hAnsi="Times New Roman" w:eastAsia="宋体"/>
                <w:b w:val="0"/>
                <w:sz w:val="18"/>
              </w:rPr>
              <w:t>止水和反滤说明</w:t>
            </w:r>
          </w:p>
        </w:tc>
      </w:tr>
      <w:tr>
        <w:tc>
          <w:tcPr>
            <w:tcW w:type="dxa" w:w="1656"/>
            <w:vAlign w:val="center"/>
          </w:tcPr>
          <w:p>
            <w:pPr>
              <w:spacing w:lineRule="auto" w:line="276"/>
              <w:jc w:val="center"/>
            </w:pPr>
            <w:r>
              <w:rPr>
                <w:rFonts w:ascii="Times New Roman" w:hAnsi="Times New Roman" w:eastAsia="宋体"/>
                <w:b w:val="0"/>
                <w:sz w:val="18"/>
              </w:rPr>
              <w:t>基床接触</w:t>
            </w:r>
          </w:p>
        </w:tc>
        <w:tc>
          <w:tcPr>
            <w:tcW w:type="dxa" w:w="2376"/>
            <w:vAlign w:val="center"/>
          </w:tcPr>
          <w:p>
            <w:pPr>
              <w:spacing w:lineRule="auto" w:line="276"/>
              <w:jc w:val="center"/>
            </w:pPr>
            <w:r>
              <w:rPr>
                <w:rFonts w:ascii="Times New Roman" w:hAnsi="Times New Roman" w:eastAsia="宋体"/>
                <w:b w:val="0"/>
                <w:sz w:val="18"/>
              </w:rPr>
              <w:t>局部应力集中</w:t>
            </w:r>
          </w:p>
        </w:tc>
        <w:tc>
          <w:tcPr>
            <w:tcW w:type="dxa" w:w="2232"/>
            <w:vAlign w:val="center"/>
          </w:tcPr>
          <w:p>
            <w:pPr>
              <w:spacing w:lineRule="auto" w:line="276"/>
              <w:jc w:val="center"/>
            </w:pPr>
            <w:r>
              <w:rPr>
                <w:rFonts w:ascii="Times New Roman" w:hAnsi="Times New Roman" w:eastAsia="宋体"/>
                <w:b w:val="0"/>
                <w:sz w:val="18"/>
              </w:rPr>
              <w:t>基床应力复核</w:t>
            </w:r>
          </w:p>
        </w:tc>
        <w:tc>
          <w:tcPr>
            <w:tcW w:type="dxa" w:w="2520"/>
            <w:vAlign w:val="center"/>
          </w:tcPr>
          <w:p>
            <w:pPr>
              <w:spacing w:lineRule="auto" w:line="276"/>
              <w:jc w:val="center"/>
            </w:pPr>
            <w:r>
              <w:rPr>
                <w:rFonts w:ascii="Times New Roman" w:hAnsi="Times New Roman" w:eastAsia="宋体"/>
                <w:b w:val="0"/>
                <w:sz w:val="18"/>
              </w:rPr>
              <w:t>整平精度标注</w:t>
            </w:r>
          </w:p>
        </w:tc>
      </w:tr>
      <w:tr>
        <w:tc>
          <w:tcPr>
            <w:tcW w:type="dxa" w:w="1656"/>
            <w:vAlign w:val="center"/>
          </w:tcPr>
          <w:p>
            <w:pPr>
              <w:spacing w:lineRule="auto" w:line="276"/>
              <w:jc w:val="center"/>
            </w:pPr>
            <w:r>
              <w:rPr>
                <w:rFonts w:ascii="Times New Roman" w:hAnsi="Times New Roman" w:eastAsia="宋体"/>
                <w:b w:val="0"/>
                <w:sz w:val="18"/>
              </w:rPr>
              <w:t>吊装阶段</w:t>
            </w:r>
          </w:p>
        </w:tc>
        <w:tc>
          <w:tcPr>
            <w:tcW w:type="dxa" w:w="2376"/>
            <w:vAlign w:val="center"/>
          </w:tcPr>
          <w:p>
            <w:pPr>
              <w:spacing w:lineRule="auto" w:line="276"/>
              <w:jc w:val="center"/>
            </w:pPr>
            <w:r>
              <w:rPr>
                <w:rFonts w:ascii="Times New Roman" w:hAnsi="Times New Roman" w:eastAsia="宋体"/>
                <w:b w:val="0"/>
                <w:sz w:val="18"/>
              </w:rPr>
              <w:t>自重和吊点反力</w:t>
            </w:r>
          </w:p>
        </w:tc>
        <w:tc>
          <w:tcPr>
            <w:tcW w:type="dxa" w:w="2232"/>
            <w:vAlign w:val="center"/>
          </w:tcPr>
          <w:p>
            <w:pPr>
              <w:spacing w:lineRule="auto" w:line="276"/>
              <w:jc w:val="center"/>
            </w:pPr>
            <w:r>
              <w:rPr>
                <w:rFonts w:ascii="Times New Roman" w:hAnsi="Times New Roman" w:eastAsia="宋体"/>
                <w:b w:val="0"/>
                <w:sz w:val="18"/>
              </w:rPr>
              <w:t>吊装验算</w:t>
            </w:r>
          </w:p>
        </w:tc>
        <w:tc>
          <w:tcPr>
            <w:tcW w:type="dxa" w:w="2520"/>
            <w:vAlign w:val="center"/>
          </w:tcPr>
          <w:p>
            <w:pPr>
              <w:spacing w:lineRule="auto" w:line="276"/>
              <w:jc w:val="center"/>
            </w:pPr>
            <w:r>
              <w:rPr>
                <w:rFonts w:ascii="Times New Roman" w:hAnsi="Times New Roman" w:eastAsia="宋体"/>
                <w:b w:val="0"/>
                <w:sz w:val="18"/>
              </w:rPr>
              <w:t>吊点位置明确</w:t>
            </w:r>
          </w:p>
        </w:tc>
      </w:tr>
    </w:tbl>
    <w:p/>
    <w:p>
      <w:pPr>
        <w:pStyle w:val="2"/>
        <w:jc w:val="left"/>
      </w:pPr>
      <w:r>
        <w:rPr>
          <w:rFonts w:ascii="Times New Roman" w:hAnsi="Times New Roman" w:eastAsia="宋体"/>
          <w:b/>
          <w:sz w:val="24"/>
        </w:rPr>
        <w:t xml:space="preserve"> 施工阶段与复核内容</w:t>
      </w:r>
    </w:p>
    <w:p>
      <w:pPr>
        <w:spacing w:lineRule="auto" w:line="360" w:before="0" w:after="0"/>
        <w:ind w:firstLine="480"/>
      </w:pPr>
      <w:r>
        <w:rPr>
          <w:rFonts w:ascii="Times New Roman" w:hAnsi="Times New Roman" w:eastAsia="宋体"/>
          <w:sz w:val="24"/>
        </w:rPr>
        <w:t>施工阶段复核包括沉箱预制、出运、浮运、沉放、坐床、回填、胸墙浇筑、附属设施安装和堆场形成。每一阶段都可能改变结构受力边界，因此初步设计需要列出施工图阶段必须复核的项目。</w:t>
      </w:r>
    </w:p>
    <w:p>
      <w:pPr>
        <w:spacing w:lineRule="auto" w:line="360" w:before="0" w:after="0"/>
        <w:ind w:firstLine="480"/>
      </w:pPr>
      <w:r>
        <w:rPr>
          <w:rFonts w:ascii="Times New Roman" w:hAnsi="Times New Roman" w:eastAsia="宋体"/>
          <w:sz w:val="24"/>
        </w:rPr>
        <w:t>沿海沉箱码头施工安全风险研究说明，浮运、沉放、恶劣天气和大型起重作业是施工安全控制重点</w:t>
      </w:r>
      <w:r>
        <w:rPr>
          <w:rFonts w:ascii="Times New Roman" w:hAnsi="Times New Roman" w:eastAsia="宋体"/>
          <w:sz w:val="24"/>
          <w:vertAlign w:val="superscript"/>
        </w:rPr>
        <w:t>[30]</w:t>
      </w:r>
      <w:r>
        <w:rPr>
          <w:rFonts w:ascii="Times New Roman" w:hAnsi="Times New Roman" w:eastAsia="宋体"/>
          <w:sz w:val="24"/>
        </w:rPr>
        <w:t>。自动化堆场布置及设备方案研究也提醒，远期设备升级会反向影响轨道基础、箱区方向和道路组织</w:t>
      </w:r>
      <w:r>
        <w:rPr>
          <w:rFonts w:ascii="Times New Roman" w:hAnsi="Times New Roman" w:eastAsia="宋体"/>
          <w:sz w:val="24"/>
          <w:vertAlign w:val="superscript"/>
        </w:rPr>
        <w:t>[31]</w:t>
      </w:r>
      <w:r>
        <w:rPr>
          <w:rFonts w:ascii="Times New Roman" w:hAnsi="Times New Roman" w:eastAsia="宋体"/>
          <w:sz w:val="24"/>
        </w:rPr>
        <w:t>。</w:t>
      </w:r>
    </w:p>
    <w:p>
      <w:pPr>
        <w:tabs>
          <w:tab w:pos="4100" w:val="center"/>
          <w:tab w:pos="8200" w:val="right"/>
        </w:tabs>
        <w:spacing w:lineRule="auto" w:line="360" w:before="0" w:after="0"/>
        <w:jc w:val="left"/>
      </w:pPr>
      <w:r>
        <w:tab/>
      </w:r>
      <m:oMath>
        <m:sSub>
          <m:e>
            <m:r>
              <m:t>K</m:t>
            </m:r>
          </m:e>
          <m:sub>
            <m:r>
              <m:t>f</m:t>
            </m:r>
          </m:sub>
        </m:sSub>
        <m:r>
          <m:rPr>
            <m:sty m:val="p"/>
          </m:rPr>
          <m:t>=</m:t>
        </m:r>
        <m:r>
          <m:t>G</m:t>
        </m:r>
        <m:r>
          <m:rPr>
            <m:sty m:val="p"/>
          </m:rPr>
          <m:t>/</m:t>
        </m:r>
        <m:r>
          <m:t>U</m:t>
        </m:r>
      </m:oMath>
      <w:r>
        <w:rPr>
          <w:rFonts w:ascii="Times New Roman" w:hAnsi="Times New Roman" w:eastAsia="宋体"/>
          <w:sz w:val="24"/>
        </w:rPr>
        <w:tab/>
        <w:t>（5.14）</w:t>
      </w:r>
    </w:p>
    <w:p>
      <w:pPr>
        <w:spacing w:lineRule="auto" w:line="360" w:before="0" w:after="0"/>
        <w:ind w:firstLine="480"/>
      </w:pPr>
      <w:r>
        <w:rPr>
          <w:rFonts w:ascii="Times New Roman" w:hAnsi="Times New Roman" w:eastAsia="宋体"/>
          <w:sz w:val="24"/>
        </w:rPr>
        <w:t>式中，G为构件或结构有效自重，U为浮托或浮力作用。沉箱浮运阶段应按专门浮稳计算控制，本说明书仅在初步设计中说明控制口径。</w:t>
      </w:r>
    </w:p>
    <w:p>
      <w:pPr>
        <w:spacing w:lineRule="auto" w:line="360" w:before="0" w:after="0"/>
        <w:ind w:firstLine="480"/>
      </w:pPr>
      <w:r>
        <w:rPr>
          <w:rFonts w:ascii="Times New Roman" w:hAnsi="Times New Roman" w:eastAsia="宋体"/>
          <w:sz w:val="24"/>
        </w:rPr>
        <w:t>沉箱浮运稳定按“浮力平衡、吃水、干舷、初稳性高度”四项控制。先根据沉箱外形尺寸和预计吃水计算排水体积，再由排水体积求浮力Fb，并与空箱自重、临时压载和拖航附属重量比较，确认起浮和拖航阶段不发生超载或干舷不足。</w:t>
      </w:r>
    </w:p>
    <w:p>
      <w:pPr>
        <w:tabs>
          <w:tab w:pos="4100" w:val="center"/>
          <w:tab w:pos="8200" w:val="right"/>
        </w:tabs>
        <w:spacing w:lineRule="auto" w:line="360" w:before="0" w:after="0"/>
        <w:jc w:val="left"/>
      </w:pPr>
      <w:r>
        <w:tab/>
      </w:r>
      <m:oMath>
        <m:sSub>
          <m:e>
            <m:r>
              <m:t>F</m:t>
            </m:r>
          </m:e>
          <m:sub>
            <m:r>
              <m:t>b</m:t>
            </m:r>
          </m:sub>
        </m:sSub>
        <m:r>
          <m:rPr>
            <m:sty m:val="p"/>
          </m:rPr>
          <m:t>=</m:t>
        </m:r>
        <m:sSub>
          <m:e>
            <m:r>
              <m:t>γ</m:t>
            </m:r>
          </m:e>
          <m:sub>
            <m:r>
              <m:t>w</m:t>
            </m:r>
          </m:sub>
        </m:sSub>
        <m:sSub>
          <m:e>
            <m:r>
              <m:t>V</m:t>
            </m:r>
          </m:e>
          <m:sub>
            <m:r>
              <m:t>d</m:t>
            </m:r>
          </m:sub>
        </m:sSub>
      </m:oMath>
      <w:r>
        <w:rPr>
          <w:rFonts w:ascii="Times New Roman" w:hAnsi="Times New Roman" w:eastAsia="宋体"/>
          <w:sz w:val="24"/>
        </w:rPr>
        <w:tab/>
        <w:t>（5.15）</w:t>
      </w:r>
    </w:p>
    <w:p>
      <w:pPr>
        <w:tabs>
          <w:tab w:pos="4100" w:val="center"/>
          <w:tab w:pos="8200" w:val="right"/>
        </w:tabs>
        <w:spacing w:lineRule="auto" w:line="360" w:before="0" w:after="0"/>
        <w:jc w:val="left"/>
      </w:pPr>
      <w:r>
        <w:tab/>
      </w:r>
      <m:oMath>
        <m:r>
          <m:t>G</m:t>
        </m:r>
        <m:r>
          <m:t>M</m:t>
        </m:r>
        <m:r>
          <m:rPr>
            <m:sty m:val="p"/>
          </m:rPr>
          <m:t>=</m:t>
        </m:r>
        <m:r>
          <m:t>K</m:t>
        </m:r>
        <m:r>
          <m:t>B</m:t>
        </m:r>
        <m:r>
          <m:rPr>
            <m:sty m:val="p"/>
          </m:rPr>
          <m:t>+</m:t>
        </m:r>
        <m:r>
          <m:t>B</m:t>
        </m:r>
        <m:r>
          <m:t>M</m:t>
        </m:r>
        <m:r>
          <m:rPr>
            <m:sty m:val="p"/>
          </m:rPr>
          <m:t>−</m:t>
        </m:r>
        <m:r>
          <m:t>K</m:t>
        </m:r>
        <m:r>
          <m:t>G</m:t>
        </m:r>
      </m:oMath>
      <w:r>
        <w:rPr>
          <w:rFonts w:ascii="Times New Roman" w:hAnsi="Times New Roman" w:eastAsia="宋体"/>
          <w:sz w:val="24"/>
        </w:rPr>
        <w:tab/>
        <w:t>（5.16）</w:t>
      </w:r>
    </w:p>
    <w:p>
      <w:pPr>
        <w:tabs>
          <w:tab w:pos="4100" w:val="center"/>
          <w:tab w:pos="8200" w:val="right"/>
        </w:tabs>
        <w:spacing w:lineRule="auto" w:line="360" w:before="0" w:after="0"/>
        <w:jc w:val="left"/>
      </w:pPr>
      <w:r>
        <w:tab/>
      </w:r>
      <m:oMath>
        <m:r>
          <m:t>B</m:t>
        </m:r>
        <m:r>
          <m:t>M</m:t>
        </m:r>
        <m:r>
          <m:rPr>
            <m:sty m:val="p"/>
          </m:rPr>
          <m:t>=</m:t>
        </m:r>
        <m:f>
          <m:fPr>
            <m:type m:val="bar"/>
          </m:fPr>
          <m:num>
            <m:sSub>
              <m:e>
                <m:r>
                  <m:t>I</m:t>
                </m:r>
              </m:e>
              <m:sub>
                <m:r>
                  <m:t>w</m:t>
                </m:r>
              </m:sub>
            </m:sSub>
          </m:num>
          <m:den>
            <m:sSub>
              <m:e>
                <m:r>
                  <m:t>V</m:t>
                </m:r>
              </m:e>
              <m:sub>
                <m:r>
                  <m:t>d</m:t>
                </m:r>
              </m:sub>
            </m:sSub>
          </m:den>
        </m:f>
      </m:oMath>
      <w:r>
        <w:rPr>
          <w:rFonts w:ascii="Times New Roman" w:hAnsi="Times New Roman" w:eastAsia="宋体"/>
          <w:sz w:val="24"/>
        </w:rPr>
        <w:tab/>
        <w:t>（5.17）</w:t>
      </w:r>
    </w:p>
    <w:p>
      <w:pPr>
        <w:spacing w:lineRule="auto" w:line="360" w:before="0" w:after="0"/>
        <w:ind w:firstLine="480"/>
      </w:pPr>
      <w:r>
        <w:rPr>
          <w:rFonts w:ascii="Times New Roman" w:hAnsi="Times New Roman" w:eastAsia="宋体"/>
          <w:sz w:val="24"/>
        </w:rPr>
        <w:t>式中，Vd为排水体积，gamma_w为水重度，KB为浮心高度，BM为横稳心半径，KG为重心高度。当GM为正且满足施工控制值时，沉箱具备基本浮稳条件；若GM偏小，应通过调整压载水、降低重心或改变拖航工况处理。</w:t>
      </w:r>
    </w:p>
    <w:p>
      <w:pPr>
        <w:spacing w:lineRule="auto" w:line="360" w:before="0" w:after="0"/>
        <w:ind w:firstLine="480"/>
      </w:pPr>
      <w:r>
        <w:rPr>
          <w:rFonts w:ascii="Times New Roman" w:hAnsi="Times New Roman" w:eastAsia="宋体"/>
          <w:sz w:val="24"/>
        </w:rPr>
        <w:t>浮运阶段还应检查自由液面影响。若压载水舱未满，水面晃动会降低有效GM，因此拖航前宜采用满舱或空舱控制，并结合拖航水域风浪条件确定允许横倾角。本说明书补充该计算口径后，施工阶段复核不再只是文字提醒，而能与浮力、吃水和稳性参数对应。</w:t>
      </w:r>
    </w:p>
    <w:p>
      <w:pPr>
        <w:keepNext/>
        <w:spacing w:lineRule="auto" w:line="300" w:before="0" w:after="120"/>
        <w:jc w:val="center"/>
      </w:pPr>
      <w:r>
        <w:rPr>
          <w:rFonts w:ascii="Times New Roman" w:hAnsi="Times New Roman" w:eastAsia="宋体"/>
          <w:b w:val="0"/>
          <w:sz w:val="20"/>
        </w:rPr>
        <w:t>表5-15 沉箱浮运稳定计算口径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3240"/>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计算或控制内容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判断要求</w:t>
            </w:r>
          </w:p>
        </w:tc>
      </w:tr>
      <w:tr>
        <w:tc>
          <w:tcPr>
            <w:tcW w:type="dxa" w:w="1656"/>
            <w:vAlign w:val="center"/>
          </w:tcPr>
          <w:p>
            <w:pPr>
              <w:spacing w:lineRule="auto" w:line="276"/>
              <w:jc w:val="center"/>
            </w:pPr>
            <w:r>
              <w:rPr>
                <w:rFonts w:ascii="Times New Roman" w:hAnsi="Times New Roman" w:eastAsia="宋体"/>
                <w:b w:val="0"/>
                <w:sz w:val="18"/>
              </w:rPr>
              <w:t>浮力平衡</w:t>
            </w:r>
          </w:p>
        </w:tc>
        <w:tc>
          <w:tcPr>
            <w:tcW w:type="dxa" w:w="3240"/>
            <w:vAlign w:val="center"/>
          </w:tcPr>
          <w:p>
            <w:pPr>
              <w:spacing w:lineRule="auto" w:line="276"/>
              <w:jc w:val="center"/>
            </w:pPr>
            <w:r>
              <w:rPr>
                <w:rFonts w:ascii="Times New Roman" w:hAnsi="Times New Roman" w:eastAsia="宋体"/>
                <w:b w:val="0"/>
                <w:sz w:val="18"/>
              </w:rPr>
              <w:t>排水体积与水重度计算Fb</w:t>
            </w:r>
          </w:p>
        </w:tc>
        <w:tc>
          <w:tcPr>
            <w:tcW w:type="dxa" w:w="3168"/>
            <w:vAlign w:val="center"/>
          </w:tcPr>
          <w:p>
            <w:pPr>
              <w:spacing w:lineRule="auto" w:line="276"/>
              <w:jc w:val="center"/>
            </w:pPr>
            <w:r>
              <w:rPr>
                <w:rFonts w:ascii="Times New Roman" w:hAnsi="Times New Roman" w:eastAsia="宋体"/>
                <w:b w:val="0"/>
                <w:sz w:val="18"/>
              </w:rPr>
              <w:t>浮力满足起浮并留有储备</w:t>
            </w:r>
          </w:p>
        </w:tc>
      </w:tr>
      <w:tr>
        <w:tc>
          <w:tcPr>
            <w:tcW w:type="dxa" w:w="1656"/>
            <w:vAlign w:val="center"/>
          </w:tcPr>
          <w:p>
            <w:pPr>
              <w:spacing w:lineRule="auto" w:line="276"/>
              <w:jc w:val="center"/>
            </w:pPr>
            <w:r>
              <w:rPr>
                <w:rFonts w:ascii="Times New Roman" w:hAnsi="Times New Roman" w:eastAsia="宋体"/>
                <w:b w:val="0"/>
                <w:sz w:val="18"/>
              </w:rPr>
              <w:t>吃水</w:t>
            </w:r>
          </w:p>
        </w:tc>
        <w:tc>
          <w:tcPr>
            <w:tcW w:type="dxa" w:w="3240"/>
            <w:vAlign w:val="center"/>
          </w:tcPr>
          <w:p>
            <w:pPr>
              <w:spacing w:lineRule="auto" w:line="276"/>
              <w:jc w:val="center"/>
            </w:pPr>
            <w:r>
              <w:rPr>
                <w:rFonts w:ascii="Times New Roman" w:hAnsi="Times New Roman" w:eastAsia="宋体"/>
                <w:b w:val="0"/>
                <w:sz w:val="18"/>
              </w:rPr>
              <w:t>由排水体积反算拖航吃水</w:t>
            </w:r>
          </w:p>
        </w:tc>
        <w:tc>
          <w:tcPr>
            <w:tcW w:type="dxa" w:w="3168"/>
            <w:vAlign w:val="center"/>
          </w:tcPr>
          <w:p>
            <w:pPr>
              <w:spacing w:lineRule="auto" w:line="276"/>
              <w:jc w:val="center"/>
            </w:pPr>
            <w:r>
              <w:rPr>
                <w:rFonts w:ascii="Times New Roman" w:hAnsi="Times New Roman" w:eastAsia="宋体"/>
                <w:b w:val="0"/>
                <w:sz w:val="18"/>
              </w:rPr>
              <w:t>满足航道和出运水深</w:t>
            </w:r>
          </w:p>
        </w:tc>
      </w:tr>
      <w:tr>
        <w:tc>
          <w:tcPr>
            <w:tcW w:type="dxa" w:w="1656"/>
            <w:vAlign w:val="center"/>
          </w:tcPr>
          <w:p>
            <w:pPr>
              <w:spacing w:lineRule="auto" w:line="276"/>
              <w:jc w:val="center"/>
            </w:pPr>
            <w:r>
              <w:rPr>
                <w:rFonts w:ascii="Times New Roman" w:hAnsi="Times New Roman" w:eastAsia="宋体"/>
                <w:b w:val="0"/>
                <w:sz w:val="18"/>
              </w:rPr>
              <w:t>干舷</w:t>
            </w:r>
          </w:p>
        </w:tc>
        <w:tc>
          <w:tcPr>
            <w:tcW w:type="dxa" w:w="3240"/>
            <w:vAlign w:val="center"/>
          </w:tcPr>
          <w:p>
            <w:pPr>
              <w:spacing w:lineRule="auto" w:line="276"/>
              <w:jc w:val="center"/>
            </w:pPr>
            <w:r>
              <w:rPr>
                <w:rFonts w:ascii="Times New Roman" w:hAnsi="Times New Roman" w:eastAsia="宋体"/>
                <w:b w:val="0"/>
                <w:sz w:val="18"/>
              </w:rPr>
              <w:t>沉箱顶至水面的高度</w:t>
            </w:r>
          </w:p>
        </w:tc>
        <w:tc>
          <w:tcPr>
            <w:tcW w:type="dxa" w:w="3168"/>
            <w:vAlign w:val="center"/>
          </w:tcPr>
          <w:p>
            <w:pPr>
              <w:spacing w:lineRule="auto" w:line="276"/>
              <w:jc w:val="center"/>
            </w:pPr>
            <w:r>
              <w:rPr>
                <w:rFonts w:ascii="Times New Roman" w:hAnsi="Times New Roman" w:eastAsia="宋体"/>
                <w:b w:val="0"/>
                <w:sz w:val="18"/>
              </w:rPr>
              <w:t>拖航中不进水</w:t>
            </w:r>
          </w:p>
        </w:tc>
      </w:tr>
      <w:tr>
        <w:tc>
          <w:tcPr>
            <w:tcW w:type="dxa" w:w="1656"/>
            <w:vAlign w:val="center"/>
          </w:tcPr>
          <w:p>
            <w:pPr>
              <w:spacing w:lineRule="auto" w:line="276"/>
              <w:jc w:val="center"/>
            </w:pPr>
            <w:r>
              <w:rPr>
                <w:rFonts w:ascii="Times New Roman" w:hAnsi="Times New Roman" w:eastAsia="宋体"/>
                <w:b w:val="0"/>
                <w:sz w:val="18"/>
              </w:rPr>
              <w:t>初稳性</w:t>
            </w:r>
          </w:p>
        </w:tc>
        <w:tc>
          <w:tcPr>
            <w:tcW w:type="dxa" w:w="3240"/>
            <w:vAlign w:val="center"/>
          </w:tcPr>
          <w:p>
            <w:pPr>
              <w:spacing w:lineRule="auto" w:line="276"/>
              <w:jc w:val="center"/>
            </w:pPr>
            <w:r>
              <w:rPr>
                <w:rFonts w:ascii="Times New Roman" w:hAnsi="Times New Roman" w:eastAsia="宋体"/>
                <w:b w:val="0"/>
                <w:sz w:val="18"/>
              </w:rPr>
              <w:t>GM=KB+BM-KG</w:t>
            </w:r>
          </w:p>
        </w:tc>
        <w:tc>
          <w:tcPr>
            <w:tcW w:type="dxa" w:w="3168"/>
            <w:vAlign w:val="center"/>
          </w:tcPr>
          <w:p>
            <w:pPr>
              <w:spacing w:lineRule="auto" w:line="276"/>
              <w:jc w:val="center"/>
            </w:pPr>
            <w:r>
              <w:rPr>
                <w:rFonts w:ascii="Times New Roman" w:hAnsi="Times New Roman" w:eastAsia="宋体"/>
                <w:b w:val="0"/>
                <w:sz w:val="18"/>
              </w:rPr>
              <w:t>GM为正且满足控制值</w:t>
            </w:r>
          </w:p>
        </w:tc>
      </w:tr>
      <w:tr>
        <w:tc>
          <w:tcPr>
            <w:tcW w:type="dxa" w:w="1656"/>
            <w:vAlign w:val="center"/>
          </w:tcPr>
          <w:p>
            <w:pPr>
              <w:spacing w:lineRule="auto" w:line="276"/>
              <w:jc w:val="center"/>
            </w:pPr>
            <w:r>
              <w:rPr>
                <w:rFonts w:ascii="Times New Roman" w:hAnsi="Times New Roman" w:eastAsia="宋体"/>
                <w:b w:val="0"/>
                <w:sz w:val="18"/>
              </w:rPr>
              <w:t>自由液面</w:t>
            </w:r>
          </w:p>
        </w:tc>
        <w:tc>
          <w:tcPr>
            <w:tcW w:type="dxa" w:w="3240"/>
            <w:vAlign w:val="center"/>
          </w:tcPr>
          <w:p>
            <w:pPr>
              <w:spacing w:lineRule="auto" w:line="276"/>
              <w:jc w:val="center"/>
            </w:pPr>
            <w:r>
              <w:rPr>
                <w:rFonts w:ascii="Times New Roman" w:hAnsi="Times New Roman" w:eastAsia="宋体"/>
                <w:b w:val="0"/>
                <w:sz w:val="18"/>
              </w:rPr>
              <w:t>压载水晃动影响</w:t>
            </w:r>
          </w:p>
        </w:tc>
        <w:tc>
          <w:tcPr>
            <w:tcW w:type="dxa" w:w="3168"/>
            <w:vAlign w:val="center"/>
          </w:tcPr>
          <w:p>
            <w:pPr>
              <w:spacing w:lineRule="auto" w:line="276"/>
              <w:jc w:val="center"/>
            </w:pPr>
            <w:r>
              <w:rPr>
                <w:rFonts w:ascii="Times New Roman" w:hAnsi="Times New Roman" w:eastAsia="宋体"/>
                <w:b w:val="0"/>
                <w:sz w:val="18"/>
              </w:rPr>
              <w:t>必要时满舱或分舱压载</w:t>
            </w:r>
          </w:p>
        </w:tc>
      </w:tr>
    </w:tbl>
    <w:p/>
    <w:p>
      <w:pPr>
        <w:keepNext/>
        <w:spacing w:lineRule="auto" w:line="300" w:before="0" w:after="120"/>
        <w:jc w:val="center"/>
      </w:pPr>
      <w:r>
        <w:rPr>
          <w:rFonts w:ascii="Times New Roman" w:hAnsi="Times New Roman" w:eastAsia="宋体"/>
          <w:b w:val="0"/>
          <w:sz w:val="20"/>
        </w:rPr>
        <w:t>表5-16 施工图阶段复核清单</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复核项目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复核内容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资料要求</w:t>
            </w:r>
          </w:p>
        </w:tc>
      </w:tr>
      <w:tr>
        <w:tc>
          <w:tcPr>
            <w:tcW w:type="dxa" w:w="2160"/>
            <w:vAlign w:val="center"/>
          </w:tcPr>
          <w:p>
            <w:pPr>
              <w:spacing w:lineRule="auto" w:line="276"/>
              <w:jc w:val="center"/>
            </w:pPr>
            <w:r>
              <w:rPr>
                <w:rFonts w:ascii="Times New Roman" w:hAnsi="Times New Roman" w:eastAsia="宋体"/>
                <w:b w:val="0"/>
                <w:sz w:val="18"/>
              </w:rPr>
              <w:t>详勘参数</w:t>
            </w:r>
          </w:p>
        </w:tc>
        <w:tc>
          <w:tcPr>
            <w:tcW w:type="dxa" w:w="3168"/>
            <w:vAlign w:val="center"/>
          </w:tcPr>
          <w:p>
            <w:pPr>
              <w:spacing w:lineRule="auto" w:line="276"/>
              <w:jc w:val="center"/>
            </w:pPr>
            <w:r>
              <w:rPr>
                <w:rFonts w:ascii="Times New Roman" w:hAnsi="Times New Roman" w:eastAsia="宋体"/>
                <w:b w:val="0"/>
                <w:sz w:val="18"/>
              </w:rPr>
              <w:t>土层厚度、承载力、岩面高程</w:t>
            </w:r>
          </w:p>
        </w:tc>
        <w:tc>
          <w:tcPr>
            <w:tcW w:type="dxa" w:w="3024"/>
            <w:vAlign w:val="center"/>
          </w:tcPr>
          <w:p>
            <w:pPr>
              <w:spacing w:lineRule="auto" w:line="276"/>
              <w:jc w:val="center"/>
            </w:pPr>
            <w:r>
              <w:rPr>
                <w:rFonts w:ascii="Times New Roman" w:hAnsi="Times New Roman" w:eastAsia="宋体"/>
                <w:b w:val="0"/>
                <w:sz w:val="18"/>
              </w:rPr>
              <w:t>施工图详勘</w:t>
            </w:r>
          </w:p>
        </w:tc>
      </w:tr>
      <w:tr>
        <w:tc>
          <w:tcPr>
            <w:tcW w:type="dxa" w:w="2160"/>
            <w:vAlign w:val="center"/>
          </w:tcPr>
          <w:p>
            <w:pPr>
              <w:spacing w:lineRule="auto" w:line="276"/>
              <w:jc w:val="center"/>
            </w:pPr>
            <w:r>
              <w:rPr>
                <w:rFonts w:ascii="Times New Roman" w:hAnsi="Times New Roman" w:eastAsia="宋体"/>
                <w:b w:val="0"/>
                <w:sz w:val="18"/>
              </w:rPr>
              <w:t>基床设计</w:t>
            </w:r>
          </w:p>
        </w:tc>
        <w:tc>
          <w:tcPr>
            <w:tcW w:type="dxa" w:w="3168"/>
            <w:vAlign w:val="center"/>
          </w:tcPr>
          <w:p>
            <w:pPr>
              <w:spacing w:lineRule="auto" w:line="276"/>
              <w:jc w:val="center"/>
            </w:pPr>
            <w:r>
              <w:rPr>
                <w:rFonts w:ascii="Times New Roman" w:hAnsi="Times New Roman" w:eastAsia="宋体"/>
                <w:b w:val="0"/>
                <w:sz w:val="18"/>
              </w:rPr>
              <w:t>厚度、级配、整平精度、护底</w:t>
            </w:r>
          </w:p>
        </w:tc>
        <w:tc>
          <w:tcPr>
            <w:tcW w:type="dxa" w:w="3024"/>
            <w:vAlign w:val="center"/>
          </w:tcPr>
          <w:p>
            <w:pPr>
              <w:spacing w:lineRule="auto" w:line="276"/>
              <w:jc w:val="center"/>
            </w:pPr>
            <w:r>
              <w:rPr>
                <w:rFonts w:ascii="Times New Roman" w:hAnsi="Times New Roman" w:eastAsia="宋体"/>
                <w:b w:val="0"/>
                <w:sz w:val="18"/>
              </w:rPr>
              <w:t>专项计算</w:t>
            </w:r>
          </w:p>
        </w:tc>
      </w:tr>
      <w:tr>
        <w:tc>
          <w:tcPr>
            <w:tcW w:type="dxa" w:w="2160"/>
            <w:vAlign w:val="center"/>
          </w:tcPr>
          <w:p>
            <w:pPr>
              <w:spacing w:lineRule="auto" w:line="276"/>
              <w:jc w:val="center"/>
            </w:pPr>
            <w:r>
              <w:rPr>
                <w:rFonts w:ascii="Times New Roman" w:hAnsi="Times New Roman" w:eastAsia="宋体"/>
                <w:b w:val="0"/>
                <w:sz w:val="18"/>
              </w:rPr>
              <w:t>沉箱浮稳</w:t>
            </w:r>
          </w:p>
        </w:tc>
        <w:tc>
          <w:tcPr>
            <w:tcW w:type="dxa" w:w="3168"/>
            <w:vAlign w:val="center"/>
          </w:tcPr>
          <w:p>
            <w:pPr>
              <w:spacing w:lineRule="auto" w:line="276"/>
              <w:jc w:val="center"/>
            </w:pPr>
            <w:r>
              <w:rPr>
                <w:rFonts w:ascii="Times New Roman" w:hAnsi="Times New Roman" w:eastAsia="宋体"/>
                <w:b w:val="0"/>
                <w:sz w:val="18"/>
              </w:rPr>
              <w:t>浮运吃水、稳性、拖航窗口</w:t>
            </w:r>
          </w:p>
        </w:tc>
        <w:tc>
          <w:tcPr>
            <w:tcW w:type="dxa" w:w="3024"/>
            <w:vAlign w:val="center"/>
          </w:tcPr>
          <w:p>
            <w:pPr>
              <w:spacing w:lineRule="auto" w:line="276"/>
              <w:jc w:val="center"/>
            </w:pPr>
            <w:r>
              <w:rPr>
                <w:rFonts w:ascii="Times New Roman" w:hAnsi="Times New Roman" w:eastAsia="宋体"/>
                <w:b w:val="0"/>
                <w:sz w:val="18"/>
              </w:rPr>
              <w:t>施工组织</w:t>
            </w:r>
          </w:p>
        </w:tc>
      </w:tr>
      <w:tr>
        <w:tc>
          <w:tcPr>
            <w:tcW w:type="dxa" w:w="2160"/>
            <w:vAlign w:val="center"/>
          </w:tcPr>
          <w:p>
            <w:pPr>
              <w:spacing w:lineRule="auto" w:line="276"/>
              <w:jc w:val="center"/>
            </w:pPr>
            <w:r>
              <w:rPr>
                <w:rFonts w:ascii="Times New Roman" w:hAnsi="Times New Roman" w:eastAsia="宋体"/>
                <w:b w:val="0"/>
                <w:sz w:val="18"/>
              </w:rPr>
              <w:t>大圆筒吊装</w:t>
            </w:r>
          </w:p>
        </w:tc>
        <w:tc>
          <w:tcPr>
            <w:tcW w:type="dxa" w:w="3168"/>
            <w:vAlign w:val="center"/>
          </w:tcPr>
          <w:p>
            <w:pPr>
              <w:spacing w:lineRule="auto" w:line="276"/>
              <w:jc w:val="center"/>
            </w:pPr>
            <w:r>
              <w:rPr>
                <w:rFonts w:ascii="Times New Roman" w:hAnsi="Times New Roman" w:eastAsia="宋体"/>
                <w:b w:val="0"/>
                <w:sz w:val="18"/>
              </w:rPr>
              <w:t>吊点、吊具、起重船能力</w:t>
            </w:r>
          </w:p>
        </w:tc>
        <w:tc>
          <w:tcPr>
            <w:tcW w:type="dxa" w:w="3024"/>
            <w:vAlign w:val="center"/>
          </w:tcPr>
          <w:p>
            <w:pPr>
              <w:spacing w:lineRule="auto" w:line="276"/>
              <w:jc w:val="center"/>
            </w:pPr>
            <w:r>
              <w:rPr>
                <w:rFonts w:ascii="Times New Roman" w:hAnsi="Times New Roman" w:eastAsia="宋体"/>
                <w:b w:val="0"/>
                <w:sz w:val="18"/>
              </w:rPr>
              <w:t>专项方案</w:t>
            </w:r>
          </w:p>
        </w:tc>
      </w:tr>
      <w:tr>
        <w:tc>
          <w:tcPr>
            <w:tcW w:type="dxa" w:w="2160"/>
            <w:vAlign w:val="center"/>
          </w:tcPr>
          <w:p>
            <w:pPr>
              <w:spacing w:lineRule="auto" w:line="276"/>
              <w:jc w:val="center"/>
            </w:pPr>
            <w:r>
              <w:rPr>
                <w:rFonts w:ascii="Times New Roman" w:hAnsi="Times New Roman" w:eastAsia="宋体"/>
                <w:b w:val="0"/>
                <w:sz w:val="18"/>
              </w:rPr>
              <w:t>配筋计算</w:t>
            </w:r>
          </w:p>
        </w:tc>
        <w:tc>
          <w:tcPr>
            <w:tcW w:type="dxa" w:w="3168"/>
            <w:vAlign w:val="center"/>
          </w:tcPr>
          <w:p>
            <w:pPr>
              <w:spacing w:lineRule="auto" w:line="276"/>
              <w:jc w:val="center"/>
            </w:pPr>
            <w:r>
              <w:rPr>
                <w:rFonts w:ascii="Times New Roman" w:hAnsi="Times New Roman" w:eastAsia="宋体"/>
                <w:b w:val="0"/>
                <w:sz w:val="18"/>
              </w:rPr>
              <w:t>裂缝、承载力、锚固</w:t>
            </w:r>
          </w:p>
        </w:tc>
        <w:tc>
          <w:tcPr>
            <w:tcW w:type="dxa" w:w="3024"/>
            <w:vAlign w:val="center"/>
          </w:tcPr>
          <w:p>
            <w:pPr>
              <w:spacing w:lineRule="auto" w:line="276"/>
              <w:jc w:val="center"/>
            </w:pPr>
            <w:r>
              <w:rPr>
                <w:rFonts w:ascii="Times New Roman" w:hAnsi="Times New Roman" w:eastAsia="宋体"/>
                <w:b w:val="0"/>
                <w:sz w:val="18"/>
              </w:rPr>
              <w:t>施工图计算书</w:t>
            </w:r>
          </w:p>
        </w:tc>
      </w:tr>
      <w:tr>
        <w:tc>
          <w:tcPr>
            <w:tcW w:type="dxa" w:w="2160"/>
            <w:vAlign w:val="center"/>
          </w:tcPr>
          <w:p>
            <w:pPr>
              <w:spacing w:lineRule="auto" w:line="276"/>
              <w:jc w:val="center"/>
            </w:pPr>
            <w:r>
              <w:rPr>
                <w:rFonts w:ascii="Times New Roman" w:hAnsi="Times New Roman" w:eastAsia="宋体"/>
                <w:b w:val="0"/>
                <w:sz w:val="18"/>
              </w:rPr>
              <w:t>概算调整</w:t>
            </w:r>
          </w:p>
        </w:tc>
        <w:tc>
          <w:tcPr>
            <w:tcW w:type="dxa" w:w="3168"/>
            <w:vAlign w:val="center"/>
          </w:tcPr>
          <w:p>
            <w:pPr>
              <w:spacing w:lineRule="auto" w:line="276"/>
              <w:jc w:val="center"/>
            </w:pPr>
            <w:r>
              <w:rPr>
                <w:rFonts w:ascii="Times New Roman" w:hAnsi="Times New Roman" w:eastAsia="宋体"/>
                <w:b w:val="0"/>
                <w:sz w:val="18"/>
              </w:rPr>
              <w:t>材料单价、运距、设备台班</w:t>
            </w:r>
          </w:p>
        </w:tc>
        <w:tc>
          <w:tcPr>
            <w:tcW w:type="dxa" w:w="3024"/>
            <w:vAlign w:val="center"/>
          </w:tcPr>
          <w:p>
            <w:pPr>
              <w:spacing w:lineRule="auto" w:line="276"/>
              <w:jc w:val="center"/>
            </w:pPr>
            <w:r>
              <w:rPr>
                <w:rFonts w:ascii="Times New Roman" w:hAnsi="Times New Roman" w:eastAsia="宋体"/>
                <w:b w:val="0"/>
                <w:sz w:val="18"/>
              </w:rPr>
              <w:t>当地计价资料</w:t>
            </w:r>
          </w:p>
        </w:tc>
      </w:tr>
    </w:tbl>
    <w:p/>
    <w:p>
      <w:pPr>
        <w:spacing w:lineRule="auto" w:line="360" w:before="0" w:after="0"/>
        <w:ind w:firstLine="480"/>
      </w:pPr>
      <w:r>
        <w:rPr>
          <w:rFonts w:ascii="Times New Roman" w:hAnsi="Times New Roman" w:eastAsia="宋体"/>
          <w:sz w:val="24"/>
        </w:rPr>
        <w:t>施工复核对基槽开挖作单独说明，是因为该项会传递到初步设计与施工图深化。正文先交代取值口径，再说明它在图纸、计算或施工中的落点，使参数不是停留在资料摘录层面。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针对基床抛石，本设计采用先定尺度、再核算能力、最后回到图纸表达的写法。这样处理后，审阅时可以直接看到该项与初步设计与施工图深化之间的对应关系。</w:t>
      </w:r>
    </w:p>
    <w:p>
      <w:pPr>
        <w:spacing w:lineRule="auto" w:line="360" w:before="0" w:after="0"/>
        <w:ind w:firstLine="480"/>
      </w:pPr>
      <w:r>
        <w:rPr>
          <w:rFonts w:ascii="Times New Roman" w:hAnsi="Times New Roman" w:eastAsia="宋体"/>
          <w:sz w:val="24"/>
        </w:rPr>
        <w:t>基床夯实取值偏小会压缩安全或施工余量，取值偏大又会增加工程量。本说明书按初步设计深度采用适中偏保守的控制值，并在后续章节保留施工图复核接口。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从现场实施看，二片石整平还会影响施工顺序、材料组织和质量检查。正文把这些影响写入相邻段落，避免图纸有尺寸而说明书缺少工程解释。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施工复核中的沉箱出运同时具有设计和管理意义。它既是计算输入，也是后续概预算、施工组织和运行维护的判断依据，因此需要在正文中给出明确说明。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围绕沉箱沉放，本设计重点核对三件事：是否满足规范和船型需求，是否能在A1图纸中清楚表达，是否会改变初步设计与施工图深化的工程量或安全储备。</w:t>
      </w:r>
    </w:p>
    <w:p>
      <w:pPr>
        <w:spacing w:lineRule="auto" w:line="360" w:before="0" w:after="0"/>
        <w:ind w:firstLine="480"/>
      </w:pPr>
      <w:r>
        <w:rPr>
          <w:rFonts w:ascii="Times New Roman" w:hAnsi="Times New Roman" w:eastAsia="宋体"/>
          <w:sz w:val="24"/>
        </w:rPr>
        <w:t>若后续详勘或施工条件发生变化，箱内回填是需要优先复核的项目之一。本阶段先把采用值、影响范围和复核方向写清楚，便于施工图阶段继续深化。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圆筒吊装的说明与初步设计与施工图深化相互衔接。正文采用工程语言解释其作用，而不把它写成泛泛的背景材料，从而压缩自然状况篇幅并提高设计章节比重。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施工复核对筒间防漏作单独说明，是因为该项会传递到初步设计与施工图深化。正文先交代取值口径，再说明它在图纸、计算或施工中的落点，使参数不是停留在资料摘录层面。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针对胸墙浇筑，本设计采用先定尺度、再核算能力、最后回到图纸表达的写法。这样处理后，审阅时可以直接看到该项与初步设计与施工图深化之间的对应关系。</w:t>
      </w:r>
    </w:p>
    <w:p>
      <w:pPr>
        <w:spacing w:lineRule="auto" w:line="360" w:before="0" w:after="0"/>
        <w:ind w:firstLine="480"/>
      </w:pPr>
      <w:r>
        <w:rPr>
          <w:rFonts w:ascii="Times New Roman" w:hAnsi="Times New Roman" w:eastAsia="宋体"/>
          <w:sz w:val="24"/>
        </w:rPr>
        <w:t>护舷安装取值偏小会压缩安全或施工余量，取值偏大又会增加工程量。本说明书按初步设计深度采用适中偏保守的控制值，并在后续章节保留施工图复核接口。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从现场实施看，系船柱安装还会影响施工顺序、材料组织和质量检查。正文把这些影响写入相邻段落，避免图纸有尺寸而说明书缺少工程解释。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施工复核中的堆场回填同时具有设计和管理意义。它既是计算输入，也是后续概预算、施工组织和运行维护的判断依据，因此需要在正文中给出明确说明。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围绕轨道基础施工，本设计重点核对三件事：是否满足规范和船型需求，是否能在A1图纸中清楚表达，是否会改变初步设计与施工图深化的工程量或安全储备。</w:t>
      </w:r>
    </w:p>
    <w:p>
      <w:pPr>
        <w:spacing w:lineRule="auto" w:line="360" w:before="0" w:after="0"/>
        <w:ind w:firstLine="480"/>
      </w:pPr>
      <w:r>
        <w:rPr>
          <w:rFonts w:ascii="Times New Roman" w:hAnsi="Times New Roman" w:eastAsia="宋体"/>
          <w:sz w:val="24"/>
        </w:rPr>
        <w:t>浮运计算还应把拖航吃水和干舷写成明确步骤。根据浮力平衡求得排水体积后，可由沉箱水线面积反算拖航吃水Tt，再用沉箱顶标高与拖航水面之间的差值确定干舷。干舷不足时，即使浮力满足，也不能直接拖航。</w:t>
      </w:r>
    </w:p>
    <w:p>
      <w:pPr>
        <w:tabs>
          <w:tab w:pos="4100" w:val="center"/>
          <w:tab w:pos="8200" w:val="right"/>
        </w:tabs>
        <w:spacing w:lineRule="auto" w:line="360" w:before="0" w:after="0"/>
        <w:jc w:val="left"/>
      </w:pPr>
      <w:r>
        <w:tab/>
      </w:r>
      <m:oMath>
        <m:sSub>
          <m:e>
            <m:r>
              <m:t>h</m:t>
            </m:r>
          </m:e>
          <m:sub>
            <m:r>
              <m:t>f</m:t>
            </m:r>
          </m:sub>
        </m:sSub>
        <m:r>
          <m:rPr>
            <m:sty m:val="p"/>
          </m:rPr>
          <m:t>=</m:t>
        </m:r>
        <m:sSub>
          <m:e>
            <m:r>
              <m:t>H</m:t>
            </m:r>
          </m:e>
          <m:sub>
            <m:r>
              <m:t>c</m:t>
            </m:r>
          </m:sub>
        </m:sSub>
        <m:r>
          <m:rPr>
            <m:sty m:val="p"/>
          </m:rPr>
          <m:t>−</m:t>
        </m:r>
        <m:sSub>
          <m:e>
            <m:r>
              <m:t>T</m:t>
            </m:r>
          </m:e>
          <m:sub>
            <m:r>
              <m:t>t</m:t>
            </m:r>
          </m:sub>
        </m:sSub>
      </m:oMath>
      <w:r>
        <w:rPr>
          <w:rFonts w:ascii="Times New Roman" w:hAnsi="Times New Roman" w:eastAsia="宋体"/>
          <w:sz w:val="24"/>
        </w:rPr>
        <w:tab/>
        <w:t>（5.18）</w:t>
      </w:r>
    </w:p>
    <w:p>
      <w:pPr>
        <w:tabs>
          <w:tab w:pos="4100" w:val="center"/>
          <w:tab w:pos="8200" w:val="right"/>
        </w:tabs>
        <w:spacing w:lineRule="auto" w:line="360" w:before="0" w:after="0"/>
        <w:jc w:val="left"/>
      </w:pPr>
      <w:r>
        <w:tab/>
      </w:r>
      <m:oMath>
        <m:r>
          <m:rPr>
            <m:sty m:val="p"/>
          </m:rPr>
          <m:t>Δ</m:t>
        </m:r>
        <m:r>
          <m:t>G</m:t>
        </m:r>
        <m:r>
          <m:rPr>
            <m:sty m:val="p"/>
          </m:rPr>
          <m:t>=</m:t>
        </m:r>
        <m:sSub>
          <m:e>
            <m:r>
              <m:t>γ</m:t>
            </m:r>
          </m:e>
          <m:sub>
            <m:r>
              <m:t>w</m:t>
            </m:r>
          </m:sub>
        </m:sSub>
        <m:r>
          <m:rPr>
            <m:sty m:val="p"/>
          </m:rPr>
          <m:t>Δ</m:t>
        </m:r>
        <m:r>
          <m:t>V</m:t>
        </m:r>
      </m:oMath>
      <w:r>
        <w:rPr>
          <w:rFonts w:ascii="Times New Roman" w:hAnsi="Times New Roman" w:eastAsia="宋体"/>
          <w:sz w:val="24"/>
        </w:rPr>
        <w:tab/>
        <w:t>（5.19）</w:t>
      </w:r>
    </w:p>
    <w:p>
      <w:pPr>
        <w:spacing w:lineRule="auto" w:line="360" w:before="0" w:after="0"/>
        <w:ind w:firstLine="480"/>
      </w:pPr>
      <w:r>
        <w:rPr>
          <w:rFonts w:ascii="Times New Roman" w:hAnsi="Times New Roman" w:eastAsia="宋体"/>
          <w:sz w:val="24"/>
        </w:rPr>
        <w:t>式中，hf为拖航干舷，Hc为沉箱可用于防进水的控制高度，Tt为拖航吃水，ΔG为压载调整重量，ΔV为相应排水体积变化。该计算用于判断沉箱出运时是否需要增加压载、降低重心或调整拖航窗口。</w:t>
      </w:r>
    </w:p>
    <w:p>
      <w:pPr>
        <w:keepNext/>
        <w:spacing w:lineRule="auto" w:line="300" w:before="0" w:after="120"/>
        <w:jc w:val="center"/>
      </w:pPr>
      <w:r>
        <w:rPr>
          <w:rFonts w:ascii="Times New Roman" w:hAnsi="Times New Roman" w:eastAsia="宋体"/>
          <w:b w:val="0"/>
          <w:sz w:val="20"/>
        </w:rPr>
        <w:t>表5-17 沉箱浮运与沉放复核步骤</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736"/>
        <w:gridCol w:w="2160"/>
        <w:gridCol w:w="259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阶段</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复核内容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控制指标</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处理措施</w:t>
            </w:r>
          </w:p>
        </w:tc>
      </w:tr>
      <w:tr>
        <w:tc>
          <w:tcPr>
            <w:tcW w:type="dxa" w:w="1440"/>
            <w:vAlign w:val="center"/>
          </w:tcPr>
          <w:p>
            <w:pPr>
              <w:spacing w:lineRule="auto" w:line="276"/>
              <w:jc w:val="center"/>
            </w:pPr>
            <w:r>
              <w:rPr>
                <w:rFonts w:ascii="Times New Roman" w:hAnsi="Times New Roman" w:eastAsia="宋体"/>
                <w:b w:val="0"/>
                <w:sz w:val="18"/>
              </w:rPr>
              <w:t>起浮</w:t>
            </w:r>
          </w:p>
        </w:tc>
        <w:tc>
          <w:tcPr>
            <w:tcW w:type="dxa" w:w="2736"/>
            <w:vAlign w:val="center"/>
          </w:tcPr>
          <w:p>
            <w:pPr>
              <w:spacing w:lineRule="auto" w:line="276"/>
              <w:jc w:val="center"/>
            </w:pPr>
            <w:r>
              <w:rPr>
                <w:rFonts w:ascii="Times New Roman" w:hAnsi="Times New Roman" w:eastAsia="宋体"/>
                <w:b w:val="0"/>
                <w:sz w:val="18"/>
              </w:rPr>
              <w:t>浮力与空箱自重比较</w:t>
            </w:r>
          </w:p>
        </w:tc>
        <w:tc>
          <w:tcPr>
            <w:tcW w:type="dxa" w:w="2160"/>
            <w:vAlign w:val="center"/>
          </w:tcPr>
          <w:p>
            <w:pPr>
              <w:spacing w:lineRule="auto" w:line="276"/>
              <w:jc w:val="center"/>
            </w:pPr>
            <w:r>
              <w:rPr>
                <w:rFonts w:ascii="Times New Roman" w:hAnsi="Times New Roman" w:eastAsia="宋体"/>
                <w:b w:val="0"/>
                <w:sz w:val="18"/>
              </w:rPr>
              <w:t>Fb大于G并留储备</w:t>
            </w:r>
          </w:p>
        </w:tc>
        <w:tc>
          <w:tcPr>
            <w:tcW w:type="dxa" w:w="2592"/>
            <w:vAlign w:val="center"/>
          </w:tcPr>
          <w:p>
            <w:pPr>
              <w:spacing w:lineRule="auto" w:line="276"/>
              <w:jc w:val="center"/>
            </w:pPr>
            <w:r>
              <w:rPr>
                <w:rFonts w:ascii="Times New Roman" w:hAnsi="Times New Roman" w:eastAsia="宋体"/>
                <w:b w:val="0"/>
                <w:sz w:val="18"/>
              </w:rPr>
              <w:t>控制起浮水位</w:t>
            </w:r>
          </w:p>
        </w:tc>
      </w:tr>
      <w:tr>
        <w:tc>
          <w:tcPr>
            <w:tcW w:type="dxa" w:w="1440"/>
            <w:vAlign w:val="center"/>
          </w:tcPr>
          <w:p>
            <w:pPr>
              <w:spacing w:lineRule="auto" w:line="276"/>
              <w:jc w:val="center"/>
            </w:pPr>
            <w:r>
              <w:rPr>
                <w:rFonts w:ascii="Times New Roman" w:hAnsi="Times New Roman" w:eastAsia="宋体"/>
                <w:b w:val="0"/>
                <w:sz w:val="18"/>
              </w:rPr>
              <w:t>拖航</w:t>
            </w:r>
          </w:p>
        </w:tc>
        <w:tc>
          <w:tcPr>
            <w:tcW w:type="dxa" w:w="2736"/>
            <w:vAlign w:val="center"/>
          </w:tcPr>
          <w:p>
            <w:pPr>
              <w:spacing w:lineRule="auto" w:line="276"/>
              <w:jc w:val="center"/>
            </w:pPr>
            <w:r>
              <w:rPr>
                <w:rFonts w:ascii="Times New Roman" w:hAnsi="Times New Roman" w:eastAsia="宋体"/>
                <w:b w:val="0"/>
                <w:sz w:val="18"/>
              </w:rPr>
              <w:t>吃水、干舷、GM</w:t>
            </w:r>
          </w:p>
        </w:tc>
        <w:tc>
          <w:tcPr>
            <w:tcW w:type="dxa" w:w="2160"/>
            <w:vAlign w:val="center"/>
          </w:tcPr>
          <w:p>
            <w:pPr>
              <w:spacing w:lineRule="auto" w:line="276"/>
              <w:jc w:val="center"/>
            </w:pPr>
            <w:r>
              <w:rPr>
                <w:rFonts w:ascii="Times New Roman" w:hAnsi="Times New Roman" w:eastAsia="宋体"/>
                <w:b w:val="0"/>
                <w:sz w:val="18"/>
              </w:rPr>
              <w:t>不触底、不进水、稳性满足</w:t>
            </w:r>
          </w:p>
        </w:tc>
        <w:tc>
          <w:tcPr>
            <w:tcW w:type="dxa" w:w="2592"/>
            <w:vAlign w:val="center"/>
          </w:tcPr>
          <w:p>
            <w:pPr>
              <w:spacing w:lineRule="auto" w:line="276"/>
              <w:jc w:val="center"/>
            </w:pPr>
            <w:r>
              <w:rPr>
                <w:rFonts w:ascii="Times New Roman" w:hAnsi="Times New Roman" w:eastAsia="宋体"/>
                <w:b w:val="0"/>
                <w:sz w:val="18"/>
              </w:rPr>
              <w:t>压载和限航</w:t>
            </w:r>
          </w:p>
        </w:tc>
      </w:tr>
      <w:tr>
        <w:tc>
          <w:tcPr>
            <w:tcW w:type="dxa" w:w="1440"/>
            <w:vAlign w:val="center"/>
          </w:tcPr>
          <w:p>
            <w:pPr>
              <w:spacing w:lineRule="auto" w:line="276"/>
              <w:jc w:val="center"/>
            </w:pPr>
            <w:r>
              <w:rPr>
                <w:rFonts w:ascii="Times New Roman" w:hAnsi="Times New Roman" w:eastAsia="宋体"/>
                <w:b w:val="0"/>
                <w:sz w:val="18"/>
              </w:rPr>
              <w:t>临时停泊</w:t>
            </w:r>
          </w:p>
        </w:tc>
        <w:tc>
          <w:tcPr>
            <w:tcW w:type="dxa" w:w="2736"/>
            <w:vAlign w:val="center"/>
          </w:tcPr>
          <w:p>
            <w:pPr>
              <w:spacing w:lineRule="auto" w:line="276"/>
              <w:jc w:val="center"/>
            </w:pPr>
            <w:r>
              <w:rPr>
                <w:rFonts w:ascii="Times New Roman" w:hAnsi="Times New Roman" w:eastAsia="宋体"/>
                <w:b w:val="0"/>
                <w:sz w:val="18"/>
              </w:rPr>
              <w:t>锚泊、风浪和横倾</w:t>
            </w:r>
          </w:p>
        </w:tc>
        <w:tc>
          <w:tcPr>
            <w:tcW w:type="dxa" w:w="2160"/>
            <w:vAlign w:val="center"/>
          </w:tcPr>
          <w:p>
            <w:pPr>
              <w:spacing w:lineRule="auto" w:line="276"/>
              <w:jc w:val="center"/>
            </w:pPr>
            <w:r>
              <w:rPr>
                <w:rFonts w:ascii="Times New Roman" w:hAnsi="Times New Roman" w:eastAsia="宋体"/>
                <w:b w:val="0"/>
                <w:sz w:val="18"/>
              </w:rPr>
              <w:t>横倾角不超限</w:t>
            </w:r>
          </w:p>
        </w:tc>
        <w:tc>
          <w:tcPr>
            <w:tcW w:type="dxa" w:w="2592"/>
            <w:vAlign w:val="center"/>
          </w:tcPr>
          <w:p>
            <w:pPr>
              <w:spacing w:lineRule="auto" w:line="276"/>
              <w:jc w:val="center"/>
            </w:pPr>
            <w:r>
              <w:rPr>
                <w:rFonts w:ascii="Times New Roman" w:hAnsi="Times New Roman" w:eastAsia="宋体"/>
                <w:b w:val="0"/>
                <w:sz w:val="18"/>
              </w:rPr>
              <w:t>避开恶劣天气</w:t>
            </w:r>
          </w:p>
        </w:tc>
      </w:tr>
      <w:tr>
        <w:tc>
          <w:tcPr>
            <w:tcW w:type="dxa" w:w="1440"/>
            <w:vAlign w:val="center"/>
          </w:tcPr>
          <w:p>
            <w:pPr>
              <w:spacing w:lineRule="auto" w:line="276"/>
              <w:jc w:val="center"/>
            </w:pPr>
            <w:r>
              <w:rPr>
                <w:rFonts w:ascii="Times New Roman" w:hAnsi="Times New Roman" w:eastAsia="宋体"/>
                <w:b w:val="0"/>
                <w:sz w:val="18"/>
              </w:rPr>
              <w:t>沉放</w:t>
            </w:r>
          </w:p>
        </w:tc>
        <w:tc>
          <w:tcPr>
            <w:tcW w:type="dxa" w:w="2736"/>
            <w:vAlign w:val="center"/>
          </w:tcPr>
          <w:p>
            <w:pPr>
              <w:spacing w:lineRule="auto" w:line="276"/>
              <w:jc w:val="center"/>
            </w:pPr>
            <w:r>
              <w:rPr>
                <w:rFonts w:ascii="Times New Roman" w:hAnsi="Times New Roman" w:eastAsia="宋体"/>
                <w:b w:val="0"/>
                <w:sz w:val="18"/>
              </w:rPr>
              <w:t>压载水和定位</w:t>
            </w:r>
          </w:p>
        </w:tc>
        <w:tc>
          <w:tcPr>
            <w:tcW w:type="dxa" w:w="2160"/>
            <w:vAlign w:val="center"/>
          </w:tcPr>
          <w:p>
            <w:pPr>
              <w:spacing w:lineRule="auto" w:line="276"/>
              <w:jc w:val="center"/>
            </w:pPr>
            <w:r>
              <w:rPr>
                <w:rFonts w:ascii="Times New Roman" w:hAnsi="Times New Roman" w:eastAsia="宋体"/>
                <w:b w:val="0"/>
                <w:sz w:val="18"/>
              </w:rPr>
              <w:t>坐标、标高、倾斜控制</w:t>
            </w:r>
          </w:p>
        </w:tc>
        <w:tc>
          <w:tcPr>
            <w:tcW w:type="dxa" w:w="2592"/>
            <w:vAlign w:val="center"/>
          </w:tcPr>
          <w:p>
            <w:pPr>
              <w:spacing w:lineRule="auto" w:line="276"/>
              <w:jc w:val="center"/>
            </w:pPr>
            <w:r>
              <w:rPr>
                <w:rFonts w:ascii="Times New Roman" w:hAnsi="Times New Roman" w:eastAsia="宋体"/>
                <w:b w:val="0"/>
                <w:sz w:val="18"/>
              </w:rPr>
              <w:t>分舱压载</w:t>
            </w:r>
          </w:p>
        </w:tc>
      </w:tr>
      <w:tr>
        <w:tc>
          <w:tcPr>
            <w:tcW w:type="dxa" w:w="1440"/>
            <w:vAlign w:val="center"/>
          </w:tcPr>
          <w:p>
            <w:pPr>
              <w:spacing w:lineRule="auto" w:line="276"/>
              <w:jc w:val="center"/>
            </w:pPr>
            <w:r>
              <w:rPr>
                <w:rFonts w:ascii="Times New Roman" w:hAnsi="Times New Roman" w:eastAsia="宋体"/>
                <w:b w:val="0"/>
                <w:sz w:val="18"/>
              </w:rPr>
              <w:t>坐床</w:t>
            </w:r>
          </w:p>
        </w:tc>
        <w:tc>
          <w:tcPr>
            <w:tcW w:type="dxa" w:w="2736"/>
            <w:vAlign w:val="center"/>
          </w:tcPr>
          <w:p>
            <w:pPr>
              <w:spacing w:lineRule="auto" w:line="276"/>
              <w:jc w:val="center"/>
            </w:pPr>
            <w:r>
              <w:rPr>
                <w:rFonts w:ascii="Times New Roman" w:hAnsi="Times New Roman" w:eastAsia="宋体"/>
                <w:b w:val="0"/>
                <w:sz w:val="18"/>
              </w:rPr>
              <w:t>基床接触和偏位</w:t>
            </w:r>
          </w:p>
        </w:tc>
        <w:tc>
          <w:tcPr>
            <w:tcW w:type="dxa" w:w="2160"/>
            <w:vAlign w:val="center"/>
          </w:tcPr>
          <w:p>
            <w:pPr>
              <w:spacing w:lineRule="auto" w:line="276"/>
              <w:jc w:val="center"/>
            </w:pPr>
            <w:r>
              <w:rPr>
                <w:rFonts w:ascii="Times New Roman" w:hAnsi="Times New Roman" w:eastAsia="宋体"/>
                <w:b w:val="0"/>
                <w:sz w:val="18"/>
              </w:rPr>
              <w:t>平面偏差、标高偏差</w:t>
            </w:r>
          </w:p>
        </w:tc>
        <w:tc>
          <w:tcPr>
            <w:tcW w:type="dxa" w:w="2592"/>
            <w:vAlign w:val="center"/>
          </w:tcPr>
          <w:p>
            <w:pPr>
              <w:spacing w:lineRule="auto" w:line="276"/>
              <w:jc w:val="center"/>
            </w:pPr>
            <w:r>
              <w:rPr>
                <w:rFonts w:ascii="Times New Roman" w:hAnsi="Times New Roman" w:eastAsia="宋体"/>
                <w:b w:val="0"/>
                <w:sz w:val="18"/>
              </w:rPr>
              <w:t>复测和局部整平</w:t>
            </w:r>
          </w:p>
        </w:tc>
      </w:tr>
    </w:tbl>
    <w:p/>
    <w:p>
      <w:pPr>
        <w:spacing w:lineRule="auto" w:line="360" w:before="0" w:after="0"/>
        <w:ind w:firstLine="480"/>
      </w:pPr>
      <w:r>
        <w:rPr>
          <w:rFonts w:ascii="Times New Roman" w:hAnsi="Times New Roman" w:eastAsia="宋体"/>
          <w:sz w:val="24"/>
        </w:rPr>
        <w:t>沉放完成后，应立即复核沉箱顶标高、前沿线位置和横向倾斜。若偏差在允许范围内，方可继续进行相邻沉箱安装和胸墙浇筑；若偏差超限，应在上部结构施工前处理，避免误差传递到轨道基础、护舷中心线和系船柱位置。</w:t>
      </w:r>
    </w:p>
    <w:p>
      <w:pPr>
        <w:pStyle w:val="1"/>
        <w:pageBreakBefore/>
        <w:jc w:val="center"/>
      </w:pPr>
      <w:r>
        <w:rPr>
          <w:rFonts w:ascii="Times New Roman" w:hAnsi="Times New Roman" w:eastAsia="宋体"/>
          <w:b/>
          <w:sz w:val="30"/>
        </w:rPr>
        <w:t xml:space="preserve"> 工程概预算</w:t>
      </w:r>
    </w:p>
    <w:p>
      <w:pPr>
        <w:pStyle w:val="2"/>
        <w:jc w:val="left"/>
      </w:pPr>
      <w:r>
        <w:rPr>
          <w:rFonts w:ascii="Times New Roman" w:hAnsi="Times New Roman" w:eastAsia="宋体"/>
          <w:b/>
          <w:sz w:val="24"/>
        </w:rPr>
        <w:t xml:space="preserve"> 概预算编制范围与依据</w:t>
      </w:r>
    </w:p>
    <w:p>
      <w:pPr>
        <w:spacing w:lineRule="auto" w:line="360" w:before="0" w:after="0"/>
        <w:ind w:firstLine="480"/>
      </w:pPr>
      <w:r>
        <w:rPr>
          <w:rFonts w:ascii="Times New Roman" w:hAnsi="Times New Roman" w:eastAsia="宋体"/>
          <w:sz w:val="24"/>
        </w:rPr>
        <w:t>概预算章节是本轮修改的重点补充内容。工程概预算不再只以文字说明带过，而是按单位工程、分部工程、主要工程量、估算单价和费用构成进行展开，使结构方案选择具备经济依据。</w:t>
      </w:r>
    </w:p>
    <w:p>
      <w:pPr>
        <w:spacing w:lineRule="auto" w:line="360" w:before="0" w:after="0"/>
        <w:ind w:firstLine="480"/>
      </w:pPr>
      <w:r>
        <w:rPr>
          <w:rFonts w:ascii="Times New Roman" w:hAnsi="Times New Roman" w:eastAsia="宋体"/>
          <w:sz w:val="24"/>
        </w:rPr>
        <w:t>本阶段概预算按初步设计深度估算，费用范围包括水工主体结构、基床与地基处理、后方回填、堆场道路、装卸设备基础、附属设施、临时工程、措施费和预备费。设备购置费仅按主要装卸设备配置作估算说明，不替代后续招标价格。</w:t>
      </w:r>
    </w:p>
    <w:p>
      <w:pPr>
        <w:keepNext/>
        <w:spacing w:lineRule="auto" w:line="300" w:before="0" w:after="120"/>
        <w:jc w:val="center"/>
      </w:pPr>
      <w:r>
        <w:rPr>
          <w:rFonts w:ascii="Times New Roman" w:hAnsi="Times New Roman" w:eastAsia="宋体"/>
          <w:b w:val="0"/>
          <w:sz w:val="20"/>
        </w:rPr>
        <w:t>表6-1 单位工程划分</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3312"/>
        <w:gridCol w:w="273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单位工程</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主要内容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对应图纸/章节</w:t>
            </w:r>
          </w:p>
        </w:tc>
      </w:tr>
      <w:tr>
        <w:tc>
          <w:tcPr>
            <w:tcW w:type="dxa" w:w="2304"/>
            <w:vAlign w:val="center"/>
          </w:tcPr>
          <w:p>
            <w:pPr>
              <w:spacing w:lineRule="auto" w:line="276"/>
              <w:jc w:val="center"/>
            </w:pPr>
            <w:r>
              <w:rPr>
                <w:rFonts w:ascii="Times New Roman" w:hAnsi="Times New Roman" w:eastAsia="宋体"/>
                <w:b w:val="0"/>
                <w:sz w:val="18"/>
              </w:rPr>
              <w:t>水工主体工程</w:t>
            </w:r>
          </w:p>
        </w:tc>
        <w:tc>
          <w:tcPr>
            <w:tcW w:type="dxa" w:w="3312"/>
            <w:vAlign w:val="center"/>
          </w:tcPr>
          <w:p>
            <w:pPr>
              <w:spacing w:lineRule="auto" w:line="276"/>
              <w:jc w:val="center"/>
            </w:pPr>
            <w:r>
              <w:rPr>
                <w:rFonts w:ascii="Times New Roman" w:hAnsi="Times New Roman" w:eastAsia="宋体"/>
                <w:b w:val="0"/>
                <w:sz w:val="18"/>
              </w:rPr>
              <w:t>沉箱或大圆筒、胸墙、护舷、系船柱</w:t>
            </w:r>
          </w:p>
        </w:tc>
        <w:tc>
          <w:tcPr>
            <w:tcW w:type="dxa" w:w="2736"/>
            <w:vAlign w:val="center"/>
          </w:tcPr>
          <w:p>
            <w:pPr>
              <w:spacing w:lineRule="auto" w:line="276"/>
              <w:jc w:val="center"/>
            </w:pPr>
            <w:r>
              <w:rPr>
                <w:rFonts w:ascii="Times New Roman" w:hAnsi="Times New Roman" w:eastAsia="宋体"/>
                <w:b w:val="0"/>
                <w:sz w:val="18"/>
              </w:rPr>
              <w:t>S-01、S-02、C-01、C-02</w:t>
            </w:r>
          </w:p>
        </w:tc>
      </w:tr>
      <w:tr>
        <w:tc>
          <w:tcPr>
            <w:tcW w:type="dxa" w:w="2304"/>
            <w:vAlign w:val="center"/>
          </w:tcPr>
          <w:p>
            <w:pPr>
              <w:spacing w:lineRule="auto" w:line="276"/>
              <w:jc w:val="center"/>
            </w:pPr>
            <w:r>
              <w:rPr>
                <w:rFonts w:ascii="Times New Roman" w:hAnsi="Times New Roman" w:eastAsia="宋体"/>
                <w:b w:val="0"/>
                <w:sz w:val="18"/>
              </w:rPr>
              <w:t>基床与地基处理</w:t>
            </w:r>
          </w:p>
        </w:tc>
        <w:tc>
          <w:tcPr>
            <w:tcW w:type="dxa" w:w="3312"/>
            <w:vAlign w:val="center"/>
          </w:tcPr>
          <w:p>
            <w:pPr>
              <w:spacing w:lineRule="auto" w:line="276"/>
              <w:jc w:val="center"/>
            </w:pPr>
            <w:r>
              <w:rPr>
                <w:rFonts w:ascii="Times New Roman" w:hAnsi="Times New Roman" w:eastAsia="宋体"/>
                <w:b w:val="0"/>
                <w:sz w:val="18"/>
              </w:rPr>
              <w:t>基槽开挖、抛石、夯实、二片石整平</w:t>
            </w:r>
          </w:p>
        </w:tc>
        <w:tc>
          <w:tcPr>
            <w:tcW w:type="dxa" w:w="2736"/>
            <w:vAlign w:val="center"/>
          </w:tcPr>
          <w:p>
            <w:pPr>
              <w:spacing w:lineRule="auto" w:line="276"/>
              <w:jc w:val="center"/>
            </w:pPr>
            <w:r>
              <w:rPr>
                <w:rFonts w:ascii="Times New Roman" w:hAnsi="Times New Roman" w:eastAsia="宋体"/>
                <w:b w:val="0"/>
                <w:sz w:val="18"/>
              </w:rPr>
              <w:t>断面图和计算章节</w:t>
            </w:r>
          </w:p>
        </w:tc>
      </w:tr>
      <w:tr>
        <w:tc>
          <w:tcPr>
            <w:tcW w:type="dxa" w:w="2304"/>
            <w:vAlign w:val="center"/>
          </w:tcPr>
          <w:p>
            <w:pPr>
              <w:spacing w:lineRule="auto" w:line="276"/>
              <w:jc w:val="center"/>
            </w:pPr>
            <w:r>
              <w:rPr>
                <w:rFonts w:ascii="Times New Roman" w:hAnsi="Times New Roman" w:eastAsia="宋体"/>
                <w:b w:val="0"/>
                <w:sz w:val="18"/>
              </w:rPr>
              <w:t>陆域形成工程</w:t>
            </w:r>
          </w:p>
        </w:tc>
        <w:tc>
          <w:tcPr>
            <w:tcW w:type="dxa" w:w="3312"/>
            <w:vAlign w:val="center"/>
          </w:tcPr>
          <w:p>
            <w:pPr>
              <w:spacing w:lineRule="auto" w:line="276"/>
              <w:jc w:val="center"/>
            </w:pPr>
            <w:r>
              <w:rPr>
                <w:rFonts w:ascii="Times New Roman" w:hAnsi="Times New Roman" w:eastAsia="宋体"/>
                <w:b w:val="0"/>
                <w:sz w:val="18"/>
              </w:rPr>
              <w:t>后方回填、倒滤层、堆场基层</w:t>
            </w:r>
          </w:p>
        </w:tc>
        <w:tc>
          <w:tcPr>
            <w:tcW w:type="dxa" w:w="2736"/>
            <w:vAlign w:val="center"/>
          </w:tcPr>
          <w:p>
            <w:pPr>
              <w:spacing w:lineRule="auto" w:line="276"/>
              <w:jc w:val="center"/>
            </w:pPr>
            <w:r>
              <w:rPr>
                <w:rFonts w:ascii="Times New Roman" w:hAnsi="Times New Roman" w:eastAsia="宋体"/>
                <w:b w:val="0"/>
                <w:sz w:val="18"/>
              </w:rPr>
              <w:t>总平面和陆域布置</w:t>
            </w:r>
          </w:p>
        </w:tc>
      </w:tr>
      <w:tr>
        <w:tc>
          <w:tcPr>
            <w:tcW w:type="dxa" w:w="2304"/>
            <w:vAlign w:val="center"/>
          </w:tcPr>
          <w:p>
            <w:pPr>
              <w:spacing w:lineRule="auto" w:line="276"/>
              <w:jc w:val="center"/>
            </w:pPr>
            <w:r>
              <w:rPr>
                <w:rFonts w:ascii="Times New Roman" w:hAnsi="Times New Roman" w:eastAsia="宋体"/>
                <w:b w:val="0"/>
                <w:sz w:val="18"/>
              </w:rPr>
              <w:t>堆场道路工程</w:t>
            </w:r>
          </w:p>
        </w:tc>
        <w:tc>
          <w:tcPr>
            <w:tcW w:type="dxa" w:w="3312"/>
            <w:vAlign w:val="center"/>
          </w:tcPr>
          <w:p>
            <w:pPr>
              <w:spacing w:lineRule="auto" w:line="276"/>
              <w:jc w:val="center"/>
            </w:pPr>
            <w:r>
              <w:rPr>
                <w:rFonts w:ascii="Times New Roman" w:hAnsi="Times New Roman" w:eastAsia="宋体"/>
                <w:b w:val="0"/>
                <w:sz w:val="18"/>
              </w:rPr>
              <w:t>堆场面层、道路、排水沟、闸口</w:t>
            </w:r>
          </w:p>
        </w:tc>
        <w:tc>
          <w:tcPr>
            <w:tcW w:type="dxa" w:w="2736"/>
            <w:vAlign w:val="center"/>
          </w:tcPr>
          <w:p>
            <w:pPr>
              <w:spacing w:lineRule="auto" w:line="276"/>
              <w:jc w:val="center"/>
            </w:pPr>
            <w:r>
              <w:rPr>
                <w:rFonts w:ascii="Times New Roman" w:hAnsi="Times New Roman" w:eastAsia="宋体"/>
                <w:b w:val="0"/>
                <w:sz w:val="18"/>
              </w:rPr>
              <w:t>总平面图</w:t>
            </w:r>
          </w:p>
        </w:tc>
      </w:tr>
      <w:tr>
        <w:tc>
          <w:tcPr>
            <w:tcW w:type="dxa" w:w="2304"/>
            <w:vAlign w:val="center"/>
          </w:tcPr>
          <w:p>
            <w:pPr>
              <w:spacing w:lineRule="auto" w:line="276"/>
              <w:jc w:val="center"/>
            </w:pPr>
            <w:r>
              <w:rPr>
                <w:rFonts w:ascii="Times New Roman" w:hAnsi="Times New Roman" w:eastAsia="宋体"/>
                <w:b w:val="0"/>
                <w:sz w:val="18"/>
              </w:rPr>
              <w:t>装卸工艺工程</w:t>
            </w:r>
          </w:p>
        </w:tc>
        <w:tc>
          <w:tcPr>
            <w:tcW w:type="dxa" w:w="3312"/>
            <w:vAlign w:val="center"/>
          </w:tcPr>
          <w:p>
            <w:pPr>
              <w:spacing w:lineRule="auto" w:line="276"/>
              <w:jc w:val="center"/>
            </w:pPr>
            <w:r>
              <w:rPr>
                <w:rFonts w:ascii="Times New Roman" w:hAnsi="Times New Roman" w:eastAsia="宋体"/>
                <w:b w:val="0"/>
                <w:sz w:val="18"/>
              </w:rPr>
              <w:t>岸桥轨道基础、RTG场地、铁路装卸区</w:t>
            </w:r>
          </w:p>
        </w:tc>
        <w:tc>
          <w:tcPr>
            <w:tcW w:type="dxa" w:w="2736"/>
            <w:vAlign w:val="center"/>
          </w:tcPr>
          <w:p>
            <w:pPr>
              <w:spacing w:lineRule="auto" w:line="276"/>
              <w:jc w:val="center"/>
            </w:pPr>
            <w:r>
              <w:rPr>
                <w:rFonts w:ascii="Times New Roman" w:hAnsi="Times New Roman" w:eastAsia="宋体"/>
                <w:b w:val="0"/>
                <w:sz w:val="18"/>
              </w:rPr>
              <w:t>工艺章节</w:t>
            </w:r>
          </w:p>
        </w:tc>
      </w:tr>
      <w:tr>
        <w:tc>
          <w:tcPr>
            <w:tcW w:type="dxa" w:w="2304"/>
            <w:vAlign w:val="center"/>
          </w:tcPr>
          <w:p>
            <w:pPr>
              <w:spacing w:lineRule="auto" w:line="276"/>
              <w:jc w:val="center"/>
            </w:pPr>
            <w:r>
              <w:rPr>
                <w:rFonts w:ascii="Times New Roman" w:hAnsi="Times New Roman" w:eastAsia="宋体"/>
                <w:b w:val="0"/>
                <w:sz w:val="18"/>
              </w:rPr>
              <w:t>临时与措施工程</w:t>
            </w:r>
          </w:p>
        </w:tc>
        <w:tc>
          <w:tcPr>
            <w:tcW w:type="dxa" w:w="3312"/>
            <w:vAlign w:val="center"/>
          </w:tcPr>
          <w:p>
            <w:pPr>
              <w:spacing w:lineRule="auto" w:line="276"/>
              <w:jc w:val="center"/>
            </w:pPr>
            <w:r>
              <w:rPr>
                <w:rFonts w:ascii="Times New Roman" w:hAnsi="Times New Roman" w:eastAsia="宋体"/>
                <w:b w:val="0"/>
                <w:sz w:val="18"/>
              </w:rPr>
              <w:t>围护、施工船机、临时道路和排水</w:t>
            </w:r>
          </w:p>
        </w:tc>
        <w:tc>
          <w:tcPr>
            <w:tcW w:type="dxa" w:w="2736"/>
            <w:vAlign w:val="center"/>
          </w:tcPr>
          <w:p>
            <w:pPr>
              <w:spacing w:lineRule="auto" w:line="276"/>
              <w:jc w:val="center"/>
            </w:pPr>
            <w:r>
              <w:rPr>
                <w:rFonts w:ascii="Times New Roman" w:hAnsi="Times New Roman" w:eastAsia="宋体"/>
                <w:b w:val="0"/>
                <w:sz w:val="18"/>
              </w:rPr>
              <w:t>施工组织估算</w:t>
            </w:r>
          </w:p>
        </w:tc>
      </w:tr>
    </w:tbl>
    <w:p/>
    <w:p>
      <w:pPr>
        <w:spacing w:lineRule="auto" w:line="360" w:before="0" w:after="0"/>
        <w:ind w:firstLine="480"/>
      </w:pPr>
      <w:r>
        <w:rPr>
          <w:rFonts w:ascii="Times New Roman" w:hAnsi="Times New Roman" w:eastAsia="宋体"/>
          <w:sz w:val="24"/>
        </w:rPr>
        <w:t>概预算编制对单位工程划分作单独说明，是因为该项会传递到方案经济比较。正文先交代取值口径，再说明它在图纸、计算或施工中的落点，使参数不是停留在资料摘录层面。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针对工程量清单，本设计采用先定尺度、再核算能力、最后回到图纸表达的写法。这样处理后，审阅时可以直接看到该项与方案经济比较之间的对应关系。</w:t>
      </w:r>
    </w:p>
    <w:p>
      <w:pPr>
        <w:spacing w:lineRule="auto" w:line="360" w:before="0" w:after="0"/>
        <w:ind w:firstLine="480"/>
      </w:pPr>
      <w:r>
        <w:rPr>
          <w:rFonts w:ascii="Times New Roman" w:hAnsi="Times New Roman" w:eastAsia="宋体"/>
          <w:sz w:val="24"/>
        </w:rPr>
        <w:t>材料价格取值偏小会压缩安全或施工余量，取值偏大又会增加工程量。本说明书按初步设计深度采用适中偏保守的控制值，并在后续章节保留施工图复核接口。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从现场实施看，机械台班还会影响施工顺序、材料组织和质量检查。正文把这些影响写入相邻段落，避免图纸有尺寸而说明书缺少工程解释。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概预算编制中的运输距离同时具有设计和管理意义。它既是计算输入，也是后续概预算、施工组织和运行维护的判断依据，因此需要在正文中给出明确说明。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围绕预制场费用，本设计重点核对三件事：是否满足规范和船型需求，是否能在A1图纸中清楚表达，是否会改变方案经济比较的工程量或安全储备。</w:t>
      </w:r>
    </w:p>
    <w:p>
      <w:pPr>
        <w:spacing w:lineRule="auto" w:line="360" w:before="0" w:after="0"/>
        <w:ind w:firstLine="480"/>
      </w:pPr>
      <w:r>
        <w:rPr>
          <w:rFonts w:ascii="Times New Roman" w:hAnsi="Times New Roman" w:eastAsia="宋体"/>
          <w:sz w:val="24"/>
        </w:rPr>
        <w:t>若后续详勘或施工条件发生变化，水上施工措施是需要优先复核的项目之一。本阶段先把采用值、影响范围和复核方向写清楚，便于施工图阶段继续深化。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临时工程的说明与方案经济比较相互衔接。正文采用工程语言解释其作用，而不把它写成泛泛的背景材料，从而压缩自然状况篇幅并提高设计章节比重。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概预算编制对安全文明施工作单独说明，是因为该项会传递到方案经济比较。正文先交代取值口径，再说明它在图纸、计算或施工中的落点，使参数不是停留在资料摘录层面。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针对预备费，本设计采用先定尺度、再核算能力、最后回到图纸表达的写法。这样处理后，审阅时可以直接看到该项与方案经济比较之间的对应关系。</w:t>
      </w:r>
    </w:p>
    <w:p>
      <w:pPr>
        <w:spacing w:lineRule="auto" w:line="360" w:before="0" w:after="0"/>
        <w:ind w:firstLine="480"/>
      </w:pPr>
      <w:r>
        <w:rPr>
          <w:rFonts w:ascii="Times New Roman" w:hAnsi="Times New Roman" w:eastAsia="宋体"/>
          <w:sz w:val="24"/>
        </w:rPr>
        <w:t>概预算为方案比选服务，因此工程量划分不宜过粗。本设计把泊位按水工主体、基床与地基处理、陆域形成、装卸工艺基础、附属设施和临时工程分项统计。每一项均对应结构章节中的尺寸或施工做法，避免只给出总价而缺少来源。</w:t>
      </w:r>
    </w:p>
    <w:p>
      <w:pPr>
        <w:spacing w:lineRule="auto" w:line="360" w:before="0" w:after="0"/>
        <w:ind w:firstLine="480"/>
      </w:pPr>
      <w:r>
        <w:rPr>
          <w:rFonts w:ascii="Times New Roman" w:hAnsi="Times New Roman" w:eastAsia="宋体"/>
          <w:sz w:val="24"/>
        </w:rPr>
        <w:t>估算单价采用综合单价口径，包含材料、机械、人工、运输和施工损耗等因素。对于沉箱预制、大圆筒预制、块石基床和开山石回填等工程量较大的项目，应在表中单独列项，便于比较两种结构方案的经济差异。</w:t>
      </w:r>
    </w:p>
    <w:p>
      <w:pPr>
        <w:pStyle w:val="2"/>
        <w:jc w:val="left"/>
      </w:pPr>
      <w:r>
        <w:rPr>
          <w:rFonts w:ascii="Times New Roman" w:hAnsi="Times New Roman" w:eastAsia="宋体"/>
          <w:b/>
          <w:sz w:val="24"/>
        </w:rPr>
        <w:t xml:space="preserve"> 方案一沉箱工程量估算</w:t>
      </w:r>
    </w:p>
    <w:p>
      <w:pPr>
        <w:spacing w:lineRule="auto" w:line="360" w:before="0" w:after="0"/>
        <w:ind w:firstLine="480"/>
      </w:pPr>
      <w:r>
        <w:rPr>
          <w:rFonts w:ascii="Times New Roman" w:hAnsi="Times New Roman" w:eastAsia="宋体"/>
          <w:sz w:val="24"/>
        </w:rPr>
        <w:t>沉箱方案工程量按10座沉箱、每座约29.95m长度估算。主体工程量包括沉箱混凝土、钢筋、箱内回填、现浇胸墙、基床块石、二片石垫层、倒滤层、后方回填、护舷、系船柱和预埋件。</w:t>
      </w:r>
    </w:p>
    <w:p>
      <w:pPr>
        <w:keepNext/>
        <w:spacing w:lineRule="auto" w:line="300" w:before="0" w:after="120"/>
        <w:jc w:val="center"/>
      </w:pPr>
      <w:r>
        <w:rPr>
          <w:rFonts w:ascii="Times New Roman" w:hAnsi="Times New Roman" w:eastAsia="宋体"/>
          <w:b w:val="0"/>
          <w:sz w:val="20"/>
        </w:rPr>
        <w:t>表6-2 沉箱方案主要工程量估算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152"/>
        <w:gridCol w:w="1728"/>
        <w:gridCol w:w="360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预制沉箱C45混凝土</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约7800</w:t>
            </w:r>
          </w:p>
        </w:tc>
        <w:tc>
          <w:tcPr>
            <w:tcW w:type="dxa" w:w="3600"/>
            <w:vAlign w:val="center"/>
          </w:tcPr>
          <w:p>
            <w:pPr>
              <w:spacing w:lineRule="auto" w:line="276"/>
              <w:jc w:val="center"/>
            </w:pPr>
            <w:r>
              <w:rPr>
                <w:rFonts w:ascii="Times New Roman" w:hAnsi="Times New Roman" w:eastAsia="宋体"/>
                <w:b w:val="0"/>
                <w:sz w:val="18"/>
              </w:rPr>
              <w:t>10座沉箱主体</w:t>
            </w:r>
          </w:p>
        </w:tc>
      </w:tr>
      <w:tr>
        <w:tc>
          <w:tcPr>
            <w:tcW w:type="dxa" w:w="2160"/>
            <w:vAlign w:val="center"/>
          </w:tcPr>
          <w:p>
            <w:pPr>
              <w:spacing w:lineRule="auto" w:line="276"/>
              <w:jc w:val="center"/>
            </w:pPr>
            <w:r>
              <w:rPr>
                <w:rFonts w:ascii="Times New Roman" w:hAnsi="Times New Roman" w:eastAsia="宋体"/>
                <w:b w:val="0"/>
                <w:sz w:val="18"/>
              </w:rPr>
              <w:t>沉箱钢筋</w:t>
            </w:r>
          </w:p>
        </w:tc>
        <w:tc>
          <w:tcPr>
            <w:tcW w:type="dxa" w:w="1152"/>
            <w:vAlign w:val="center"/>
          </w:tcPr>
          <w:p>
            <w:pPr>
              <w:spacing w:lineRule="auto" w:line="276"/>
              <w:jc w:val="center"/>
            </w:pPr>
            <w:r>
              <w:rPr>
                <w:rFonts w:ascii="Times New Roman" w:hAnsi="Times New Roman" w:eastAsia="宋体"/>
                <w:b w:val="0"/>
                <w:sz w:val="18"/>
              </w:rPr>
              <w:t>t</w:t>
            </w:r>
          </w:p>
        </w:tc>
        <w:tc>
          <w:tcPr>
            <w:tcW w:type="dxa" w:w="1728"/>
            <w:vAlign w:val="center"/>
          </w:tcPr>
          <w:p>
            <w:pPr>
              <w:spacing w:lineRule="auto" w:line="276"/>
              <w:jc w:val="center"/>
            </w:pPr>
            <w:r>
              <w:rPr>
                <w:rFonts w:ascii="Times New Roman" w:hAnsi="Times New Roman" w:eastAsia="宋体"/>
                <w:b w:val="0"/>
                <w:sz w:val="18"/>
              </w:rPr>
              <w:t>约980</w:t>
            </w:r>
          </w:p>
        </w:tc>
        <w:tc>
          <w:tcPr>
            <w:tcW w:type="dxa" w:w="3600"/>
            <w:vAlign w:val="center"/>
          </w:tcPr>
          <w:p>
            <w:pPr>
              <w:spacing w:lineRule="auto" w:line="276"/>
              <w:jc w:val="center"/>
            </w:pPr>
            <w:r>
              <w:rPr>
                <w:rFonts w:ascii="Times New Roman" w:hAnsi="Times New Roman" w:eastAsia="宋体"/>
                <w:b w:val="0"/>
                <w:sz w:val="18"/>
              </w:rPr>
              <w:t>按125kg/m3估算</w:t>
            </w:r>
          </w:p>
        </w:tc>
      </w:tr>
      <w:tr>
        <w:tc>
          <w:tcPr>
            <w:tcW w:type="dxa" w:w="2160"/>
            <w:vAlign w:val="center"/>
          </w:tcPr>
          <w:p>
            <w:pPr>
              <w:spacing w:lineRule="auto" w:line="276"/>
              <w:jc w:val="center"/>
            </w:pPr>
            <w:r>
              <w:rPr>
                <w:rFonts w:ascii="Times New Roman" w:hAnsi="Times New Roman" w:eastAsia="宋体"/>
                <w:b w:val="0"/>
                <w:sz w:val="18"/>
              </w:rPr>
              <w:t>箱内开山石回填</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约24000</w:t>
            </w:r>
          </w:p>
        </w:tc>
        <w:tc>
          <w:tcPr>
            <w:tcW w:type="dxa" w:w="3600"/>
            <w:vAlign w:val="center"/>
          </w:tcPr>
          <w:p>
            <w:pPr>
              <w:spacing w:lineRule="auto" w:line="276"/>
              <w:jc w:val="center"/>
            </w:pPr>
            <w:r>
              <w:rPr>
                <w:rFonts w:ascii="Times New Roman" w:hAnsi="Times New Roman" w:eastAsia="宋体"/>
                <w:b w:val="0"/>
                <w:sz w:val="18"/>
              </w:rPr>
              <w:t>舱格内回填</w:t>
            </w:r>
          </w:p>
        </w:tc>
      </w:tr>
      <w:tr>
        <w:tc>
          <w:tcPr>
            <w:tcW w:type="dxa" w:w="2160"/>
            <w:vAlign w:val="center"/>
          </w:tcPr>
          <w:p>
            <w:pPr>
              <w:spacing w:lineRule="auto" w:line="276"/>
              <w:jc w:val="center"/>
            </w:pPr>
            <w:r>
              <w:rPr>
                <w:rFonts w:ascii="Times New Roman" w:hAnsi="Times New Roman" w:eastAsia="宋体"/>
                <w:b w:val="0"/>
                <w:sz w:val="18"/>
              </w:rPr>
              <w:t>现浇胸墙C40</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约4200</w:t>
            </w:r>
          </w:p>
        </w:tc>
        <w:tc>
          <w:tcPr>
            <w:tcW w:type="dxa" w:w="3600"/>
            <w:vAlign w:val="center"/>
          </w:tcPr>
          <w:p>
            <w:pPr>
              <w:spacing w:lineRule="auto" w:line="276"/>
              <w:jc w:val="center"/>
            </w:pPr>
            <w:r>
              <w:rPr>
                <w:rFonts w:ascii="Times New Roman" w:hAnsi="Times New Roman" w:eastAsia="宋体"/>
                <w:b w:val="0"/>
                <w:sz w:val="18"/>
              </w:rPr>
              <w:t>含压顶和局部基础</w:t>
            </w:r>
          </w:p>
        </w:tc>
      </w:tr>
      <w:tr>
        <w:tc>
          <w:tcPr>
            <w:tcW w:type="dxa" w:w="2160"/>
            <w:vAlign w:val="center"/>
          </w:tcPr>
          <w:p>
            <w:pPr>
              <w:spacing w:lineRule="auto" w:line="276"/>
              <w:jc w:val="center"/>
            </w:pPr>
            <w:r>
              <w:rPr>
                <w:rFonts w:ascii="Times New Roman" w:hAnsi="Times New Roman" w:eastAsia="宋体"/>
                <w:b w:val="0"/>
                <w:sz w:val="18"/>
              </w:rPr>
              <w:t>基床块石</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约18000</w:t>
            </w:r>
          </w:p>
        </w:tc>
        <w:tc>
          <w:tcPr>
            <w:tcW w:type="dxa" w:w="3600"/>
            <w:vAlign w:val="center"/>
          </w:tcPr>
          <w:p>
            <w:pPr>
              <w:spacing w:lineRule="auto" w:line="276"/>
              <w:jc w:val="center"/>
            </w:pPr>
            <w:r>
              <w:rPr>
                <w:rFonts w:ascii="Times New Roman" w:hAnsi="Times New Roman" w:eastAsia="宋体"/>
                <w:b w:val="0"/>
                <w:sz w:val="18"/>
              </w:rPr>
              <w:t>基槽换填和坐床</w:t>
            </w:r>
          </w:p>
        </w:tc>
      </w:tr>
      <w:tr>
        <w:tc>
          <w:tcPr>
            <w:tcW w:type="dxa" w:w="2160"/>
            <w:vAlign w:val="center"/>
          </w:tcPr>
          <w:p>
            <w:pPr>
              <w:spacing w:lineRule="auto" w:line="276"/>
              <w:jc w:val="center"/>
            </w:pPr>
            <w:r>
              <w:rPr>
                <w:rFonts w:ascii="Times New Roman" w:hAnsi="Times New Roman" w:eastAsia="宋体"/>
                <w:b w:val="0"/>
                <w:sz w:val="18"/>
              </w:rPr>
              <w:t>二片石垫层</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约2400</w:t>
            </w:r>
          </w:p>
        </w:tc>
        <w:tc>
          <w:tcPr>
            <w:tcW w:type="dxa" w:w="3600"/>
            <w:vAlign w:val="center"/>
          </w:tcPr>
          <w:p>
            <w:pPr>
              <w:spacing w:lineRule="auto" w:line="276"/>
              <w:jc w:val="center"/>
            </w:pPr>
            <w:r>
              <w:rPr>
                <w:rFonts w:ascii="Times New Roman" w:hAnsi="Times New Roman" w:eastAsia="宋体"/>
                <w:b w:val="0"/>
                <w:sz w:val="18"/>
              </w:rPr>
              <w:t>整平垫层</w:t>
            </w:r>
          </w:p>
        </w:tc>
      </w:tr>
      <w:tr>
        <w:tc>
          <w:tcPr>
            <w:tcW w:type="dxa" w:w="2160"/>
            <w:vAlign w:val="center"/>
          </w:tcPr>
          <w:p>
            <w:pPr>
              <w:spacing w:lineRule="auto" w:line="276"/>
              <w:jc w:val="center"/>
            </w:pPr>
            <w:r>
              <w:rPr>
                <w:rFonts w:ascii="Times New Roman" w:hAnsi="Times New Roman" w:eastAsia="宋体"/>
                <w:b w:val="0"/>
                <w:sz w:val="18"/>
              </w:rPr>
              <w:t>倒滤层及土工布</w:t>
            </w:r>
          </w:p>
        </w:tc>
        <w:tc>
          <w:tcPr>
            <w:tcW w:type="dxa" w:w="1152"/>
            <w:vAlign w:val="center"/>
          </w:tcPr>
          <w:p>
            <w:pPr>
              <w:spacing w:lineRule="auto" w:line="276"/>
              <w:jc w:val="center"/>
            </w:pPr>
            <w:r>
              <w:rPr>
                <w:rFonts w:ascii="Times New Roman" w:hAnsi="Times New Roman" w:eastAsia="宋体"/>
                <w:b w:val="0"/>
                <w:sz w:val="18"/>
              </w:rPr>
              <w:t>m2</w:t>
            </w:r>
          </w:p>
        </w:tc>
        <w:tc>
          <w:tcPr>
            <w:tcW w:type="dxa" w:w="1728"/>
            <w:vAlign w:val="center"/>
          </w:tcPr>
          <w:p>
            <w:pPr>
              <w:spacing w:lineRule="auto" w:line="276"/>
              <w:jc w:val="center"/>
            </w:pPr>
            <w:r>
              <w:rPr>
                <w:rFonts w:ascii="Times New Roman" w:hAnsi="Times New Roman" w:eastAsia="宋体"/>
                <w:b w:val="0"/>
                <w:sz w:val="18"/>
              </w:rPr>
              <w:t>约9000</w:t>
            </w:r>
          </w:p>
        </w:tc>
        <w:tc>
          <w:tcPr>
            <w:tcW w:type="dxa" w:w="3600"/>
            <w:vAlign w:val="center"/>
          </w:tcPr>
          <w:p>
            <w:pPr>
              <w:spacing w:lineRule="auto" w:line="276"/>
              <w:jc w:val="center"/>
            </w:pPr>
            <w:r>
              <w:rPr>
                <w:rFonts w:ascii="Times New Roman" w:hAnsi="Times New Roman" w:eastAsia="宋体"/>
                <w:b w:val="0"/>
                <w:sz w:val="18"/>
              </w:rPr>
              <w:t>墙后反滤</w:t>
            </w:r>
          </w:p>
        </w:tc>
      </w:tr>
      <w:tr>
        <w:tc>
          <w:tcPr>
            <w:tcW w:type="dxa" w:w="2160"/>
            <w:vAlign w:val="center"/>
          </w:tcPr>
          <w:p>
            <w:pPr>
              <w:spacing w:lineRule="auto" w:line="276"/>
              <w:jc w:val="center"/>
            </w:pPr>
            <w:r>
              <w:rPr>
                <w:rFonts w:ascii="Times New Roman" w:hAnsi="Times New Roman" w:eastAsia="宋体"/>
                <w:b w:val="0"/>
                <w:sz w:val="18"/>
              </w:rPr>
              <w:t>后方开山石回填</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约90000</w:t>
            </w:r>
          </w:p>
        </w:tc>
        <w:tc>
          <w:tcPr>
            <w:tcW w:type="dxa" w:w="3600"/>
            <w:vAlign w:val="center"/>
          </w:tcPr>
          <w:p>
            <w:pPr>
              <w:spacing w:lineRule="auto" w:line="276"/>
              <w:jc w:val="center"/>
            </w:pPr>
            <w:r>
              <w:rPr>
                <w:rFonts w:ascii="Times New Roman" w:hAnsi="Times New Roman" w:eastAsia="宋体"/>
                <w:b w:val="0"/>
                <w:sz w:val="18"/>
              </w:rPr>
              <w:t>陆域形成</w:t>
            </w:r>
          </w:p>
        </w:tc>
      </w:tr>
      <w:tr>
        <w:tc>
          <w:tcPr>
            <w:tcW w:type="dxa" w:w="2160"/>
            <w:vAlign w:val="center"/>
          </w:tcPr>
          <w:p>
            <w:pPr>
              <w:spacing w:lineRule="auto" w:line="276"/>
              <w:jc w:val="center"/>
            </w:pPr>
            <w:r>
              <w:rPr>
                <w:rFonts w:ascii="Times New Roman" w:hAnsi="Times New Roman" w:eastAsia="宋体"/>
                <w:b w:val="0"/>
                <w:sz w:val="18"/>
              </w:rPr>
              <w:t>护舷</w:t>
            </w:r>
          </w:p>
        </w:tc>
        <w:tc>
          <w:tcPr>
            <w:tcW w:type="dxa" w:w="1152"/>
            <w:vAlign w:val="center"/>
          </w:tcPr>
          <w:p>
            <w:pPr>
              <w:spacing w:lineRule="auto" w:line="276"/>
              <w:jc w:val="center"/>
            </w:pPr>
            <w:r>
              <w:rPr>
                <w:rFonts w:ascii="Times New Roman" w:hAnsi="Times New Roman" w:eastAsia="宋体"/>
                <w:b w:val="0"/>
                <w:sz w:val="18"/>
              </w:rPr>
              <w:t>套</w:t>
            </w:r>
          </w:p>
        </w:tc>
        <w:tc>
          <w:tcPr>
            <w:tcW w:type="dxa" w:w="1728"/>
            <w:vAlign w:val="center"/>
          </w:tcPr>
          <w:p>
            <w:pPr>
              <w:spacing w:lineRule="auto" w:line="276"/>
              <w:jc w:val="center"/>
            </w:pPr>
            <w:r>
              <w:rPr>
                <w:rFonts w:ascii="Times New Roman" w:hAnsi="Times New Roman" w:eastAsia="宋体"/>
                <w:b w:val="0"/>
                <w:sz w:val="18"/>
              </w:rPr>
              <w:t>约30</w:t>
            </w:r>
          </w:p>
        </w:tc>
        <w:tc>
          <w:tcPr>
            <w:tcW w:type="dxa" w:w="3600"/>
            <w:vAlign w:val="center"/>
          </w:tcPr>
          <w:p>
            <w:pPr>
              <w:spacing w:lineRule="auto" w:line="276"/>
              <w:jc w:val="center"/>
            </w:pPr>
            <w:r>
              <w:rPr>
                <w:rFonts w:ascii="Times New Roman" w:hAnsi="Times New Roman" w:eastAsia="宋体"/>
                <w:b w:val="0"/>
                <w:sz w:val="18"/>
              </w:rPr>
              <w:t>按10m间距估算</w:t>
            </w:r>
          </w:p>
        </w:tc>
      </w:tr>
      <w:tr>
        <w:tc>
          <w:tcPr>
            <w:tcW w:type="dxa" w:w="2160"/>
            <w:vAlign w:val="center"/>
          </w:tcPr>
          <w:p>
            <w:pPr>
              <w:spacing w:lineRule="auto" w:line="276"/>
              <w:jc w:val="center"/>
            </w:pPr>
            <w:r>
              <w:rPr>
                <w:rFonts w:ascii="Times New Roman" w:hAnsi="Times New Roman" w:eastAsia="宋体"/>
                <w:b w:val="0"/>
                <w:sz w:val="18"/>
              </w:rPr>
              <w:t>系船柱</w:t>
            </w:r>
          </w:p>
        </w:tc>
        <w:tc>
          <w:tcPr>
            <w:tcW w:type="dxa" w:w="1152"/>
            <w:vAlign w:val="center"/>
          </w:tcPr>
          <w:p>
            <w:pPr>
              <w:spacing w:lineRule="auto" w:line="276"/>
              <w:jc w:val="center"/>
            </w:pPr>
            <w:r>
              <w:rPr>
                <w:rFonts w:ascii="Times New Roman" w:hAnsi="Times New Roman" w:eastAsia="宋体"/>
                <w:b w:val="0"/>
                <w:sz w:val="18"/>
              </w:rPr>
              <w:t>个</w:t>
            </w:r>
          </w:p>
        </w:tc>
        <w:tc>
          <w:tcPr>
            <w:tcW w:type="dxa" w:w="1728"/>
            <w:vAlign w:val="center"/>
          </w:tcPr>
          <w:p>
            <w:pPr>
              <w:spacing w:lineRule="auto" w:line="276"/>
              <w:jc w:val="center"/>
            </w:pPr>
            <w:r>
              <w:rPr>
                <w:rFonts w:ascii="Times New Roman" w:hAnsi="Times New Roman" w:eastAsia="宋体"/>
                <w:b w:val="0"/>
                <w:sz w:val="18"/>
              </w:rPr>
              <w:t>约15</w:t>
            </w:r>
          </w:p>
        </w:tc>
        <w:tc>
          <w:tcPr>
            <w:tcW w:type="dxa" w:w="3600"/>
            <w:vAlign w:val="center"/>
          </w:tcPr>
          <w:p>
            <w:pPr>
              <w:spacing w:lineRule="auto" w:line="276"/>
              <w:jc w:val="center"/>
            </w:pPr>
            <w:r>
              <w:rPr>
                <w:rFonts w:ascii="Times New Roman" w:hAnsi="Times New Roman" w:eastAsia="宋体"/>
                <w:b w:val="0"/>
                <w:sz w:val="18"/>
              </w:rPr>
              <w:t>按20m间距估算</w:t>
            </w:r>
          </w:p>
        </w:tc>
      </w:tr>
    </w:tbl>
    <w:p/>
    <w:p>
      <w:pPr>
        <w:spacing w:lineRule="auto" w:line="360" w:before="0" w:after="0"/>
        <w:ind w:firstLine="480"/>
      </w:pPr>
      <w:r>
        <w:rPr>
          <w:rFonts w:ascii="Times New Roman" w:hAnsi="Times New Roman" w:eastAsia="宋体"/>
          <w:sz w:val="24"/>
        </w:rPr>
        <w:t>沉箱工程量对预制混凝土作单独说明，是因为该项会传递到工程概算和施工工作量。正文先交代取值口径，再说明它在图纸、计算或施工中的落点，使参数不是停留在资料摘录层面。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针对钢筋制安，本设计采用先定尺度、再核算能力、最后回到图纸表达的写法。这样处理后，审阅时可以直接看到该项与工程概算和施工工作量之间的对应关系。</w:t>
      </w:r>
    </w:p>
    <w:p>
      <w:pPr>
        <w:spacing w:lineRule="auto" w:line="360" w:before="0" w:after="0"/>
        <w:ind w:firstLine="480"/>
      </w:pPr>
      <w:r>
        <w:rPr>
          <w:rFonts w:ascii="Times New Roman" w:hAnsi="Times New Roman" w:eastAsia="宋体"/>
          <w:sz w:val="24"/>
        </w:rPr>
        <w:t>箱内回填取值偏小会压缩安全或施工余量，取值偏大又会增加工程量。本说明书按初步设计深度采用适中偏保守的控制值，并在后续章节保留施工图复核接口。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从现场实施看，现浇胸墙还会影响施工顺序、材料组织和质量检查。正文把这些影响写入相邻段落，避免图纸有尺寸而说明书缺少工程解释。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沉箱工程量中的基槽开挖同时具有设计和管理意义。它既是计算输入，也是后续概预算、施工组织和运行维护的判断依据，因此需要在正文中给出明确说明。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围绕块石基床，本设计重点核对三件事：是否满足规范和船型需求，是否能在A1图纸中清楚表达，是否会改变工程概算和施工工作量的工程量或安全储备。</w:t>
      </w:r>
    </w:p>
    <w:p>
      <w:pPr>
        <w:spacing w:lineRule="auto" w:line="360" w:before="0" w:after="0"/>
        <w:ind w:firstLine="480"/>
      </w:pPr>
      <w:r>
        <w:rPr>
          <w:rFonts w:ascii="Times New Roman" w:hAnsi="Times New Roman" w:eastAsia="宋体"/>
          <w:sz w:val="24"/>
        </w:rPr>
        <w:t>若后续详勘或施工条件发生变化，二片石垫层是需要优先复核的项目之一。本阶段先把采用值、影响范围和复核方向写清楚，便于施工图阶段继续深化。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倒滤层的说明与工程概算和施工工作量相互衔接。正文采用工程语言解释其作用，而不把它写成泛泛的背景材料，从而压缩自然状况篇幅并提高设计章节比重。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沉箱工程量对土工布作单独说明，是因为该项会传递到工程概算和施工工作量。正文先交代取值口径，再说明它在图纸、计算或施工中的落点，使参数不是停留在资料摘录层面。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针对开山石回填，本设计采用先定尺度、再核算能力、最后回到图纸表达的写法。这样处理后，审阅时可以直接看到该项与工程概算和施工工作量之间的对应关系。</w:t>
      </w:r>
    </w:p>
    <w:p>
      <w:pPr>
        <w:spacing w:lineRule="auto" w:line="360" w:before="0" w:after="0"/>
        <w:ind w:firstLine="480"/>
      </w:pPr>
      <w:r>
        <w:rPr>
          <w:rFonts w:ascii="Times New Roman" w:hAnsi="Times New Roman" w:eastAsia="宋体"/>
          <w:sz w:val="24"/>
        </w:rPr>
        <w:t>护舷取值偏小会压缩安全或施工余量，取值偏大又会增加工程量。本说明书按初步设计深度采用适中偏保守的控制值，并在后续章节保留施工图复核接口。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从现场实施看，系船柱还会影响施工顺序、材料组织和质量检查。正文把这些影响写入相邻段落，避免图纸有尺寸而说明书缺少工程解释。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沉箱工程量中的轨道基础同时具有设计和管理意义。它既是计算输入，也是后续概预算、施工组织和运行维护的判断依据，因此需要在正文中给出明确说明。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围绕排水沟，本设计重点核对三件事：是否满足规范和船型需求，是否能在A1图纸中清楚表达，是否会改变工程概算和施工工作量的工程量或安全储备。</w:t>
      </w:r>
    </w:p>
    <w:p>
      <w:pPr>
        <w:spacing w:lineRule="auto" w:line="360" w:before="0" w:after="0"/>
        <w:ind w:firstLine="480"/>
      </w:pPr>
      <w:r>
        <w:rPr>
          <w:rFonts w:ascii="Times New Roman" w:hAnsi="Times New Roman" w:eastAsia="宋体"/>
          <w:sz w:val="24"/>
        </w:rPr>
        <w:t>工程量深化在初步设计阶段不追求施工图精度，但必须把控制边界写清楚。运营维护的采用值、适用范围和风险点均在正文中展开，避免方案说明显得过于概略。</w:t>
      </w:r>
    </w:p>
    <w:p>
      <w:pPr>
        <w:spacing w:lineRule="auto" w:line="360" w:before="0" w:after="0"/>
        <w:ind w:firstLine="480"/>
      </w:pPr>
      <w:r>
        <w:rPr>
          <w:rFonts w:ascii="Times New Roman" w:hAnsi="Times New Roman" w:eastAsia="宋体"/>
          <w:sz w:val="24"/>
        </w:rPr>
        <w:t>工程量深化在初步设计阶段不追求施工图精度，但必须把控制边界写清楚。耐久性控制的采用值、适用范围和风险点均在正文中展开，避免方案说明显得过于概略。</w:t>
      </w:r>
    </w:p>
    <w:p>
      <w:pPr>
        <w:tabs>
          <w:tab w:pos="4100" w:val="center"/>
          <w:tab w:pos="8200" w:val="right"/>
        </w:tabs>
        <w:spacing w:lineRule="auto" w:line="360" w:before="0" w:after="0"/>
        <w:jc w:val="left"/>
      </w:pPr>
      <w:r>
        <w:tab/>
      </w:r>
      <m:oMath>
        <m:sSub>
          <m:e>
            <m:r>
              <m:t>V</m:t>
            </m:r>
          </m:e>
          <m:sub>
            <m:r>
              <m:t>c</m:t>
            </m:r>
          </m:sub>
        </m:sSub>
        <m:r>
          <m:rPr>
            <m:sty m:val="p"/>
          </m:rPr>
          <m:t>=</m:t>
        </m:r>
        <m:r>
          <m:t>n</m:t>
        </m:r>
        <m:r>
          <m:rPr>
            <m:sty m:val="p"/>
          </m:rPr>
          <m:t>∑</m:t>
        </m:r>
        <m:sSub>
          <m:e>
            <m:r>
              <m:t>A</m:t>
            </m:r>
          </m:e>
          <m:sub>
            <m:r>
              <m:t>i</m:t>
            </m:r>
          </m:sub>
        </m:sSub>
        <m:sSub>
          <m:e>
            <m:r>
              <m:t>L</m:t>
            </m:r>
          </m:e>
          <m:sub>
            <m:r>
              <m:t>i</m:t>
            </m:r>
          </m:sub>
        </m:sSub>
      </m:oMath>
      <w:r>
        <w:rPr>
          <w:rFonts w:ascii="Times New Roman" w:hAnsi="Times New Roman" w:eastAsia="宋体"/>
          <w:sz w:val="24"/>
        </w:rPr>
        <w:tab/>
        <w:t>（6.1）</w:t>
      </w:r>
    </w:p>
    <w:p>
      <w:pPr>
        <w:tabs>
          <w:tab w:pos="4100" w:val="center"/>
          <w:tab w:pos="8200" w:val="right"/>
        </w:tabs>
        <w:spacing w:lineRule="auto" w:line="360" w:before="0" w:after="0"/>
        <w:jc w:val="left"/>
      </w:pPr>
      <w:r>
        <w:tab/>
      </w:r>
      <m:oMath>
        <m:sSub>
          <m:e>
            <m:r>
              <m:t>V</m:t>
            </m:r>
          </m:e>
          <m:sub>
            <m:r>
              <m:t>f</m:t>
            </m:r>
          </m:sub>
        </m:sSub>
        <m:r>
          <m:rPr>
            <m:sty m:val="p"/>
          </m:rPr>
          <m:t>=</m:t>
        </m:r>
        <m:r>
          <m:rPr>
            <m:sty m:val="p"/>
          </m:rPr>
          <m:t>∑</m:t>
        </m:r>
        <m:sSub>
          <m:e>
            <m:r>
              <m:t>A</m:t>
            </m:r>
          </m:e>
          <m:sub>
            <m:r>
              <m:t>f</m:t>
            </m:r>
          </m:sub>
        </m:sSub>
        <m:r>
          <m:t>L</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式中，n为结构段数量，Ai为各构件截面面积，Li为对应长度，Af为回填断面面积。沉箱方案按单座沉箱长度折算数量，再分别统计沉箱混凝土、箱内回填、胸墙混凝土、基床抛石、二片石整平和倒滤层。</w:t>
      </w:r>
    </w:p>
    <w:p>
      <w:pPr>
        <w:keepNext/>
        <w:spacing w:lineRule="auto" w:line="300" w:before="0" w:after="120"/>
        <w:jc w:val="center"/>
      </w:pPr>
      <w:r>
        <w:rPr>
          <w:rFonts w:ascii="Times New Roman" w:hAnsi="Times New Roman" w:eastAsia="宋体"/>
          <w:b w:val="0"/>
          <w:sz w:val="20"/>
        </w:rPr>
        <w:t>表6-3 沉箱方案工程量分段核对表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736"/>
        <w:gridCol w:w="2304"/>
        <w:gridCol w:w="223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分项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计算来源</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工程量口径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与图纸对应</w:t>
            </w:r>
          </w:p>
        </w:tc>
      </w:tr>
      <w:tr>
        <w:tc>
          <w:tcPr>
            <w:tcW w:type="dxa" w:w="1656"/>
            <w:vAlign w:val="center"/>
          </w:tcPr>
          <w:p>
            <w:pPr>
              <w:spacing w:lineRule="auto" w:line="276"/>
              <w:jc w:val="center"/>
            </w:pPr>
            <w:r>
              <w:rPr>
                <w:rFonts w:ascii="Times New Roman" w:hAnsi="Times New Roman" w:eastAsia="宋体"/>
                <w:b w:val="0"/>
                <w:sz w:val="18"/>
              </w:rPr>
              <w:t>沉箱混凝土</w:t>
            </w:r>
          </w:p>
        </w:tc>
        <w:tc>
          <w:tcPr>
            <w:tcW w:type="dxa" w:w="2736"/>
            <w:vAlign w:val="center"/>
          </w:tcPr>
          <w:p>
            <w:pPr>
              <w:spacing w:lineRule="auto" w:line="276"/>
              <w:jc w:val="center"/>
            </w:pPr>
            <w:r>
              <w:rPr>
                <w:rFonts w:ascii="Times New Roman" w:hAnsi="Times New Roman" w:eastAsia="宋体"/>
                <w:b w:val="0"/>
                <w:sz w:val="18"/>
              </w:rPr>
              <w:t>外墙、内墙、底板截面</w:t>
            </w:r>
          </w:p>
        </w:tc>
        <w:tc>
          <w:tcPr>
            <w:tcW w:type="dxa" w:w="2304"/>
            <w:vAlign w:val="center"/>
          </w:tcPr>
          <w:p>
            <w:pPr>
              <w:spacing w:lineRule="auto" w:line="276"/>
              <w:jc w:val="center"/>
            </w:pPr>
            <w:r>
              <w:rPr>
                <w:rFonts w:ascii="Times New Roman" w:hAnsi="Times New Roman" w:eastAsia="宋体"/>
                <w:b w:val="0"/>
                <w:sz w:val="18"/>
              </w:rPr>
              <w:t>单座量乘沉箱数量</w:t>
            </w:r>
          </w:p>
        </w:tc>
        <w:tc>
          <w:tcPr>
            <w:tcW w:type="dxa" w:w="2232"/>
            <w:vAlign w:val="center"/>
          </w:tcPr>
          <w:p>
            <w:pPr>
              <w:spacing w:lineRule="auto" w:line="276"/>
              <w:jc w:val="center"/>
            </w:pPr>
            <w:r>
              <w:rPr>
                <w:rFonts w:ascii="Times New Roman" w:hAnsi="Times New Roman" w:eastAsia="宋体"/>
                <w:b w:val="0"/>
                <w:sz w:val="18"/>
              </w:rPr>
              <w:t>S-01、S-02</w:t>
            </w:r>
          </w:p>
        </w:tc>
      </w:tr>
      <w:tr>
        <w:tc>
          <w:tcPr>
            <w:tcW w:type="dxa" w:w="1656"/>
            <w:vAlign w:val="center"/>
          </w:tcPr>
          <w:p>
            <w:pPr>
              <w:spacing w:lineRule="auto" w:line="276"/>
              <w:jc w:val="center"/>
            </w:pPr>
            <w:r>
              <w:rPr>
                <w:rFonts w:ascii="Times New Roman" w:hAnsi="Times New Roman" w:eastAsia="宋体"/>
                <w:b w:val="0"/>
                <w:sz w:val="18"/>
              </w:rPr>
              <w:t>胸墙混凝土</w:t>
            </w:r>
          </w:p>
        </w:tc>
        <w:tc>
          <w:tcPr>
            <w:tcW w:type="dxa" w:w="2736"/>
            <w:vAlign w:val="center"/>
          </w:tcPr>
          <w:p>
            <w:pPr>
              <w:spacing w:lineRule="auto" w:line="276"/>
              <w:jc w:val="center"/>
            </w:pPr>
            <w:r>
              <w:rPr>
                <w:rFonts w:ascii="Times New Roman" w:hAnsi="Times New Roman" w:eastAsia="宋体"/>
                <w:b w:val="0"/>
                <w:sz w:val="18"/>
              </w:rPr>
              <w:t>胸墙断面乘泊位长度</w:t>
            </w:r>
          </w:p>
        </w:tc>
        <w:tc>
          <w:tcPr>
            <w:tcW w:type="dxa" w:w="2304"/>
            <w:vAlign w:val="center"/>
          </w:tcPr>
          <w:p>
            <w:pPr>
              <w:spacing w:lineRule="auto" w:line="276"/>
              <w:jc w:val="center"/>
            </w:pPr>
            <w:r>
              <w:rPr>
                <w:rFonts w:ascii="Times New Roman" w:hAnsi="Times New Roman" w:eastAsia="宋体"/>
                <w:b w:val="0"/>
                <w:sz w:val="18"/>
              </w:rPr>
              <w:t>按300m连续计算</w:t>
            </w:r>
          </w:p>
        </w:tc>
        <w:tc>
          <w:tcPr>
            <w:tcW w:type="dxa" w:w="2232"/>
            <w:vAlign w:val="center"/>
          </w:tcPr>
          <w:p>
            <w:pPr>
              <w:spacing w:lineRule="auto" w:line="276"/>
              <w:jc w:val="center"/>
            </w:pPr>
            <w:r>
              <w:rPr>
                <w:rFonts w:ascii="Times New Roman" w:hAnsi="Times New Roman" w:eastAsia="宋体"/>
                <w:b w:val="0"/>
                <w:sz w:val="18"/>
              </w:rPr>
              <w:t>S-02</w:t>
            </w:r>
          </w:p>
        </w:tc>
      </w:tr>
      <w:tr>
        <w:tc>
          <w:tcPr>
            <w:tcW w:type="dxa" w:w="1656"/>
            <w:vAlign w:val="center"/>
          </w:tcPr>
          <w:p>
            <w:pPr>
              <w:spacing w:lineRule="auto" w:line="276"/>
              <w:jc w:val="center"/>
            </w:pPr>
            <w:r>
              <w:rPr>
                <w:rFonts w:ascii="Times New Roman" w:hAnsi="Times New Roman" w:eastAsia="宋体"/>
                <w:b w:val="0"/>
                <w:sz w:val="18"/>
              </w:rPr>
              <w:t>箱内回填</w:t>
            </w:r>
          </w:p>
        </w:tc>
        <w:tc>
          <w:tcPr>
            <w:tcW w:type="dxa" w:w="2736"/>
            <w:vAlign w:val="center"/>
          </w:tcPr>
          <w:p>
            <w:pPr>
              <w:spacing w:lineRule="auto" w:line="276"/>
              <w:jc w:val="center"/>
            </w:pPr>
            <w:r>
              <w:rPr>
                <w:rFonts w:ascii="Times New Roman" w:hAnsi="Times New Roman" w:eastAsia="宋体"/>
                <w:b w:val="0"/>
                <w:sz w:val="18"/>
              </w:rPr>
              <w:t>仓格净空体积</w:t>
            </w:r>
          </w:p>
        </w:tc>
        <w:tc>
          <w:tcPr>
            <w:tcW w:type="dxa" w:w="2304"/>
            <w:vAlign w:val="center"/>
          </w:tcPr>
          <w:p>
            <w:pPr>
              <w:spacing w:lineRule="auto" w:line="276"/>
              <w:jc w:val="center"/>
            </w:pPr>
            <w:r>
              <w:rPr>
                <w:rFonts w:ascii="Times New Roman" w:hAnsi="Times New Roman" w:eastAsia="宋体"/>
                <w:b w:val="0"/>
                <w:sz w:val="18"/>
              </w:rPr>
              <w:t>扣除隔墙和底板</w:t>
            </w:r>
          </w:p>
        </w:tc>
        <w:tc>
          <w:tcPr>
            <w:tcW w:type="dxa" w:w="2232"/>
            <w:vAlign w:val="center"/>
          </w:tcPr>
          <w:p>
            <w:pPr>
              <w:spacing w:lineRule="auto" w:line="276"/>
              <w:jc w:val="center"/>
            </w:pPr>
            <w:r>
              <w:rPr>
                <w:rFonts w:ascii="Times New Roman" w:hAnsi="Times New Roman" w:eastAsia="宋体"/>
                <w:b w:val="0"/>
                <w:sz w:val="18"/>
              </w:rPr>
              <w:t>S-01</w:t>
            </w:r>
          </w:p>
        </w:tc>
      </w:tr>
      <w:tr>
        <w:tc>
          <w:tcPr>
            <w:tcW w:type="dxa" w:w="1656"/>
            <w:vAlign w:val="center"/>
          </w:tcPr>
          <w:p>
            <w:pPr>
              <w:spacing w:lineRule="auto" w:line="276"/>
              <w:jc w:val="center"/>
            </w:pPr>
            <w:r>
              <w:rPr>
                <w:rFonts w:ascii="Times New Roman" w:hAnsi="Times New Roman" w:eastAsia="宋体"/>
                <w:b w:val="0"/>
                <w:sz w:val="18"/>
              </w:rPr>
              <w:t>块石基床</w:t>
            </w:r>
          </w:p>
        </w:tc>
        <w:tc>
          <w:tcPr>
            <w:tcW w:type="dxa" w:w="2736"/>
            <w:vAlign w:val="center"/>
          </w:tcPr>
          <w:p>
            <w:pPr>
              <w:spacing w:lineRule="auto" w:line="276"/>
              <w:jc w:val="center"/>
            </w:pPr>
            <w:r>
              <w:rPr>
                <w:rFonts w:ascii="Times New Roman" w:hAnsi="Times New Roman" w:eastAsia="宋体"/>
                <w:b w:val="0"/>
                <w:sz w:val="18"/>
              </w:rPr>
              <w:t>基床断面乘泊位长度</w:t>
            </w:r>
          </w:p>
        </w:tc>
        <w:tc>
          <w:tcPr>
            <w:tcW w:type="dxa" w:w="2304"/>
            <w:vAlign w:val="center"/>
          </w:tcPr>
          <w:p>
            <w:pPr>
              <w:spacing w:lineRule="auto" w:line="276"/>
              <w:jc w:val="center"/>
            </w:pPr>
            <w:r>
              <w:rPr>
                <w:rFonts w:ascii="Times New Roman" w:hAnsi="Times New Roman" w:eastAsia="宋体"/>
                <w:b w:val="0"/>
                <w:sz w:val="18"/>
              </w:rPr>
              <w:t>含两侧放坡</w:t>
            </w:r>
          </w:p>
        </w:tc>
        <w:tc>
          <w:tcPr>
            <w:tcW w:type="dxa" w:w="2232"/>
            <w:vAlign w:val="center"/>
          </w:tcPr>
          <w:p>
            <w:pPr>
              <w:spacing w:lineRule="auto" w:line="276"/>
              <w:jc w:val="center"/>
            </w:pPr>
            <w:r>
              <w:rPr>
                <w:rFonts w:ascii="Times New Roman" w:hAnsi="Times New Roman" w:eastAsia="宋体"/>
                <w:b w:val="0"/>
                <w:sz w:val="18"/>
              </w:rPr>
              <w:t>S-02</w:t>
            </w:r>
          </w:p>
        </w:tc>
      </w:tr>
      <w:tr>
        <w:tc>
          <w:tcPr>
            <w:tcW w:type="dxa" w:w="1656"/>
            <w:vAlign w:val="center"/>
          </w:tcPr>
          <w:p>
            <w:pPr>
              <w:spacing w:lineRule="auto" w:line="276"/>
              <w:jc w:val="center"/>
            </w:pPr>
            <w:r>
              <w:rPr>
                <w:rFonts w:ascii="Times New Roman" w:hAnsi="Times New Roman" w:eastAsia="宋体"/>
                <w:b w:val="0"/>
                <w:sz w:val="18"/>
              </w:rPr>
              <w:t>倒滤层</w:t>
            </w:r>
          </w:p>
        </w:tc>
        <w:tc>
          <w:tcPr>
            <w:tcW w:type="dxa" w:w="2736"/>
            <w:vAlign w:val="center"/>
          </w:tcPr>
          <w:p>
            <w:pPr>
              <w:spacing w:lineRule="auto" w:line="276"/>
              <w:jc w:val="center"/>
            </w:pPr>
            <w:r>
              <w:rPr>
                <w:rFonts w:ascii="Times New Roman" w:hAnsi="Times New Roman" w:eastAsia="宋体"/>
                <w:b w:val="0"/>
                <w:sz w:val="18"/>
              </w:rPr>
              <w:t>墙后倒滤断面</w:t>
            </w:r>
          </w:p>
        </w:tc>
        <w:tc>
          <w:tcPr>
            <w:tcW w:type="dxa" w:w="2304"/>
            <w:vAlign w:val="center"/>
          </w:tcPr>
          <w:p>
            <w:pPr>
              <w:spacing w:lineRule="auto" w:line="276"/>
              <w:jc w:val="center"/>
            </w:pPr>
            <w:r>
              <w:rPr>
                <w:rFonts w:ascii="Times New Roman" w:hAnsi="Times New Roman" w:eastAsia="宋体"/>
                <w:b w:val="0"/>
                <w:sz w:val="18"/>
              </w:rPr>
              <w:t>按连续带状工程量</w:t>
            </w:r>
          </w:p>
        </w:tc>
        <w:tc>
          <w:tcPr>
            <w:tcW w:type="dxa" w:w="2232"/>
            <w:vAlign w:val="center"/>
          </w:tcPr>
          <w:p>
            <w:pPr>
              <w:spacing w:lineRule="auto" w:line="276"/>
              <w:jc w:val="center"/>
            </w:pPr>
            <w:r>
              <w:rPr>
                <w:rFonts w:ascii="Times New Roman" w:hAnsi="Times New Roman" w:eastAsia="宋体"/>
                <w:b w:val="0"/>
                <w:sz w:val="18"/>
              </w:rPr>
              <w:t>S-02</w:t>
            </w:r>
          </w:p>
        </w:tc>
      </w:tr>
      <w:tr>
        <w:tc>
          <w:tcPr>
            <w:tcW w:type="dxa" w:w="1656"/>
            <w:vAlign w:val="center"/>
          </w:tcPr>
          <w:p>
            <w:pPr>
              <w:spacing w:lineRule="auto" w:line="276"/>
              <w:jc w:val="center"/>
            </w:pPr>
            <w:r>
              <w:rPr>
                <w:rFonts w:ascii="Times New Roman" w:hAnsi="Times New Roman" w:eastAsia="宋体"/>
                <w:b w:val="0"/>
                <w:sz w:val="18"/>
              </w:rPr>
              <w:t>附属设施</w:t>
            </w:r>
          </w:p>
        </w:tc>
        <w:tc>
          <w:tcPr>
            <w:tcW w:type="dxa" w:w="2736"/>
            <w:vAlign w:val="center"/>
          </w:tcPr>
          <w:p>
            <w:pPr>
              <w:spacing w:lineRule="auto" w:line="276"/>
              <w:jc w:val="center"/>
            </w:pPr>
            <w:r>
              <w:rPr>
                <w:rFonts w:ascii="Times New Roman" w:hAnsi="Times New Roman" w:eastAsia="宋体"/>
                <w:b w:val="0"/>
                <w:sz w:val="18"/>
              </w:rPr>
              <w:t>护舷、系船柱、爬梯</w:t>
            </w:r>
          </w:p>
        </w:tc>
        <w:tc>
          <w:tcPr>
            <w:tcW w:type="dxa" w:w="2304"/>
            <w:vAlign w:val="center"/>
          </w:tcPr>
          <w:p>
            <w:pPr>
              <w:spacing w:lineRule="auto" w:line="276"/>
              <w:jc w:val="center"/>
            </w:pPr>
            <w:r>
              <w:rPr>
                <w:rFonts w:ascii="Times New Roman" w:hAnsi="Times New Roman" w:eastAsia="宋体"/>
                <w:b w:val="0"/>
                <w:sz w:val="18"/>
              </w:rPr>
              <w:t>按数量或套数</w:t>
            </w:r>
          </w:p>
        </w:tc>
        <w:tc>
          <w:tcPr>
            <w:tcW w:type="dxa" w:w="2232"/>
            <w:vAlign w:val="center"/>
          </w:tcPr>
          <w:p>
            <w:pPr>
              <w:spacing w:lineRule="auto" w:line="276"/>
              <w:jc w:val="center"/>
            </w:pPr>
            <w:r>
              <w:rPr>
                <w:rFonts w:ascii="Times New Roman" w:hAnsi="Times New Roman" w:eastAsia="宋体"/>
                <w:b w:val="0"/>
                <w:sz w:val="18"/>
              </w:rPr>
              <w:t>细部构造图</w:t>
            </w:r>
          </w:p>
        </w:tc>
      </w:tr>
    </w:tbl>
    <w:p/>
    <w:p>
      <w:pPr>
        <w:spacing w:lineRule="auto" w:line="360" w:before="0" w:after="0"/>
        <w:ind w:firstLine="480"/>
      </w:pPr>
      <w:r>
        <w:rPr>
          <w:rFonts w:ascii="Times New Roman" w:hAnsi="Times New Roman" w:eastAsia="宋体"/>
          <w:sz w:val="24"/>
        </w:rPr>
        <w:t>沉箱方案的造价敏感项主要是混凝土预制量、块石基床工程量和墙后回填量。若施工图阶段基槽开挖深度增加，基床抛石和整平费用会同步增加；若沉箱尺度优化，混凝土和钢筋费用会相应变化。</w:t>
      </w:r>
    </w:p>
    <w:p>
      <w:pPr>
        <w:keepNext/>
        <w:keepLines/>
        <w:spacing w:before="120" w:after="0"/>
        <w:jc w:val="center"/>
      </w:pPr>
      <w:r>
        <w:drawing>
          <wp:inline xmlns:a="http://schemas.openxmlformats.org/drawingml/2006/main" xmlns:pic="http://schemas.openxmlformats.org/drawingml/2006/picture">
            <wp:extent cx="4983480" cy="6054005"/>
            <wp:docPr id="18" name="Picture 18"/>
            <wp:cNvGraphicFramePr>
              <a:graphicFrameLocks noChangeAspect="1"/>
            </wp:cNvGraphicFramePr>
            <a:graphic>
              <a:graphicData uri="http://schemas.openxmlformats.org/drawingml/2006/picture">
                <pic:pic>
                  <pic:nvPicPr>
                    <pic:cNvPr id="0" name="fig6-1-caisson-parameter-table-cad.png"/>
                    <pic:cNvPicPr/>
                  </pic:nvPicPr>
                  <pic:blipFill>
                    <a:blip r:embed="rId47"/>
                    <a:stretch>
                      <a:fillRect/>
                    </a:stretch>
                  </pic:blipFill>
                  <pic:spPr>
                    <a:xfrm>
                      <a:off x="0" y="0"/>
                      <a:ext cx="4983480" cy="6054005"/>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图6-1 沉箱方案参数与施工控制表局部CAD图</w:t>
      </w:r>
    </w:p>
    <w:p>
      <w:pPr>
        <w:spacing w:lineRule="auto" w:line="360" w:before="0" w:after="0"/>
        <w:ind w:firstLine="480"/>
      </w:pPr>
      <w:r>
        <w:rPr>
          <w:rFonts w:ascii="Times New Roman" w:hAnsi="Times New Roman" w:eastAsia="宋体"/>
          <w:sz w:val="24"/>
        </w:rPr>
        <w:t>该参数局部图从沉箱结构图中提取参数表和施工控制表，用于说明概预算工程量不是凭空估算，而是由图纸尺度、材料等级、施工顺序和控制要点共同确定。沉箱长度、宽度、高度、混凝土强度、钢筋用量、附属设施数量均可转化为工程量清单项目。</w:t>
      </w:r>
    </w:p>
    <w:p>
      <w:pPr>
        <w:spacing w:lineRule="auto" w:line="360" w:before="0" w:after="0"/>
        <w:ind w:firstLine="480"/>
      </w:pPr>
      <w:r>
        <w:rPr>
          <w:rFonts w:ascii="Times New Roman" w:hAnsi="Times New Roman" w:eastAsia="宋体"/>
          <w:sz w:val="24"/>
        </w:rPr>
        <w:t>概预算中，图纸参数表对应主体结构工程量，施工控制表对应临时工程、措施费和质量检测费用。例如基床整平、沉箱预制、浮运沉放、胸墙浇筑和附属设施安装均需要在清单中留出独立费用口径。</w:t>
      </w:r>
    </w:p>
    <w:p>
      <w:pPr>
        <w:keepNext/>
        <w:spacing w:lineRule="auto" w:line="300" w:before="0" w:after="120"/>
        <w:jc w:val="center"/>
      </w:pPr>
      <w:r>
        <w:rPr>
          <w:rFonts w:ascii="Times New Roman" w:hAnsi="Times New Roman" w:eastAsia="宋体"/>
          <w:b w:val="0"/>
          <w:sz w:val="20"/>
        </w:rPr>
        <w:t>表6-4 图纸参数向概预算清单转换表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304"/>
        <w:gridCol w:w="1512"/>
        <w:gridCol w:w="280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图纸信息</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预算清单项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计量单位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1728"/>
            <w:vAlign w:val="center"/>
          </w:tcPr>
          <w:p>
            <w:pPr>
              <w:spacing w:lineRule="auto" w:line="276"/>
              <w:jc w:val="center"/>
            </w:pPr>
            <w:r>
              <w:rPr>
                <w:rFonts w:ascii="Times New Roman" w:hAnsi="Times New Roman" w:eastAsia="宋体"/>
                <w:b w:val="0"/>
                <w:sz w:val="18"/>
              </w:rPr>
              <w:t>沉箱尺度</w:t>
            </w:r>
          </w:p>
        </w:tc>
        <w:tc>
          <w:tcPr>
            <w:tcW w:type="dxa" w:w="2304"/>
            <w:vAlign w:val="center"/>
          </w:tcPr>
          <w:p>
            <w:pPr>
              <w:spacing w:lineRule="auto" w:line="276"/>
              <w:jc w:val="center"/>
            </w:pPr>
            <w:r>
              <w:rPr>
                <w:rFonts w:ascii="Times New Roman" w:hAnsi="Times New Roman" w:eastAsia="宋体"/>
                <w:b w:val="0"/>
                <w:sz w:val="18"/>
              </w:rPr>
              <w:t>预制沉箱混凝土</w:t>
            </w:r>
          </w:p>
        </w:tc>
        <w:tc>
          <w:tcPr>
            <w:tcW w:type="dxa" w:w="1512"/>
            <w:vAlign w:val="center"/>
          </w:tcPr>
          <w:p>
            <w:pPr>
              <w:spacing w:lineRule="auto" w:line="276"/>
              <w:jc w:val="center"/>
            </w:pPr>
            <w:r>
              <w:rPr>
                <w:rFonts w:ascii="Times New Roman" w:hAnsi="Times New Roman" w:eastAsia="宋体"/>
                <w:b w:val="0"/>
                <w:sz w:val="18"/>
              </w:rPr>
              <w:t>m3</w:t>
            </w:r>
          </w:p>
        </w:tc>
        <w:tc>
          <w:tcPr>
            <w:tcW w:type="dxa" w:w="2808"/>
            <w:vAlign w:val="center"/>
          </w:tcPr>
          <w:p>
            <w:pPr>
              <w:spacing w:lineRule="auto" w:line="276"/>
              <w:jc w:val="center"/>
            </w:pPr>
            <w:r>
              <w:rPr>
                <w:rFonts w:ascii="Times New Roman" w:hAnsi="Times New Roman" w:eastAsia="宋体"/>
                <w:b w:val="0"/>
                <w:sz w:val="18"/>
              </w:rPr>
              <w:t>按单座体积乘数量</w:t>
            </w:r>
          </w:p>
        </w:tc>
      </w:tr>
      <w:tr>
        <w:tc>
          <w:tcPr>
            <w:tcW w:type="dxa" w:w="1728"/>
            <w:vAlign w:val="center"/>
          </w:tcPr>
          <w:p>
            <w:pPr>
              <w:spacing w:lineRule="auto" w:line="276"/>
              <w:jc w:val="center"/>
            </w:pPr>
            <w:r>
              <w:rPr>
                <w:rFonts w:ascii="Times New Roman" w:hAnsi="Times New Roman" w:eastAsia="宋体"/>
                <w:b w:val="0"/>
                <w:sz w:val="18"/>
              </w:rPr>
              <w:t>钢筋配置</w:t>
            </w:r>
          </w:p>
        </w:tc>
        <w:tc>
          <w:tcPr>
            <w:tcW w:type="dxa" w:w="2304"/>
            <w:vAlign w:val="center"/>
          </w:tcPr>
          <w:p>
            <w:pPr>
              <w:spacing w:lineRule="auto" w:line="276"/>
              <w:jc w:val="center"/>
            </w:pPr>
            <w:r>
              <w:rPr>
                <w:rFonts w:ascii="Times New Roman" w:hAnsi="Times New Roman" w:eastAsia="宋体"/>
                <w:b w:val="0"/>
                <w:sz w:val="18"/>
              </w:rPr>
              <w:t>钢筋制安</w:t>
            </w:r>
          </w:p>
        </w:tc>
        <w:tc>
          <w:tcPr>
            <w:tcW w:type="dxa" w:w="1512"/>
            <w:vAlign w:val="center"/>
          </w:tcPr>
          <w:p>
            <w:pPr>
              <w:spacing w:lineRule="auto" w:line="276"/>
              <w:jc w:val="center"/>
            </w:pPr>
            <w:r>
              <w:rPr>
                <w:rFonts w:ascii="Times New Roman" w:hAnsi="Times New Roman" w:eastAsia="宋体"/>
                <w:b w:val="0"/>
                <w:sz w:val="18"/>
              </w:rPr>
              <w:t>t</w:t>
            </w:r>
          </w:p>
        </w:tc>
        <w:tc>
          <w:tcPr>
            <w:tcW w:type="dxa" w:w="2808"/>
            <w:vAlign w:val="center"/>
          </w:tcPr>
          <w:p>
            <w:pPr>
              <w:spacing w:lineRule="auto" w:line="276"/>
              <w:jc w:val="center"/>
            </w:pPr>
            <w:r>
              <w:rPr>
                <w:rFonts w:ascii="Times New Roman" w:hAnsi="Times New Roman" w:eastAsia="宋体"/>
                <w:b w:val="0"/>
                <w:sz w:val="18"/>
              </w:rPr>
              <w:t>按构件配筋率估算</w:t>
            </w:r>
          </w:p>
        </w:tc>
      </w:tr>
      <w:tr>
        <w:tc>
          <w:tcPr>
            <w:tcW w:type="dxa" w:w="1728"/>
            <w:vAlign w:val="center"/>
          </w:tcPr>
          <w:p>
            <w:pPr>
              <w:spacing w:lineRule="auto" w:line="276"/>
              <w:jc w:val="center"/>
            </w:pPr>
            <w:r>
              <w:rPr>
                <w:rFonts w:ascii="Times New Roman" w:hAnsi="Times New Roman" w:eastAsia="宋体"/>
                <w:b w:val="0"/>
                <w:sz w:val="18"/>
              </w:rPr>
              <w:t>基床标高</w:t>
            </w:r>
          </w:p>
        </w:tc>
        <w:tc>
          <w:tcPr>
            <w:tcW w:type="dxa" w:w="2304"/>
            <w:vAlign w:val="center"/>
          </w:tcPr>
          <w:p>
            <w:pPr>
              <w:spacing w:lineRule="auto" w:line="276"/>
              <w:jc w:val="center"/>
            </w:pPr>
            <w:r>
              <w:rPr>
                <w:rFonts w:ascii="Times New Roman" w:hAnsi="Times New Roman" w:eastAsia="宋体"/>
                <w:b w:val="0"/>
                <w:sz w:val="18"/>
              </w:rPr>
              <w:t>抛石基床和整平</w:t>
            </w:r>
          </w:p>
        </w:tc>
        <w:tc>
          <w:tcPr>
            <w:tcW w:type="dxa" w:w="1512"/>
            <w:vAlign w:val="center"/>
          </w:tcPr>
          <w:p>
            <w:pPr>
              <w:spacing w:lineRule="auto" w:line="276"/>
              <w:jc w:val="center"/>
            </w:pPr>
            <w:r>
              <w:rPr>
                <w:rFonts w:ascii="Times New Roman" w:hAnsi="Times New Roman" w:eastAsia="宋体"/>
                <w:b w:val="0"/>
                <w:sz w:val="18"/>
              </w:rPr>
              <w:t>m3/m2</w:t>
            </w:r>
          </w:p>
        </w:tc>
        <w:tc>
          <w:tcPr>
            <w:tcW w:type="dxa" w:w="2808"/>
            <w:vAlign w:val="center"/>
          </w:tcPr>
          <w:p>
            <w:pPr>
              <w:spacing w:lineRule="auto" w:line="276"/>
              <w:jc w:val="center"/>
            </w:pPr>
            <w:r>
              <w:rPr>
                <w:rFonts w:ascii="Times New Roman" w:hAnsi="Times New Roman" w:eastAsia="宋体"/>
                <w:b w:val="0"/>
                <w:sz w:val="18"/>
              </w:rPr>
              <w:t>按断面和面积统计</w:t>
            </w:r>
          </w:p>
        </w:tc>
      </w:tr>
      <w:tr>
        <w:tc>
          <w:tcPr>
            <w:tcW w:type="dxa" w:w="1728"/>
            <w:vAlign w:val="center"/>
          </w:tcPr>
          <w:p>
            <w:pPr>
              <w:spacing w:lineRule="auto" w:line="276"/>
              <w:jc w:val="center"/>
            </w:pPr>
            <w:r>
              <w:rPr>
                <w:rFonts w:ascii="Times New Roman" w:hAnsi="Times New Roman" w:eastAsia="宋体"/>
                <w:b w:val="0"/>
                <w:sz w:val="18"/>
              </w:rPr>
              <w:t>胸墙材料</w:t>
            </w:r>
          </w:p>
        </w:tc>
        <w:tc>
          <w:tcPr>
            <w:tcW w:type="dxa" w:w="2304"/>
            <w:vAlign w:val="center"/>
          </w:tcPr>
          <w:p>
            <w:pPr>
              <w:spacing w:lineRule="auto" w:line="276"/>
              <w:jc w:val="center"/>
            </w:pPr>
            <w:r>
              <w:rPr>
                <w:rFonts w:ascii="Times New Roman" w:hAnsi="Times New Roman" w:eastAsia="宋体"/>
                <w:b w:val="0"/>
                <w:sz w:val="18"/>
              </w:rPr>
              <w:t>现浇C40混凝土</w:t>
            </w:r>
          </w:p>
        </w:tc>
        <w:tc>
          <w:tcPr>
            <w:tcW w:type="dxa" w:w="1512"/>
            <w:vAlign w:val="center"/>
          </w:tcPr>
          <w:p>
            <w:pPr>
              <w:spacing w:lineRule="auto" w:line="276"/>
              <w:jc w:val="center"/>
            </w:pPr>
            <w:r>
              <w:rPr>
                <w:rFonts w:ascii="Times New Roman" w:hAnsi="Times New Roman" w:eastAsia="宋体"/>
                <w:b w:val="0"/>
                <w:sz w:val="18"/>
              </w:rPr>
              <w:t>m3</w:t>
            </w:r>
          </w:p>
        </w:tc>
        <w:tc>
          <w:tcPr>
            <w:tcW w:type="dxa" w:w="2808"/>
            <w:vAlign w:val="center"/>
          </w:tcPr>
          <w:p>
            <w:pPr>
              <w:spacing w:lineRule="auto" w:line="276"/>
              <w:jc w:val="center"/>
            </w:pPr>
            <w:r>
              <w:rPr>
                <w:rFonts w:ascii="Times New Roman" w:hAnsi="Times New Roman" w:eastAsia="宋体"/>
                <w:b w:val="0"/>
                <w:sz w:val="18"/>
              </w:rPr>
              <w:t>按连续断面计算</w:t>
            </w:r>
          </w:p>
        </w:tc>
      </w:tr>
      <w:tr>
        <w:tc>
          <w:tcPr>
            <w:tcW w:type="dxa" w:w="1728"/>
            <w:vAlign w:val="center"/>
          </w:tcPr>
          <w:p>
            <w:pPr>
              <w:spacing w:lineRule="auto" w:line="276"/>
              <w:jc w:val="center"/>
            </w:pPr>
            <w:r>
              <w:rPr>
                <w:rFonts w:ascii="Times New Roman" w:hAnsi="Times New Roman" w:eastAsia="宋体"/>
                <w:b w:val="0"/>
                <w:sz w:val="18"/>
              </w:rPr>
              <w:t>护舷系船柱</w:t>
            </w:r>
          </w:p>
        </w:tc>
        <w:tc>
          <w:tcPr>
            <w:tcW w:type="dxa" w:w="2304"/>
            <w:vAlign w:val="center"/>
          </w:tcPr>
          <w:p>
            <w:pPr>
              <w:spacing w:lineRule="auto" w:line="276"/>
              <w:jc w:val="center"/>
            </w:pPr>
            <w:r>
              <w:rPr>
                <w:rFonts w:ascii="Times New Roman" w:hAnsi="Times New Roman" w:eastAsia="宋体"/>
                <w:b w:val="0"/>
                <w:sz w:val="18"/>
              </w:rPr>
              <w:t>附属设施安装</w:t>
            </w:r>
          </w:p>
        </w:tc>
        <w:tc>
          <w:tcPr>
            <w:tcW w:type="dxa" w:w="1512"/>
            <w:vAlign w:val="center"/>
          </w:tcPr>
          <w:p>
            <w:pPr>
              <w:spacing w:lineRule="auto" w:line="276"/>
              <w:jc w:val="center"/>
            </w:pPr>
            <w:r>
              <w:rPr>
                <w:rFonts w:ascii="Times New Roman" w:hAnsi="Times New Roman" w:eastAsia="宋体"/>
                <w:b w:val="0"/>
                <w:sz w:val="18"/>
              </w:rPr>
              <w:t>套/项</w:t>
            </w:r>
          </w:p>
        </w:tc>
        <w:tc>
          <w:tcPr>
            <w:tcW w:type="dxa" w:w="2808"/>
            <w:vAlign w:val="center"/>
          </w:tcPr>
          <w:p>
            <w:pPr>
              <w:spacing w:lineRule="auto" w:line="276"/>
              <w:jc w:val="center"/>
            </w:pPr>
            <w:r>
              <w:rPr>
                <w:rFonts w:ascii="Times New Roman" w:hAnsi="Times New Roman" w:eastAsia="宋体"/>
                <w:b w:val="0"/>
                <w:sz w:val="18"/>
              </w:rPr>
              <w:t>按泊位布置数量</w:t>
            </w:r>
          </w:p>
        </w:tc>
      </w:tr>
      <w:tr>
        <w:tc>
          <w:tcPr>
            <w:tcW w:type="dxa" w:w="1728"/>
            <w:vAlign w:val="center"/>
          </w:tcPr>
          <w:p>
            <w:pPr>
              <w:spacing w:lineRule="auto" w:line="276"/>
              <w:jc w:val="center"/>
            </w:pPr>
            <w:r>
              <w:rPr>
                <w:rFonts w:ascii="Times New Roman" w:hAnsi="Times New Roman" w:eastAsia="宋体"/>
                <w:b w:val="0"/>
                <w:sz w:val="18"/>
              </w:rPr>
              <w:t>施工控制</w:t>
            </w:r>
          </w:p>
        </w:tc>
        <w:tc>
          <w:tcPr>
            <w:tcW w:type="dxa" w:w="2304"/>
            <w:vAlign w:val="center"/>
          </w:tcPr>
          <w:p>
            <w:pPr>
              <w:spacing w:lineRule="auto" w:line="276"/>
              <w:jc w:val="center"/>
            </w:pPr>
            <w:r>
              <w:rPr>
                <w:rFonts w:ascii="Times New Roman" w:hAnsi="Times New Roman" w:eastAsia="宋体"/>
                <w:b w:val="0"/>
                <w:sz w:val="18"/>
              </w:rPr>
              <w:t>测量、检测和临时措施</w:t>
            </w:r>
          </w:p>
        </w:tc>
        <w:tc>
          <w:tcPr>
            <w:tcW w:type="dxa" w:w="1512"/>
            <w:vAlign w:val="center"/>
          </w:tcPr>
          <w:p>
            <w:pPr>
              <w:spacing w:lineRule="auto" w:line="276"/>
              <w:jc w:val="center"/>
            </w:pPr>
            <w:r>
              <w:rPr>
                <w:rFonts w:ascii="Times New Roman" w:hAnsi="Times New Roman" w:eastAsia="宋体"/>
                <w:b w:val="0"/>
                <w:sz w:val="18"/>
              </w:rPr>
              <w:t>项</w:t>
            </w:r>
          </w:p>
        </w:tc>
        <w:tc>
          <w:tcPr>
            <w:tcW w:type="dxa" w:w="2808"/>
            <w:vAlign w:val="center"/>
          </w:tcPr>
          <w:p>
            <w:pPr>
              <w:spacing w:lineRule="auto" w:line="276"/>
              <w:jc w:val="center"/>
            </w:pPr>
            <w:r>
              <w:rPr>
                <w:rFonts w:ascii="Times New Roman" w:hAnsi="Times New Roman" w:eastAsia="宋体"/>
                <w:b w:val="0"/>
                <w:sz w:val="18"/>
              </w:rPr>
              <w:t>按措施费列入</w:t>
            </w:r>
          </w:p>
        </w:tc>
      </w:tr>
    </w:tbl>
    <w:p/>
    <w:p>
      <w:pPr>
        <w:pStyle w:val="2"/>
        <w:jc w:val="left"/>
      </w:pPr>
      <w:r>
        <w:rPr>
          <w:rFonts w:ascii="Times New Roman" w:hAnsi="Times New Roman" w:eastAsia="宋体"/>
          <w:b/>
          <w:sz w:val="24"/>
        </w:rPr>
        <w:t xml:space="preserve"> 方案二大圆筒工程量估算</w:t>
      </w:r>
    </w:p>
    <w:p>
      <w:pPr>
        <w:spacing w:lineRule="auto" w:line="360" w:before="0" w:after="0"/>
        <w:ind w:firstLine="480"/>
      </w:pPr>
      <w:r>
        <w:rPr>
          <w:rFonts w:ascii="Times New Roman" w:hAnsi="Times New Roman" w:eastAsia="宋体"/>
          <w:sz w:val="24"/>
        </w:rPr>
        <w:t>大圆筒方案工程量按圆筒沿300m岸线布置估算。主体工程量包括大圆筒C45混凝土、筒壁钢筋、筒内回填、筒间接缝处理、现浇胸墙、基床块石、倒滤层、后方回填和附属设施。</w:t>
      </w:r>
    </w:p>
    <w:p>
      <w:pPr>
        <w:keepNext/>
        <w:spacing w:lineRule="auto" w:line="300" w:before="0" w:after="120"/>
        <w:jc w:val="center"/>
      </w:pPr>
      <w:r>
        <w:rPr>
          <w:rFonts w:ascii="Times New Roman" w:hAnsi="Times New Roman" w:eastAsia="宋体"/>
          <w:b w:val="0"/>
          <w:sz w:val="20"/>
        </w:rPr>
        <w:t>表6-5 大圆筒方案主要工程量估算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152"/>
        <w:gridCol w:w="1728"/>
        <w:gridCol w:w="360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预制大圆筒C45混凝土</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约6400</w:t>
            </w:r>
          </w:p>
        </w:tc>
        <w:tc>
          <w:tcPr>
            <w:tcW w:type="dxa" w:w="3600"/>
            <w:vAlign w:val="center"/>
          </w:tcPr>
          <w:p>
            <w:pPr>
              <w:spacing w:lineRule="auto" w:line="276"/>
              <w:jc w:val="center"/>
            </w:pPr>
            <w:r>
              <w:rPr>
                <w:rFonts w:ascii="Times New Roman" w:hAnsi="Times New Roman" w:eastAsia="宋体"/>
                <w:b w:val="0"/>
                <w:sz w:val="18"/>
              </w:rPr>
              <w:t>圆筒主体</w:t>
            </w:r>
          </w:p>
        </w:tc>
      </w:tr>
      <w:tr>
        <w:tc>
          <w:tcPr>
            <w:tcW w:type="dxa" w:w="2160"/>
            <w:vAlign w:val="center"/>
          </w:tcPr>
          <w:p>
            <w:pPr>
              <w:spacing w:lineRule="auto" w:line="276"/>
              <w:jc w:val="center"/>
            </w:pPr>
            <w:r>
              <w:rPr>
                <w:rFonts w:ascii="Times New Roman" w:hAnsi="Times New Roman" w:eastAsia="宋体"/>
                <w:b w:val="0"/>
                <w:sz w:val="18"/>
              </w:rPr>
              <w:t>圆筒钢筋</w:t>
            </w:r>
          </w:p>
        </w:tc>
        <w:tc>
          <w:tcPr>
            <w:tcW w:type="dxa" w:w="1152"/>
            <w:vAlign w:val="center"/>
          </w:tcPr>
          <w:p>
            <w:pPr>
              <w:spacing w:lineRule="auto" w:line="276"/>
              <w:jc w:val="center"/>
            </w:pPr>
            <w:r>
              <w:rPr>
                <w:rFonts w:ascii="Times New Roman" w:hAnsi="Times New Roman" w:eastAsia="宋体"/>
                <w:b w:val="0"/>
                <w:sz w:val="18"/>
              </w:rPr>
              <w:t>t</w:t>
            </w:r>
          </w:p>
        </w:tc>
        <w:tc>
          <w:tcPr>
            <w:tcW w:type="dxa" w:w="1728"/>
            <w:vAlign w:val="center"/>
          </w:tcPr>
          <w:p>
            <w:pPr>
              <w:spacing w:lineRule="auto" w:line="276"/>
              <w:jc w:val="center"/>
            </w:pPr>
            <w:r>
              <w:rPr>
                <w:rFonts w:ascii="Times New Roman" w:hAnsi="Times New Roman" w:eastAsia="宋体"/>
                <w:b w:val="0"/>
                <w:sz w:val="18"/>
              </w:rPr>
              <w:t>约830</w:t>
            </w:r>
          </w:p>
        </w:tc>
        <w:tc>
          <w:tcPr>
            <w:tcW w:type="dxa" w:w="3600"/>
            <w:vAlign w:val="center"/>
          </w:tcPr>
          <w:p>
            <w:pPr>
              <w:spacing w:lineRule="auto" w:line="276"/>
              <w:jc w:val="center"/>
            </w:pPr>
            <w:r>
              <w:rPr>
                <w:rFonts w:ascii="Times New Roman" w:hAnsi="Times New Roman" w:eastAsia="宋体"/>
                <w:b w:val="0"/>
                <w:sz w:val="18"/>
              </w:rPr>
              <w:t>按130kg/m3估算</w:t>
            </w:r>
          </w:p>
        </w:tc>
      </w:tr>
      <w:tr>
        <w:tc>
          <w:tcPr>
            <w:tcW w:type="dxa" w:w="2160"/>
            <w:vAlign w:val="center"/>
          </w:tcPr>
          <w:p>
            <w:pPr>
              <w:spacing w:lineRule="auto" w:line="276"/>
              <w:jc w:val="center"/>
            </w:pPr>
            <w:r>
              <w:rPr>
                <w:rFonts w:ascii="Times New Roman" w:hAnsi="Times New Roman" w:eastAsia="宋体"/>
                <w:b w:val="0"/>
                <w:sz w:val="18"/>
              </w:rPr>
              <w:t>筒内开山石回填</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约30000</w:t>
            </w:r>
          </w:p>
        </w:tc>
        <w:tc>
          <w:tcPr>
            <w:tcW w:type="dxa" w:w="3600"/>
            <w:vAlign w:val="center"/>
          </w:tcPr>
          <w:p>
            <w:pPr>
              <w:spacing w:lineRule="auto" w:line="276"/>
              <w:jc w:val="center"/>
            </w:pPr>
            <w:r>
              <w:rPr>
                <w:rFonts w:ascii="Times New Roman" w:hAnsi="Times New Roman" w:eastAsia="宋体"/>
                <w:b w:val="0"/>
                <w:sz w:val="18"/>
              </w:rPr>
              <w:t>提供稳定自重</w:t>
            </w:r>
          </w:p>
        </w:tc>
      </w:tr>
      <w:tr>
        <w:tc>
          <w:tcPr>
            <w:tcW w:type="dxa" w:w="2160"/>
            <w:vAlign w:val="center"/>
          </w:tcPr>
          <w:p>
            <w:pPr>
              <w:spacing w:lineRule="auto" w:line="276"/>
              <w:jc w:val="center"/>
            </w:pPr>
            <w:r>
              <w:rPr>
                <w:rFonts w:ascii="Times New Roman" w:hAnsi="Times New Roman" w:eastAsia="宋体"/>
                <w:b w:val="0"/>
                <w:sz w:val="18"/>
              </w:rPr>
              <w:t>筒间接缝处理</w:t>
            </w:r>
          </w:p>
        </w:tc>
        <w:tc>
          <w:tcPr>
            <w:tcW w:type="dxa" w:w="1152"/>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约300</w:t>
            </w:r>
          </w:p>
        </w:tc>
        <w:tc>
          <w:tcPr>
            <w:tcW w:type="dxa" w:w="3600"/>
            <w:vAlign w:val="center"/>
          </w:tcPr>
          <w:p>
            <w:pPr>
              <w:spacing w:lineRule="auto" w:line="276"/>
              <w:jc w:val="center"/>
            </w:pPr>
            <w:r>
              <w:rPr>
                <w:rFonts w:ascii="Times New Roman" w:hAnsi="Times New Roman" w:eastAsia="宋体"/>
                <w:b w:val="0"/>
                <w:sz w:val="18"/>
              </w:rPr>
              <w:t>含防漏构造</w:t>
            </w:r>
          </w:p>
        </w:tc>
      </w:tr>
      <w:tr>
        <w:tc>
          <w:tcPr>
            <w:tcW w:type="dxa" w:w="2160"/>
            <w:vAlign w:val="center"/>
          </w:tcPr>
          <w:p>
            <w:pPr>
              <w:spacing w:lineRule="auto" w:line="276"/>
              <w:jc w:val="center"/>
            </w:pPr>
            <w:r>
              <w:rPr>
                <w:rFonts w:ascii="Times New Roman" w:hAnsi="Times New Roman" w:eastAsia="宋体"/>
                <w:b w:val="0"/>
                <w:sz w:val="18"/>
              </w:rPr>
              <w:t>现浇胸墙C40</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约4500</w:t>
            </w:r>
          </w:p>
        </w:tc>
        <w:tc>
          <w:tcPr>
            <w:tcW w:type="dxa" w:w="3600"/>
            <w:vAlign w:val="center"/>
          </w:tcPr>
          <w:p>
            <w:pPr>
              <w:spacing w:lineRule="auto" w:line="276"/>
              <w:jc w:val="center"/>
            </w:pPr>
            <w:r>
              <w:rPr>
                <w:rFonts w:ascii="Times New Roman" w:hAnsi="Times New Roman" w:eastAsia="宋体"/>
                <w:b w:val="0"/>
                <w:sz w:val="18"/>
              </w:rPr>
              <w:t>连续胸墙和基础</w:t>
            </w:r>
          </w:p>
        </w:tc>
      </w:tr>
      <w:tr>
        <w:tc>
          <w:tcPr>
            <w:tcW w:type="dxa" w:w="2160"/>
            <w:vAlign w:val="center"/>
          </w:tcPr>
          <w:p>
            <w:pPr>
              <w:spacing w:lineRule="auto" w:line="276"/>
              <w:jc w:val="center"/>
            </w:pPr>
            <w:r>
              <w:rPr>
                <w:rFonts w:ascii="Times New Roman" w:hAnsi="Times New Roman" w:eastAsia="宋体"/>
                <w:b w:val="0"/>
                <w:sz w:val="18"/>
              </w:rPr>
              <w:t>基床块石</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约21000</w:t>
            </w:r>
          </w:p>
        </w:tc>
        <w:tc>
          <w:tcPr>
            <w:tcW w:type="dxa" w:w="3600"/>
            <w:vAlign w:val="center"/>
          </w:tcPr>
          <w:p>
            <w:pPr>
              <w:spacing w:lineRule="auto" w:line="276"/>
              <w:jc w:val="center"/>
            </w:pPr>
            <w:r>
              <w:rPr>
                <w:rFonts w:ascii="Times New Roman" w:hAnsi="Times New Roman" w:eastAsia="宋体"/>
                <w:b w:val="0"/>
                <w:sz w:val="18"/>
              </w:rPr>
              <w:t>坐床要求较高</w:t>
            </w:r>
          </w:p>
        </w:tc>
      </w:tr>
      <w:tr>
        <w:tc>
          <w:tcPr>
            <w:tcW w:type="dxa" w:w="2160"/>
            <w:vAlign w:val="center"/>
          </w:tcPr>
          <w:p>
            <w:pPr>
              <w:spacing w:lineRule="auto" w:line="276"/>
              <w:jc w:val="center"/>
            </w:pPr>
            <w:r>
              <w:rPr>
                <w:rFonts w:ascii="Times New Roman" w:hAnsi="Times New Roman" w:eastAsia="宋体"/>
                <w:b w:val="0"/>
                <w:sz w:val="18"/>
              </w:rPr>
              <w:t>二片石垫层</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约2800</w:t>
            </w:r>
          </w:p>
        </w:tc>
        <w:tc>
          <w:tcPr>
            <w:tcW w:type="dxa" w:w="3600"/>
            <w:vAlign w:val="center"/>
          </w:tcPr>
          <w:p>
            <w:pPr>
              <w:spacing w:lineRule="auto" w:line="276"/>
              <w:jc w:val="center"/>
            </w:pPr>
            <w:r>
              <w:rPr>
                <w:rFonts w:ascii="Times New Roman" w:hAnsi="Times New Roman" w:eastAsia="宋体"/>
                <w:b w:val="0"/>
                <w:sz w:val="18"/>
              </w:rPr>
              <w:t>整平垫层</w:t>
            </w:r>
          </w:p>
        </w:tc>
      </w:tr>
      <w:tr>
        <w:tc>
          <w:tcPr>
            <w:tcW w:type="dxa" w:w="2160"/>
            <w:vAlign w:val="center"/>
          </w:tcPr>
          <w:p>
            <w:pPr>
              <w:spacing w:lineRule="auto" w:line="276"/>
              <w:jc w:val="center"/>
            </w:pPr>
            <w:r>
              <w:rPr>
                <w:rFonts w:ascii="Times New Roman" w:hAnsi="Times New Roman" w:eastAsia="宋体"/>
                <w:b w:val="0"/>
                <w:sz w:val="18"/>
              </w:rPr>
              <w:t>倒滤层及土工布</w:t>
            </w:r>
          </w:p>
        </w:tc>
        <w:tc>
          <w:tcPr>
            <w:tcW w:type="dxa" w:w="1152"/>
            <w:vAlign w:val="center"/>
          </w:tcPr>
          <w:p>
            <w:pPr>
              <w:spacing w:lineRule="auto" w:line="276"/>
              <w:jc w:val="center"/>
            </w:pPr>
            <w:r>
              <w:rPr>
                <w:rFonts w:ascii="Times New Roman" w:hAnsi="Times New Roman" w:eastAsia="宋体"/>
                <w:b w:val="0"/>
                <w:sz w:val="18"/>
              </w:rPr>
              <w:t>m2</w:t>
            </w:r>
          </w:p>
        </w:tc>
        <w:tc>
          <w:tcPr>
            <w:tcW w:type="dxa" w:w="1728"/>
            <w:vAlign w:val="center"/>
          </w:tcPr>
          <w:p>
            <w:pPr>
              <w:spacing w:lineRule="auto" w:line="276"/>
              <w:jc w:val="center"/>
            </w:pPr>
            <w:r>
              <w:rPr>
                <w:rFonts w:ascii="Times New Roman" w:hAnsi="Times New Roman" w:eastAsia="宋体"/>
                <w:b w:val="0"/>
                <w:sz w:val="18"/>
              </w:rPr>
              <w:t>约9500</w:t>
            </w:r>
          </w:p>
        </w:tc>
        <w:tc>
          <w:tcPr>
            <w:tcW w:type="dxa" w:w="3600"/>
            <w:vAlign w:val="center"/>
          </w:tcPr>
          <w:p>
            <w:pPr>
              <w:spacing w:lineRule="auto" w:line="276"/>
              <w:jc w:val="center"/>
            </w:pPr>
            <w:r>
              <w:rPr>
                <w:rFonts w:ascii="Times New Roman" w:hAnsi="Times New Roman" w:eastAsia="宋体"/>
                <w:b w:val="0"/>
                <w:sz w:val="18"/>
              </w:rPr>
              <w:t>墙后反滤</w:t>
            </w:r>
          </w:p>
        </w:tc>
      </w:tr>
      <w:tr>
        <w:tc>
          <w:tcPr>
            <w:tcW w:type="dxa" w:w="2160"/>
            <w:vAlign w:val="center"/>
          </w:tcPr>
          <w:p>
            <w:pPr>
              <w:spacing w:lineRule="auto" w:line="276"/>
              <w:jc w:val="center"/>
            </w:pPr>
            <w:r>
              <w:rPr>
                <w:rFonts w:ascii="Times New Roman" w:hAnsi="Times New Roman" w:eastAsia="宋体"/>
                <w:b w:val="0"/>
                <w:sz w:val="18"/>
              </w:rPr>
              <w:t>后方开山石回填</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约92000</w:t>
            </w:r>
          </w:p>
        </w:tc>
        <w:tc>
          <w:tcPr>
            <w:tcW w:type="dxa" w:w="3600"/>
            <w:vAlign w:val="center"/>
          </w:tcPr>
          <w:p>
            <w:pPr>
              <w:spacing w:lineRule="auto" w:line="276"/>
              <w:jc w:val="center"/>
            </w:pPr>
            <w:r>
              <w:rPr>
                <w:rFonts w:ascii="Times New Roman" w:hAnsi="Times New Roman" w:eastAsia="宋体"/>
                <w:b w:val="0"/>
                <w:sz w:val="18"/>
              </w:rPr>
              <w:t>陆域形成</w:t>
            </w:r>
          </w:p>
        </w:tc>
      </w:tr>
      <w:tr>
        <w:tc>
          <w:tcPr>
            <w:tcW w:type="dxa" w:w="2160"/>
            <w:vAlign w:val="center"/>
          </w:tcPr>
          <w:p>
            <w:pPr>
              <w:spacing w:lineRule="auto" w:line="276"/>
              <w:jc w:val="center"/>
            </w:pPr>
            <w:r>
              <w:rPr>
                <w:rFonts w:ascii="Times New Roman" w:hAnsi="Times New Roman" w:eastAsia="宋体"/>
                <w:b w:val="0"/>
                <w:sz w:val="18"/>
              </w:rPr>
              <w:t>护舷及系船柱</w:t>
            </w:r>
          </w:p>
        </w:tc>
        <w:tc>
          <w:tcPr>
            <w:tcW w:type="dxa" w:w="1152"/>
            <w:vAlign w:val="center"/>
          </w:tcPr>
          <w:p>
            <w:pPr>
              <w:spacing w:lineRule="auto" w:line="276"/>
              <w:jc w:val="center"/>
            </w:pPr>
            <w:r>
              <w:rPr>
                <w:rFonts w:ascii="Times New Roman" w:hAnsi="Times New Roman" w:eastAsia="宋体"/>
                <w:b w:val="0"/>
                <w:sz w:val="18"/>
              </w:rPr>
              <w:t>项</w:t>
            </w:r>
          </w:p>
        </w:tc>
        <w:tc>
          <w:tcPr>
            <w:tcW w:type="dxa" w:w="1728"/>
            <w:vAlign w:val="center"/>
          </w:tcPr>
          <w:p>
            <w:pPr>
              <w:spacing w:lineRule="auto" w:line="276"/>
              <w:jc w:val="center"/>
            </w:pPr>
            <w:r>
              <w:rPr>
                <w:rFonts w:ascii="Times New Roman" w:hAnsi="Times New Roman" w:eastAsia="宋体"/>
                <w:b w:val="0"/>
                <w:sz w:val="18"/>
              </w:rPr>
              <w:t>1</w:t>
            </w:r>
          </w:p>
        </w:tc>
        <w:tc>
          <w:tcPr>
            <w:tcW w:type="dxa" w:w="3600"/>
            <w:vAlign w:val="center"/>
          </w:tcPr>
          <w:p>
            <w:pPr>
              <w:spacing w:lineRule="auto" w:line="276"/>
              <w:jc w:val="center"/>
            </w:pPr>
            <w:r>
              <w:rPr>
                <w:rFonts w:ascii="Times New Roman" w:hAnsi="Times New Roman" w:eastAsia="宋体"/>
                <w:b w:val="0"/>
                <w:sz w:val="18"/>
              </w:rPr>
              <w:t>同等泊位配置</w:t>
            </w:r>
          </w:p>
        </w:tc>
      </w:tr>
    </w:tbl>
    <w:p/>
    <w:p>
      <w:pPr>
        <w:spacing w:lineRule="auto" w:line="360" w:before="0" w:after="0"/>
        <w:ind w:firstLine="480"/>
      </w:pPr>
      <w:r>
        <w:rPr>
          <w:rFonts w:ascii="Times New Roman" w:hAnsi="Times New Roman" w:eastAsia="宋体"/>
          <w:sz w:val="24"/>
        </w:rPr>
        <w:t>大圆筒工程量对圆筒混凝土作单独说明，是因为该项会传递到投资和施工装备需求。正文先交代取值口径，再说明它在图纸、计算或施工中的落点，使参数不是停留在资料摘录层面。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针对筒壁钢筋，本设计采用先定尺度、再核算能力、最后回到图纸表达的写法。这样处理后，审阅时可以直接看到该项与投资和施工装备需求之间的对应关系。</w:t>
      </w:r>
    </w:p>
    <w:p>
      <w:pPr>
        <w:spacing w:lineRule="auto" w:line="360" w:before="0" w:after="0"/>
        <w:ind w:firstLine="480"/>
      </w:pPr>
      <w:r>
        <w:rPr>
          <w:rFonts w:ascii="Times New Roman" w:hAnsi="Times New Roman" w:eastAsia="宋体"/>
          <w:sz w:val="24"/>
        </w:rPr>
        <w:t>筒内回填取值偏小会压缩安全或施工余量，取值偏大又会增加工程量。本说明书按初步设计深度采用适中偏保守的控制值，并在后续章节保留施工图复核接口。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从现场实施看，筒间接缝还会影响施工顺序、材料组织和质量检查。正文把这些影响写入相邻段落，避免图纸有尺寸而说明书缺少工程解释。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大圆筒工程量中的大型吊装同时具有设计和管理意义。它既是计算输入，也是后续概预算、施工组织和运行维护的判断依据，因此需要在正文中给出明确说明。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围绕基床整平，本设计重点核对三件事：是否满足规范和船型需求，是否能在A1图纸中清楚表达，是否会改变投资和施工装备需求的工程量或安全储备。</w:t>
      </w:r>
    </w:p>
    <w:p>
      <w:pPr>
        <w:spacing w:lineRule="auto" w:line="360" w:before="0" w:after="0"/>
        <w:ind w:firstLine="480"/>
      </w:pPr>
      <w:r>
        <w:rPr>
          <w:rFonts w:ascii="Times New Roman" w:hAnsi="Times New Roman" w:eastAsia="宋体"/>
          <w:sz w:val="24"/>
        </w:rPr>
        <w:t>若后续详勘或施工条件发生变化，块石基床是需要优先复核的项目之一。本阶段先把采用值、影响范围和复核方向写清楚，便于施工图阶段继续深化。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倒滤层的说明与投资和施工装备需求相互衔接。正文采用工程语言解释其作用，而不把它写成泛泛的背景材料，从而压缩自然状况篇幅并提高设计章节比重。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大圆筒工程量对后方回填作单独说明，是因为该项会传递到投资和施工装备需求。正文先交代取值口径，再说明它在图纸、计算或施工中的落点，使参数不是停留在资料摘录层面。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针对胸墙混凝土，本设计采用先定尺度、再核算能力、最后回到图纸表达的写法。这样处理后，审阅时可以直接看到该项与投资和施工装备需求之间的对应关系。</w:t>
      </w:r>
    </w:p>
    <w:p>
      <w:pPr>
        <w:spacing w:lineRule="auto" w:line="360" w:before="0" w:after="0"/>
        <w:ind w:firstLine="480"/>
      </w:pPr>
      <w:r>
        <w:rPr>
          <w:rFonts w:ascii="Times New Roman" w:hAnsi="Times New Roman" w:eastAsia="宋体"/>
          <w:sz w:val="24"/>
        </w:rPr>
        <w:t>护舷基础取值偏小会压缩安全或施工余量，取值偏大又会增加工程量。本说明书按初步设计深度采用适中偏保守的控制值，并在后续章节保留施工图复核接口。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从现场实施看，系船柱基础还会影响施工顺序、材料组织和质量检查。正文把这些影响写入相邻段落，避免图纸有尺寸而说明书缺少工程解释。</w:t>
      </w:r>
    </w:p>
    <w:p>
      <w:pPr>
        <w:tabs>
          <w:tab w:pos="4100" w:val="center"/>
          <w:tab w:pos="8200" w:val="right"/>
        </w:tabs>
        <w:spacing w:lineRule="auto" w:line="360" w:before="0" w:after="0"/>
        <w:jc w:val="left"/>
      </w:pPr>
      <w:r>
        <w:tab/>
      </w:r>
      <m:oMath>
        <m:sSub>
          <m:e>
            <m:r>
              <m:t>V</m:t>
            </m:r>
          </m:e>
          <m:sub>
            <m:r>
              <m:t>c</m:t>
            </m:r>
            <m:r>
              <m:t>y</m:t>
            </m:r>
          </m:sub>
        </m:sSub>
        <m:r>
          <m:rPr>
            <m:sty m:val="p"/>
          </m:rPr>
          <m:t>=</m:t>
        </m:r>
        <m:r>
          <m:t>n</m:t>
        </m:r>
        <m:r>
          <m:t>π</m:t>
        </m:r>
        <m:r>
          <m:rPr>
            <m:sty m:val="p"/>
          </m:rPr>
          <m:t>(</m:t>
        </m:r>
        <m:sSup>
          <m:e>
            <m:r>
              <m:t>R</m:t>
            </m:r>
          </m:e>
          <m:sup>
            <m:r>
              <m:t>2</m:t>
            </m:r>
          </m:sup>
        </m:sSup>
        <m:r>
          <m:rPr>
            <m:sty m:val="p"/>
          </m:rPr>
          <m:t>−</m:t>
        </m:r>
        <m:sSup>
          <m:e>
            <m:r>
              <m:t>r</m:t>
            </m:r>
          </m:e>
          <m:sup>
            <m:r>
              <m:t>2</m:t>
            </m:r>
          </m:sup>
        </m:sSup>
        <m:r>
          <m:rPr>
            <m:sty m:val="p"/>
          </m:rPr>
          <m:t>)</m:t>
        </m:r>
        <m:r>
          <m:t>h</m:t>
        </m:r>
      </m:oMath>
      <w:r>
        <w:rPr>
          <w:rFonts w:ascii="Times New Roman" w:hAnsi="Times New Roman" w:eastAsia="宋体"/>
          <w:sz w:val="24"/>
        </w:rPr>
        <w:tab/>
        <w:t>（6.3）</w:t>
      </w:r>
    </w:p>
    <w:p>
      <w:pPr>
        <w:spacing w:lineRule="auto" w:line="360" w:before="0" w:after="0"/>
        <w:ind w:firstLine="480"/>
      </w:pPr>
      <w:r>
        <w:rPr>
          <w:rFonts w:ascii="Times New Roman" w:hAnsi="Times New Roman" w:eastAsia="宋体"/>
          <w:sz w:val="24"/>
        </w:rPr>
        <w:t>大圆筒工程量按单筒外径、内径、壁厚和高度计算。与沉箱相比，大圆筒筒壁混凝土量可能较集中，单件预制重量大，因此除主体工程量外，还应考虑大型吊装、出运、临时靠泊和定位沉放的费用。</w:t>
      </w:r>
    </w:p>
    <w:p>
      <w:pPr>
        <w:keepNext/>
        <w:spacing w:lineRule="auto" w:line="300" w:before="0" w:after="120"/>
        <w:jc w:val="center"/>
      </w:pPr>
      <w:r>
        <w:rPr>
          <w:rFonts w:ascii="Times New Roman" w:hAnsi="Times New Roman" w:eastAsia="宋体"/>
          <w:b w:val="0"/>
          <w:sz w:val="20"/>
        </w:rPr>
        <w:t>表6-6 大圆筒方案工程量分段核对表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664"/>
        <w:gridCol w:w="2304"/>
        <w:gridCol w:w="230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分项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计算来源</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工程量口径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风险说明</w:t>
            </w:r>
          </w:p>
        </w:tc>
      </w:tr>
      <w:tr>
        <w:tc>
          <w:tcPr>
            <w:tcW w:type="dxa" w:w="1656"/>
            <w:vAlign w:val="center"/>
          </w:tcPr>
          <w:p>
            <w:pPr>
              <w:spacing w:lineRule="auto" w:line="276"/>
              <w:jc w:val="center"/>
            </w:pPr>
            <w:r>
              <w:rPr>
                <w:rFonts w:ascii="Times New Roman" w:hAnsi="Times New Roman" w:eastAsia="宋体"/>
                <w:b w:val="0"/>
                <w:sz w:val="18"/>
              </w:rPr>
              <w:t>圆筒筒壁</w:t>
            </w:r>
          </w:p>
        </w:tc>
        <w:tc>
          <w:tcPr>
            <w:tcW w:type="dxa" w:w="2664"/>
            <w:vAlign w:val="center"/>
          </w:tcPr>
          <w:p>
            <w:pPr>
              <w:spacing w:lineRule="auto" w:line="276"/>
              <w:jc w:val="center"/>
            </w:pPr>
            <w:r>
              <w:rPr>
                <w:rFonts w:ascii="Times New Roman" w:hAnsi="Times New Roman" w:eastAsia="宋体"/>
                <w:b w:val="0"/>
                <w:sz w:val="18"/>
              </w:rPr>
              <w:t>圆环面积乘筒高</w:t>
            </w:r>
          </w:p>
        </w:tc>
        <w:tc>
          <w:tcPr>
            <w:tcW w:type="dxa" w:w="2304"/>
            <w:vAlign w:val="center"/>
          </w:tcPr>
          <w:p>
            <w:pPr>
              <w:spacing w:lineRule="auto" w:line="276"/>
              <w:jc w:val="center"/>
            </w:pPr>
            <w:r>
              <w:rPr>
                <w:rFonts w:ascii="Times New Roman" w:hAnsi="Times New Roman" w:eastAsia="宋体"/>
                <w:b w:val="0"/>
                <w:sz w:val="18"/>
              </w:rPr>
              <w:t>单筒量乘筒数</w:t>
            </w:r>
          </w:p>
        </w:tc>
        <w:tc>
          <w:tcPr>
            <w:tcW w:type="dxa" w:w="2304"/>
            <w:vAlign w:val="center"/>
          </w:tcPr>
          <w:p>
            <w:pPr>
              <w:spacing w:lineRule="auto" w:line="276"/>
              <w:jc w:val="center"/>
            </w:pPr>
            <w:r>
              <w:rPr>
                <w:rFonts w:ascii="Times New Roman" w:hAnsi="Times New Roman" w:eastAsia="宋体"/>
                <w:b w:val="0"/>
                <w:sz w:val="18"/>
              </w:rPr>
              <w:t>受外径和壁厚影响大</w:t>
            </w:r>
          </w:p>
        </w:tc>
      </w:tr>
      <w:tr>
        <w:tc>
          <w:tcPr>
            <w:tcW w:type="dxa" w:w="1656"/>
            <w:vAlign w:val="center"/>
          </w:tcPr>
          <w:p>
            <w:pPr>
              <w:spacing w:lineRule="auto" w:line="276"/>
              <w:jc w:val="center"/>
            </w:pPr>
            <w:r>
              <w:rPr>
                <w:rFonts w:ascii="Times New Roman" w:hAnsi="Times New Roman" w:eastAsia="宋体"/>
                <w:b w:val="0"/>
                <w:sz w:val="18"/>
              </w:rPr>
              <w:t>筒内回填</w:t>
            </w:r>
          </w:p>
        </w:tc>
        <w:tc>
          <w:tcPr>
            <w:tcW w:type="dxa" w:w="2664"/>
            <w:vAlign w:val="center"/>
          </w:tcPr>
          <w:p>
            <w:pPr>
              <w:spacing w:lineRule="auto" w:line="276"/>
              <w:jc w:val="center"/>
            </w:pPr>
            <w:r>
              <w:rPr>
                <w:rFonts w:ascii="Times New Roman" w:hAnsi="Times New Roman" w:eastAsia="宋体"/>
                <w:b w:val="0"/>
                <w:sz w:val="18"/>
              </w:rPr>
              <w:t>内圆面积乘填高</w:t>
            </w:r>
          </w:p>
        </w:tc>
        <w:tc>
          <w:tcPr>
            <w:tcW w:type="dxa" w:w="2304"/>
            <w:vAlign w:val="center"/>
          </w:tcPr>
          <w:p>
            <w:pPr>
              <w:spacing w:lineRule="auto" w:line="276"/>
              <w:jc w:val="center"/>
            </w:pPr>
            <w:r>
              <w:rPr>
                <w:rFonts w:ascii="Times New Roman" w:hAnsi="Times New Roman" w:eastAsia="宋体"/>
                <w:b w:val="0"/>
                <w:sz w:val="18"/>
              </w:rPr>
              <w:t>单筒量乘筒数</w:t>
            </w:r>
          </w:p>
        </w:tc>
        <w:tc>
          <w:tcPr>
            <w:tcW w:type="dxa" w:w="2304"/>
            <w:vAlign w:val="center"/>
          </w:tcPr>
          <w:p>
            <w:pPr>
              <w:spacing w:lineRule="auto" w:line="276"/>
              <w:jc w:val="center"/>
            </w:pPr>
            <w:r>
              <w:rPr>
                <w:rFonts w:ascii="Times New Roman" w:hAnsi="Times New Roman" w:eastAsia="宋体"/>
                <w:b w:val="0"/>
                <w:sz w:val="18"/>
              </w:rPr>
              <w:t>密实度影响稳定</w:t>
            </w:r>
          </w:p>
        </w:tc>
      </w:tr>
      <w:tr>
        <w:tc>
          <w:tcPr>
            <w:tcW w:type="dxa" w:w="1656"/>
            <w:vAlign w:val="center"/>
          </w:tcPr>
          <w:p>
            <w:pPr>
              <w:spacing w:lineRule="auto" w:line="276"/>
              <w:jc w:val="center"/>
            </w:pPr>
            <w:r>
              <w:rPr>
                <w:rFonts w:ascii="Times New Roman" w:hAnsi="Times New Roman" w:eastAsia="宋体"/>
                <w:b w:val="0"/>
                <w:sz w:val="18"/>
              </w:rPr>
              <w:t>筒间止漏</w:t>
            </w:r>
          </w:p>
        </w:tc>
        <w:tc>
          <w:tcPr>
            <w:tcW w:type="dxa" w:w="2664"/>
            <w:vAlign w:val="center"/>
          </w:tcPr>
          <w:p>
            <w:pPr>
              <w:spacing w:lineRule="auto" w:line="276"/>
              <w:jc w:val="center"/>
            </w:pPr>
            <w:r>
              <w:rPr>
                <w:rFonts w:ascii="Times New Roman" w:hAnsi="Times New Roman" w:eastAsia="宋体"/>
                <w:b w:val="0"/>
                <w:sz w:val="18"/>
              </w:rPr>
              <w:t>接缝宽度和数量</w:t>
            </w:r>
          </w:p>
        </w:tc>
        <w:tc>
          <w:tcPr>
            <w:tcW w:type="dxa" w:w="2304"/>
            <w:vAlign w:val="center"/>
          </w:tcPr>
          <w:p>
            <w:pPr>
              <w:spacing w:lineRule="auto" w:line="276"/>
              <w:jc w:val="center"/>
            </w:pPr>
            <w:r>
              <w:rPr>
                <w:rFonts w:ascii="Times New Roman" w:hAnsi="Times New Roman" w:eastAsia="宋体"/>
                <w:b w:val="0"/>
                <w:sz w:val="18"/>
              </w:rPr>
              <w:t>按接缝长度</w:t>
            </w:r>
          </w:p>
        </w:tc>
        <w:tc>
          <w:tcPr>
            <w:tcW w:type="dxa" w:w="2304"/>
            <w:vAlign w:val="center"/>
          </w:tcPr>
          <w:p>
            <w:pPr>
              <w:spacing w:lineRule="auto" w:line="276"/>
              <w:jc w:val="center"/>
            </w:pPr>
            <w:r>
              <w:rPr>
                <w:rFonts w:ascii="Times New Roman" w:hAnsi="Times New Roman" w:eastAsia="宋体"/>
                <w:b w:val="0"/>
                <w:sz w:val="18"/>
              </w:rPr>
              <w:t>防漏要求高</w:t>
            </w:r>
          </w:p>
        </w:tc>
      </w:tr>
      <w:tr>
        <w:tc>
          <w:tcPr>
            <w:tcW w:type="dxa" w:w="1656"/>
            <w:vAlign w:val="center"/>
          </w:tcPr>
          <w:p>
            <w:pPr>
              <w:spacing w:lineRule="auto" w:line="276"/>
              <w:jc w:val="center"/>
            </w:pPr>
            <w:r>
              <w:rPr>
                <w:rFonts w:ascii="Times New Roman" w:hAnsi="Times New Roman" w:eastAsia="宋体"/>
                <w:b w:val="0"/>
                <w:sz w:val="18"/>
              </w:rPr>
              <w:t>胸墙与面层</w:t>
            </w:r>
          </w:p>
        </w:tc>
        <w:tc>
          <w:tcPr>
            <w:tcW w:type="dxa" w:w="2664"/>
            <w:vAlign w:val="center"/>
          </w:tcPr>
          <w:p>
            <w:pPr>
              <w:spacing w:lineRule="auto" w:line="276"/>
              <w:jc w:val="center"/>
            </w:pPr>
            <w:r>
              <w:rPr>
                <w:rFonts w:ascii="Times New Roman" w:hAnsi="Times New Roman" w:eastAsia="宋体"/>
                <w:b w:val="0"/>
                <w:sz w:val="18"/>
              </w:rPr>
              <w:t>连续现浇断面</w:t>
            </w:r>
          </w:p>
        </w:tc>
        <w:tc>
          <w:tcPr>
            <w:tcW w:type="dxa" w:w="2304"/>
            <w:vAlign w:val="center"/>
          </w:tcPr>
          <w:p>
            <w:pPr>
              <w:spacing w:lineRule="auto" w:line="276"/>
              <w:jc w:val="center"/>
            </w:pPr>
            <w:r>
              <w:rPr>
                <w:rFonts w:ascii="Times New Roman" w:hAnsi="Times New Roman" w:eastAsia="宋体"/>
                <w:b w:val="0"/>
                <w:sz w:val="18"/>
              </w:rPr>
              <w:t>按泊位长度</w:t>
            </w:r>
          </w:p>
        </w:tc>
        <w:tc>
          <w:tcPr>
            <w:tcW w:type="dxa" w:w="2304"/>
            <w:vAlign w:val="center"/>
          </w:tcPr>
          <w:p>
            <w:pPr>
              <w:spacing w:lineRule="auto" w:line="276"/>
              <w:jc w:val="center"/>
            </w:pPr>
            <w:r>
              <w:rPr>
                <w:rFonts w:ascii="Times New Roman" w:hAnsi="Times New Roman" w:eastAsia="宋体"/>
                <w:b w:val="0"/>
                <w:sz w:val="18"/>
              </w:rPr>
              <w:t>与附属设施协调</w:t>
            </w:r>
          </w:p>
        </w:tc>
      </w:tr>
      <w:tr>
        <w:tc>
          <w:tcPr>
            <w:tcW w:type="dxa" w:w="1656"/>
            <w:vAlign w:val="center"/>
          </w:tcPr>
          <w:p>
            <w:pPr>
              <w:spacing w:lineRule="auto" w:line="276"/>
              <w:jc w:val="center"/>
            </w:pPr>
            <w:r>
              <w:rPr>
                <w:rFonts w:ascii="Times New Roman" w:hAnsi="Times New Roman" w:eastAsia="宋体"/>
                <w:b w:val="0"/>
                <w:sz w:val="18"/>
              </w:rPr>
              <w:t>基床处理</w:t>
            </w:r>
          </w:p>
        </w:tc>
        <w:tc>
          <w:tcPr>
            <w:tcW w:type="dxa" w:w="2664"/>
            <w:vAlign w:val="center"/>
          </w:tcPr>
          <w:p>
            <w:pPr>
              <w:spacing w:lineRule="auto" w:line="276"/>
              <w:jc w:val="center"/>
            </w:pPr>
            <w:r>
              <w:rPr>
                <w:rFonts w:ascii="Times New Roman" w:hAnsi="Times New Roman" w:eastAsia="宋体"/>
                <w:b w:val="0"/>
                <w:sz w:val="18"/>
              </w:rPr>
              <w:t>宽基床断面</w:t>
            </w:r>
          </w:p>
        </w:tc>
        <w:tc>
          <w:tcPr>
            <w:tcW w:type="dxa" w:w="2304"/>
            <w:vAlign w:val="center"/>
          </w:tcPr>
          <w:p>
            <w:pPr>
              <w:spacing w:lineRule="auto" w:line="276"/>
              <w:jc w:val="center"/>
            </w:pPr>
            <w:r>
              <w:rPr>
                <w:rFonts w:ascii="Times New Roman" w:hAnsi="Times New Roman" w:eastAsia="宋体"/>
                <w:b w:val="0"/>
                <w:sz w:val="18"/>
              </w:rPr>
              <w:t>按筒列范围</w:t>
            </w:r>
          </w:p>
        </w:tc>
        <w:tc>
          <w:tcPr>
            <w:tcW w:type="dxa" w:w="2304"/>
            <w:vAlign w:val="center"/>
          </w:tcPr>
          <w:p>
            <w:pPr>
              <w:spacing w:lineRule="auto" w:line="276"/>
              <w:jc w:val="center"/>
            </w:pPr>
            <w:r>
              <w:rPr>
                <w:rFonts w:ascii="Times New Roman" w:hAnsi="Times New Roman" w:eastAsia="宋体"/>
                <w:b w:val="0"/>
                <w:sz w:val="18"/>
              </w:rPr>
              <w:t>整平精度要求高</w:t>
            </w:r>
          </w:p>
        </w:tc>
      </w:tr>
      <w:tr>
        <w:tc>
          <w:tcPr>
            <w:tcW w:type="dxa" w:w="1656"/>
            <w:vAlign w:val="center"/>
          </w:tcPr>
          <w:p>
            <w:pPr>
              <w:spacing w:lineRule="auto" w:line="276"/>
              <w:jc w:val="center"/>
            </w:pPr>
            <w:r>
              <w:rPr>
                <w:rFonts w:ascii="Times New Roman" w:hAnsi="Times New Roman" w:eastAsia="宋体"/>
                <w:b w:val="0"/>
                <w:sz w:val="18"/>
              </w:rPr>
              <w:t>吊装沉放</w:t>
            </w:r>
          </w:p>
        </w:tc>
        <w:tc>
          <w:tcPr>
            <w:tcW w:type="dxa" w:w="2664"/>
            <w:vAlign w:val="center"/>
          </w:tcPr>
          <w:p>
            <w:pPr>
              <w:spacing w:lineRule="auto" w:line="276"/>
              <w:jc w:val="center"/>
            </w:pPr>
            <w:r>
              <w:rPr>
                <w:rFonts w:ascii="Times New Roman" w:hAnsi="Times New Roman" w:eastAsia="宋体"/>
                <w:b w:val="0"/>
                <w:sz w:val="18"/>
              </w:rPr>
              <w:t>单筒重量和船机</w:t>
            </w:r>
          </w:p>
        </w:tc>
        <w:tc>
          <w:tcPr>
            <w:tcW w:type="dxa" w:w="2304"/>
            <w:vAlign w:val="center"/>
          </w:tcPr>
          <w:p>
            <w:pPr>
              <w:spacing w:lineRule="auto" w:line="276"/>
              <w:jc w:val="center"/>
            </w:pPr>
            <w:r>
              <w:rPr>
                <w:rFonts w:ascii="Times New Roman" w:hAnsi="Times New Roman" w:eastAsia="宋体"/>
                <w:b w:val="0"/>
                <w:sz w:val="18"/>
              </w:rPr>
              <w:t>按筒数和台班</w:t>
            </w:r>
          </w:p>
        </w:tc>
        <w:tc>
          <w:tcPr>
            <w:tcW w:type="dxa" w:w="2304"/>
            <w:vAlign w:val="center"/>
          </w:tcPr>
          <w:p>
            <w:pPr>
              <w:spacing w:lineRule="auto" w:line="276"/>
              <w:jc w:val="center"/>
            </w:pPr>
            <w:r>
              <w:rPr>
                <w:rFonts w:ascii="Times New Roman" w:hAnsi="Times New Roman" w:eastAsia="宋体"/>
                <w:b w:val="0"/>
                <w:sz w:val="18"/>
              </w:rPr>
              <w:t>船机调遣费用敏感</w:t>
            </w:r>
          </w:p>
        </w:tc>
      </w:tr>
    </w:tbl>
    <w:p/>
    <w:p>
      <w:pPr>
        <w:spacing w:lineRule="auto" w:line="360" w:before="0" w:after="0"/>
        <w:ind w:firstLine="480"/>
      </w:pPr>
      <w:r>
        <w:rPr>
          <w:rFonts w:ascii="Times New Roman" w:hAnsi="Times New Roman" w:eastAsia="宋体"/>
          <w:sz w:val="24"/>
        </w:rPr>
        <w:t>大圆筒方案在结构材料上不一定全面高于沉箱方案，但由于单件尺度大、接缝多、坐床精度要求高，施工措施费和风险储备应单独考虑。这部分费用若不列出，会导致方案二经济性被低估。</w:t>
      </w:r>
    </w:p>
    <w:p>
      <w:pPr>
        <w:pStyle w:val="2"/>
        <w:jc w:val="left"/>
      </w:pPr>
      <w:r>
        <w:rPr>
          <w:rFonts w:ascii="Times New Roman" w:hAnsi="Times New Roman" w:eastAsia="宋体"/>
          <w:b/>
          <w:sz w:val="24"/>
        </w:rPr>
        <w:t xml:space="preserve"> 单价假定与投资估算</w:t>
      </w:r>
    </w:p>
    <w:p>
      <w:pPr>
        <w:spacing w:lineRule="auto" w:line="360" w:before="0" w:after="0"/>
        <w:ind w:firstLine="480"/>
      </w:pPr>
      <w:r>
        <w:rPr>
          <w:rFonts w:ascii="Times New Roman" w:hAnsi="Times New Roman" w:eastAsia="宋体"/>
          <w:sz w:val="24"/>
        </w:rPr>
        <w:t>初步概算单价采用类似工程经验价进行估算，实际造价应在施工图阶段结合地方材料价、运输距离、定额、船机台班、预制场条件和招标价格修正。本章列出的单价主要用于方案比较，不作为最终合同价。</w:t>
      </w:r>
    </w:p>
    <w:p>
      <w:pPr>
        <w:keepNext/>
        <w:spacing w:lineRule="auto" w:line="300" w:before="0" w:after="120"/>
        <w:jc w:val="center"/>
      </w:pPr>
      <w:r>
        <w:rPr>
          <w:rFonts w:ascii="Times New Roman" w:hAnsi="Times New Roman" w:eastAsia="宋体"/>
          <w:b w:val="0"/>
          <w:sz w:val="20"/>
        </w:rPr>
        <w:t>表6-7 主要综合单价假定</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152"/>
        <w:gridCol w:w="1584"/>
        <w:gridCol w:w="374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综合单价/元</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C45预制混凝土</w:t>
            </w:r>
          </w:p>
        </w:tc>
        <w:tc>
          <w:tcPr>
            <w:tcW w:type="dxa" w:w="1152"/>
            <w:vAlign w:val="center"/>
          </w:tcPr>
          <w:p>
            <w:pPr>
              <w:spacing w:lineRule="auto" w:line="276"/>
              <w:jc w:val="center"/>
            </w:pPr>
            <w:r>
              <w:rPr>
                <w:rFonts w:ascii="Times New Roman" w:hAnsi="Times New Roman" w:eastAsia="宋体"/>
                <w:b w:val="0"/>
                <w:sz w:val="18"/>
              </w:rPr>
              <w:t>m3</w:t>
            </w:r>
          </w:p>
        </w:tc>
        <w:tc>
          <w:tcPr>
            <w:tcW w:type="dxa" w:w="1584"/>
            <w:vAlign w:val="center"/>
          </w:tcPr>
          <w:p>
            <w:pPr>
              <w:spacing w:lineRule="auto" w:line="276"/>
              <w:jc w:val="center"/>
            </w:pPr>
            <w:r>
              <w:rPr>
                <w:rFonts w:ascii="Times New Roman" w:hAnsi="Times New Roman" w:eastAsia="宋体"/>
                <w:b w:val="0"/>
                <w:sz w:val="18"/>
              </w:rPr>
              <w:t>1100</w:t>
            </w:r>
          </w:p>
        </w:tc>
        <w:tc>
          <w:tcPr>
            <w:tcW w:type="dxa" w:w="3744"/>
            <w:vAlign w:val="center"/>
          </w:tcPr>
          <w:p>
            <w:pPr>
              <w:spacing w:lineRule="auto" w:line="276"/>
              <w:jc w:val="center"/>
            </w:pPr>
            <w:r>
              <w:rPr>
                <w:rFonts w:ascii="Times New Roman" w:hAnsi="Times New Roman" w:eastAsia="宋体"/>
                <w:b w:val="0"/>
                <w:sz w:val="18"/>
              </w:rPr>
              <w:t>含模板、预制和养护</w:t>
            </w:r>
          </w:p>
        </w:tc>
      </w:tr>
      <w:tr>
        <w:tc>
          <w:tcPr>
            <w:tcW w:type="dxa" w:w="2160"/>
            <w:vAlign w:val="center"/>
          </w:tcPr>
          <w:p>
            <w:pPr>
              <w:spacing w:lineRule="auto" w:line="276"/>
              <w:jc w:val="center"/>
            </w:pPr>
            <w:r>
              <w:rPr>
                <w:rFonts w:ascii="Times New Roman" w:hAnsi="Times New Roman" w:eastAsia="宋体"/>
                <w:b w:val="0"/>
                <w:sz w:val="18"/>
              </w:rPr>
              <w:t>C40现浇混凝土</w:t>
            </w:r>
          </w:p>
        </w:tc>
        <w:tc>
          <w:tcPr>
            <w:tcW w:type="dxa" w:w="1152"/>
            <w:vAlign w:val="center"/>
          </w:tcPr>
          <w:p>
            <w:pPr>
              <w:spacing w:lineRule="auto" w:line="276"/>
              <w:jc w:val="center"/>
            </w:pPr>
            <w:r>
              <w:rPr>
                <w:rFonts w:ascii="Times New Roman" w:hAnsi="Times New Roman" w:eastAsia="宋体"/>
                <w:b w:val="0"/>
                <w:sz w:val="18"/>
              </w:rPr>
              <w:t>m3</w:t>
            </w:r>
          </w:p>
        </w:tc>
        <w:tc>
          <w:tcPr>
            <w:tcW w:type="dxa" w:w="1584"/>
            <w:vAlign w:val="center"/>
          </w:tcPr>
          <w:p>
            <w:pPr>
              <w:spacing w:lineRule="auto" w:line="276"/>
              <w:jc w:val="center"/>
            </w:pPr>
            <w:r>
              <w:rPr>
                <w:rFonts w:ascii="Times New Roman" w:hAnsi="Times New Roman" w:eastAsia="宋体"/>
                <w:b w:val="0"/>
                <w:sz w:val="18"/>
              </w:rPr>
              <w:t>950</w:t>
            </w:r>
          </w:p>
        </w:tc>
        <w:tc>
          <w:tcPr>
            <w:tcW w:type="dxa" w:w="3744"/>
            <w:vAlign w:val="center"/>
          </w:tcPr>
          <w:p>
            <w:pPr>
              <w:spacing w:lineRule="auto" w:line="276"/>
              <w:jc w:val="center"/>
            </w:pPr>
            <w:r>
              <w:rPr>
                <w:rFonts w:ascii="Times New Roman" w:hAnsi="Times New Roman" w:eastAsia="宋体"/>
                <w:b w:val="0"/>
                <w:sz w:val="18"/>
              </w:rPr>
              <w:t>含浇筑和养护</w:t>
            </w:r>
          </w:p>
        </w:tc>
      </w:tr>
      <w:tr>
        <w:tc>
          <w:tcPr>
            <w:tcW w:type="dxa" w:w="2160"/>
            <w:vAlign w:val="center"/>
          </w:tcPr>
          <w:p>
            <w:pPr>
              <w:spacing w:lineRule="auto" w:line="276"/>
              <w:jc w:val="center"/>
            </w:pPr>
            <w:r>
              <w:rPr>
                <w:rFonts w:ascii="Times New Roman" w:hAnsi="Times New Roman" w:eastAsia="宋体"/>
                <w:b w:val="0"/>
                <w:sz w:val="18"/>
              </w:rPr>
              <w:t>钢筋制安</w:t>
            </w:r>
          </w:p>
        </w:tc>
        <w:tc>
          <w:tcPr>
            <w:tcW w:type="dxa" w:w="1152"/>
            <w:vAlign w:val="center"/>
          </w:tcPr>
          <w:p>
            <w:pPr>
              <w:spacing w:lineRule="auto" w:line="276"/>
              <w:jc w:val="center"/>
            </w:pPr>
            <w:r>
              <w:rPr>
                <w:rFonts w:ascii="Times New Roman" w:hAnsi="Times New Roman" w:eastAsia="宋体"/>
                <w:b w:val="0"/>
                <w:sz w:val="18"/>
              </w:rPr>
              <w:t>t</w:t>
            </w:r>
          </w:p>
        </w:tc>
        <w:tc>
          <w:tcPr>
            <w:tcW w:type="dxa" w:w="1584"/>
            <w:vAlign w:val="center"/>
          </w:tcPr>
          <w:p>
            <w:pPr>
              <w:spacing w:lineRule="auto" w:line="276"/>
              <w:jc w:val="center"/>
            </w:pPr>
            <w:r>
              <w:rPr>
                <w:rFonts w:ascii="Times New Roman" w:hAnsi="Times New Roman" w:eastAsia="宋体"/>
                <w:b w:val="0"/>
                <w:sz w:val="18"/>
              </w:rPr>
              <w:t>6200</w:t>
            </w:r>
          </w:p>
        </w:tc>
        <w:tc>
          <w:tcPr>
            <w:tcW w:type="dxa" w:w="3744"/>
            <w:vAlign w:val="center"/>
          </w:tcPr>
          <w:p>
            <w:pPr>
              <w:spacing w:lineRule="auto" w:line="276"/>
              <w:jc w:val="center"/>
            </w:pPr>
            <w:r>
              <w:rPr>
                <w:rFonts w:ascii="Times New Roman" w:hAnsi="Times New Roman" w:eastAsia="宋体"/>
                <w:b w:val="0"/>
                <w:sz w:val="18"/>
              </w:rPr>
              <w:t>HRB400综合价</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1152"/>
            <w:vAlign w:val="center"/>
          </w:tcPr>
          <w:p>
            <w:pPr>
              <w:spacing w:lineRule="auto" w:line="276"/>
              <w:jc w:val="center"/>
            </w:pPr>
            <w:r>
              <w:rPr>
                <w:rFonts w:ascii="Times New Roman" w:hAnsi="Times New Roman" w:eastAsia="宋体"/>
                <w:b w:val="0"/>
                <w:sz w:val="18"/>
              </w:rPr>
              <w:t>m3</w:t>
            </w:r>
          </w:p>
        </w:tc>
        <w:tc>
          <w:tcPr>
            <w:tcW w:type="dxa" w:w="1584"/>
            <w:vAlign w:val="center"/>
          </w:tcPr>
          <w:p>
            <w:pPr>
              <w:spacing w:lineRule="auto" w:line="276"/>
              <w:jc w:val="center"/>
            </w:pPr>
            <w:r>
              <w:rPr>
                <w:rFonts w:ascii="Times New Roman" w:hAnsi="Times New Roman" w:eastAsia="宋体"/>
                <w:b w:val="0"/>
                <w:sz w:val="18"/>
              </w:rPr>
              <w:t>220</w:t>
            </w:r>
          </w:p>
        </w:tc>
        <w:tc>
          <w:tcPr>
            <w:tcW w:type="dxa" w:w="3744"/>
            <w:vAlign w:val="center"/>
          </w:tcPr>
          <w:p>
            <w:pPr>
              <w:spacing w:lineRule="auto" w:line="276"/>
              <w:jc w:val="center"/>
            </w:pPr>
            <w:r>
              <w:rPr>
                <w:rFonts w:ascii="Times New Roman" w:hAnsi="Times New Roman" w:eastAsia="宋体"/>
                <w:b w:val="0"/>
                <w:sz w:val="18"/>
              </w:rPr>
              <w:t>含采购、运输和抛填</w:t>
            </w:r>
          </w:p>
        </w:tc>
      </w:tr>
      <w:tr>
        <w:tc>
          <w:tcPr>
            <w:tcW w:type="dxa" w:w="2160"/>
            <w:vAlign w:val="center"/>
          </w:tcPr>
          <w:p>
            <w:pPr>
              <w:spacing w:lineRule="auto" w:line="276"/>
              <w:jc w:val="center"/>
            </w:pPr>
            <w:r>
              <w:rPr>
                <w:rFonts w:ascii="Times New Roman" w:hAnsi="Times New Roman" w:eastAsia="宋体"/>
                <w:b w:val="0"/>
                <w:sz w:val="18"/>
              </w:rPr>
              <w:t>二片石垫层</w:t>
            </w:r>
          </w:p>
        </w:tc>
        <w:tc>
          <w:tcPr>
            <w:tcW w:type="dxa" w:w="1152"/>
            <w:vAlign w:val="center"/>
          </w:tcPr>
          <w:p>
            <w:pPr>
              <w:spacing w:lineRule="auto" w:line="276"/>
              <w:jc w:val="center"/>
            </w:pPr>
            <w:r>
              <w:rPr>
                <w:rFonts w:ascii="Times New Roman" w:hAnsi="Times New Roman" w:eastAsia="宋体"/>
                <w:b w:val="0"/>
                <w:sz w:val="18"/>
              </w:rPr>
              <w:t>m3</w:t>
            </w:r>
          </w:p>
        </w:tc>
        <w:tc>
          <w:tcPr>
            <w:tcW w:type="dxa" w:w="1584"/>
            <w:vAlign w:val="center"/>
          </w:tcPr>
          <w:p>
            <w:pPr>
              <w:spacing w:lineRule="auto" w:line="276"/>
              <w:jc w:val="center"/>
            </w:pPr>
            <w:r>
              <w:rPr>
                <w:rFonts w:ascii="Times New Roman" w:hAnsi="Times New Roman" w:eastAsia="宋体"/>
                <w:b w:val="0"/>
                <w:sz w:val="18"/>
              </w:rPr>
              <w:t>260</w:t>
            </w:r>
          </w:p>
        </w:tc>
        <w:tc>
          <w:tcPr>
            <w:tcW w:type="dxa" w:w="3744"/>
            <w:vAlign w:val="center"/>
          </w:tcPr>
          <w:p>
            <w:pPr>
              <w:spacing w:lineRule="auto" w:line="276"/>
              <w:jc w:val="center"/>
            </w:pPr>
            <w:r>
              <w:rPr>
                <w:rFonts w:ascii="Times New Roman" w:hAnsi="Times New Roman" w:eastAsia="宋体"/>
                <w:b w:val="0"/>
                <w:sz w:val="18"/>
              </w:rPr>
              <w:t>含整平</w:t>
            </w:r>
          </w:p>
        </w:tc>
      </w:tr>
      <w:tr>
        <w:tc>
          <w:tcPr>
            <w:tcW w:type="dxa" w:w="2160"/>
            <w:vAlign w:val="center"/>
          </w:tcPr>
          <w:p>
            <w:pPr>
              <w:spacing w:lineRule="auto" w:line="276"/>
              <w:jc w:val="center"/>
            </w:pPr>
            <w:r>
              <w:rPr>
                <w:rFonts w:ascii="Times New Roman" w:hAnsi="Times New Roman" w:eastAsia="宋体"/>
                <w:b w:val="0"/>
                <w:sz w:val="18"/>
              </w:rPr>
              <w:t>开山石回填</w:t>
            </w:r>
          </w:p>
        </w:tc>
        <w:tc>
          <w:tcPr>
            <w:tcW w:type="dxa" w:w="1152"/>
            <w:vAlign w:val="center"/>
          </w:tcPr>
          <w:p>
            <w:pPr>
              <w:spacing w:lineRule="auto" w:line="276"/>
              <w:jc w:val="center"/>
            </w:pPr>
            <w:r>
              <w:rPr>
                <w:rFonts w:ascii="Times New Roman" w:hAnsi="Times New Roman" w:eastAsia="宋体"/>
                <w:b w:val="0"/>
                <w:sz w:val="18"/>
              </w:rPr>
              <w:t>m3</w:t>
            </w:r>
          </w:p>
        </w:tc>
        <w:tc>
          <w:tcPr>
            <w:tcW w:type="dxa" w:w="1584"/>
            <w:vAlign w:val="center"/>
          </w:tcPr>
          <w:p>
            <w:pPr>
              <w:spacing w:lineRule="auto" w:line="276"/>
              <w:jc w:val="center"/>
            </w:pPr>
            <w:r>
              <w:rPr>
                <w:rFonts w:ascii="Times New Roman" w:hAnsi="Times New Roman" w:eastAsia="宋体"/>
                <w:b w:val="0"/>
                <w:sz w:val="18"/>
              </w:rPr>
              <w:t>90</w:t>
            </w:r>
          </w:p>
        </w:tc>
        <w:tc>
          <w:tcPr>
            <w:tcW w:type="dxa" w:w="3744"/>
            <w:vAlign w:val="center"/>
          </w:tcPr>
          <w:p>
            <w:pPr>
              <w:spacing w:lineRule="auto" w:line="276"/>
              <w:jc w:val="center"/>
            </w:pPr>
            <w:r>
              <w:rPr>
                <w:rFonts w:ascii="Times New Roman" w:hAnsi="Times New Roman" w:eastAsia="宋体"/>
                <w:b w:val="0"/>
                <w:sz w:val="18"/>
              </w:rPr>
              <w:t>含运输和分层填筑</w:t>
            </w:r>
          </w:p>
        </w:tc>
      </w:tr>
      <w:tr>
        <w:tc>
          <w:tcPr>
            <w:tcW w:type="dxa" w:w="2160"/>
            <w:vAlign w:val="center"/>
          </w:tcPr>
          <w:p>
            <w:pPr>
              <w:spacing w:lineRule="auto" w:line="276"/>
              <w:jc w:val="center"/>
            </w:pPr>
            <w:r>
              <w:rPr>
                <w:rFonts w:ascii="Times New Roman" w:hAnsi="Times New Roman" w:eastAsia="宋体"/>
                <w:b w:val="0"/>
                <w:sz w:val="18"/>
              </w:rPr>
              <w:t>倒滤层及土工布</w:t>
            </w:r>
          </w:p>
        </w:tc>
        <w:tc>
          <w:tcPr>
            <w:tcW w:type="dxa" w:w="1152"/>
            <w:vAlign w:val="center"/>
          </w:tcPr>
          <w:p>
            <w:pPr>
              <w:spacing w:lineRule="auto" w:line="276"/>
              <w:jc w:val="center"/>
            </w:pPr>
            <w:r>
              <w:rPr>
                <w:rFonts w:ascii="Times New Roman" w:hAnsi="Times New Roman" w:eastAsia="宋体"/>
                <w:b w:val="0"/>
                <w:sz w:val="18"/>
              </w:rPr>
              <w:t>m2</w:t>
            </w:r>
          </w:p>
        </w:tc>
        <w:tc>
          <w:tcPr>
            <w:tcW w:type="dxa" w:w="1584"/>
            <w:vAlign w:val="center"/>
          </w:tcPr>
          <w:p>
            <w:pPr>
              <w:spacing w:lineRule="auto" w:line="276"/>
              <w:jc w:val="center"/>
            </w:pPr>
            <w:r>
              <w:rPr>
                <w:rFonts w:ascii="Times New Roman" w:hAnsi="Times New Roman" w:eastAsia="宋体"/>
                <w:b w:val="0"/>
                <w:sz w:val="18"/>
              </w:rPr>
              <w:t>75</w:t>
            </w:r>
          </w:p>
        </w:tc>
        <w:tc>
          <w:tcPr>
            <w:tcW w:type="dxa" w:w="3744"/>
            <w:vAlign w:val="center"/>
          </w:tcPr>
          <w:p>
            <w:pPr>
              <w:spacing w:lineRule="auto" w:line="276"/>
              <w:jc w:val="center"/>
            </w:pPr>
            <w:r>
              <w:rPr>
                <w:rFonts w:ascii="Times New Roman" w:hAnsi="Times New Roman" w:eastAsia="宋体"/>
                <w:b w:val="0"/>
                <w:sz w:val="18"/>
              </w:rPr>
              <w:t>反滤材料综合</w:t>
            </w:r>
          </w:p>
        </w:tc>
      </w:tr>
      <w:tr>
        <w:tc>
          <w:tcPr>
            <w:tcW w:type="dxa" w:w="2160"/>
            <w:vAlign w:val="center"/>
          </w:tcPr>
          <w:p>
            <w:pPr>
              <w:spacing w:lineRule="auto" w:line="276"/>
              <w:jc w:val="center"/>
            </w:pPr>
            <w:r>
              <w:rPr>
                <w:rFonts w:ascii="Times New Roman" w:hAnsi="Times New Roman" w:eastAsia="宋体"/>
                <w:b w:val="0"/>
                <w:sz w:val="18"/>
              </w:rPr>
              <w:t>护舷及系船柱</w:t>
            </w:r>
          </w:p>
        </w:tc>
        <w:tc>
          <w:tcPr>
            <w:tcW w:type="dxa" w:w="1152"/>
            <w:vAlign w:val="center"/>
          </w:tcPr>
          <w:p>
            <w:pPr>
              <w:spacing w:lineRule="auto" w:line="276"/>
              <w:jc w:val="center"/>
            </w:pPr>
            <w:r>
              <w:rPr>
                <w:rFonts w:ascii="Times New Roman" w:hAnsi="Times New Roman" w:eastAsia="宋体"/>
                <w:b w:val="0"/>
                <w:sz w:val="18"/>
              </w:rPr>
              <w:t>项</w:t>
            </w:r>
          </w:p>
        </w:tc>
        <w:tc>
          <w:tcPr>
            <w:tcW w:type="dxa" w:w="1584"/>
            <w:vAlign w:val="center"/>
          </w:tcPr>
          <w:p>
            <w:pPr>
              <w:spacing w:lineRule="auto" w:line="276"/>
              <w:jc w:val="center"/>
            </w:pPr>
            <w:r>
              <w:rPr>
                <w:rFonts w:ascii="Times New Roman" w:hAnsi="Times New Roman" w:eastAsia="宋体"/>
                <w:b w:val="0"/>
                <w:sz w:val="18"/>
              </w:rPr>
              <w:t>3200000</w:t>
            </w:r>
          </w:p>
        </w:tc>
        <w:tc>
          <w:tcPr>
            <w:tcW w:type="dxa" w:w="3744"/>
            <w:vAlign w:val="center"/>
          </w:tcPr>
          <w:p>
            <w:pPr>
              <w:spacing w:lineRule="auto" w:line="276"/>
              <w:jc w:val="center"/>
            </w:pPr>
            <w:r>
              <w:rPr>
                <w:rFonts w:ascii="Times New Roman" w:hAnsi="Times New Roman" w:eastAsia="宋体"/>
                <w:b w:val="0"/>
                <w:sz w:val="18"/>
              </w:rPr>
              <w:t>按泊位附属设施估算</w:t>
            </w:r>
          </w:p>
        </w:tc>
      </w:tr>
      <w:tr>
        <w:tc>
          <w:tcPr>
            <w:tcW w:type="dxa" w:w="2160"/>
            <w:vAlign w:val="center"/>
          </w:tcPr>
          <w:p>
            <w:pPr>
              <w:spacing w:lineRule="auto" w:line="276"/>
              <w:jc w:val="center"/>
            </w:pPr>
            <w:r>
              <w:rPr>
                <w:rFonts w:ascii="Times New Roman" w:hAnsi="Times New Roman" w:eastAsia="宋体"/>
                <w:b w:val="0"/>
                <w:sz w:val="18"/>
              </w:rPr>
              <w:t>大型吊装/浮运措施</w:t>
            </w:r>
          </w:p>
        </w:tc>
        <w:tc>
          <w:tcPr>
            <w:tcW w:type="dxa" w:w="1152"/>
            <w:vAlign w:val="center"/>
          </w:tcPr>
          <w:p>
            <w:pPr>
              <w:spacing w:lineRule="auto" w:line="276"/>
              <w:jc w:val="center"/>
            </w:pPr>
            <w:r>
              <w:rPr>
                <w:rFonts w:ascii="Times New Roman" w:hAnsi="Times New Roman" w:eastAsia="宋体"/>
                <w:b w:val="0"/>
                <w:sz w:val="18"/>
              </w:rPr>
              <w:t>项</w:t>
            </w:r>
          </w:p>
        </w:tc>
        <w:tc>
          <w:tcPr>
            <w:tcW w:type="dxa" w:w="1584"/>
            <w:vAlign w:val="center"/>
          </w:tcPr>
          <w:p>
            <w:pPr>
              <w:spacing w:lineRule="auto" w:line="276"/>
              <w:jc w:val="center"/>
            </w:pPr>
            <w:r>
              <w:rPr>
                <w:rFonts w:ascii="Times New Roman" w:hAnsi="Times New Roman" w:eastAsia="宋体"/>
                <w:b w:val="0"/>
                <w:sz w:val="18"/>
              </w:rPr>
              <w:t>4500000</w:t>
            </w:r>
          </w:p>
        </w:tc>
        <w:tc>
          <w:tcPr>
            <w:tcW w:type="dxa" w:w="3744"/>
            <w:vAlign w:val="center"/>
          </w:tcPr>
          <w:p>
            <w:pPr>
              <w:spacing w:lineRule="auto" w:line="276"/>
              <w:jc w:val="center"/>
            </w:pPr>
            <w:r>
              <w:rPr>
                <w:rFonts w:ascii="Times New Roman" w:hAnsi="Times New Roman" w:eastAsia="宋体"/>
                <w:b w:val="0"/>
                <w:sz w:val="18"/>
              </w:rPr>
              <w:t>按方案差异调整</w:t>
            </w:r>
          </w:p>
        </w:tc>
      </w:tr>
    </w:tbl>
    <w:p/>
    <w:p>
      <w:pPr>
        <w:keepNext/>
        <w:spacing w:lineRule="auto" w:line="300" w:before="0" w:after="120"/>
        <w:jc w:val="center"/>
      </w:pPr>
      <w:r>
        <w:rPr>
          <w:rFonts w:ascii="Times New Roman" w:hAnsi="Times New Roman" w:eastAsia="宋体"/>
          <w:b w:val="0"/>
          <w:sz w:val="20"/>
        </w:rPr>
        <w:t>表6-8 两种方案投资估算比较</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728"/>
        <w:gridCol w:w="1728"/>
        <w:gridCol w:w="259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沉箱方案/万元</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大圆筒方案/万元</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差异说明</w:t>
            </w:r>
          </w:p>
        </w:tc>
      </w:tr>
      <w:tr>
        <w:tc>
          <w:tcPr>
            <w:tcW w:type="dxa" w:w="2304"/>
            <w:vAlign w:val="center"/>
          </w:tcPr>
          <w:p>
            <w:pPr>
              <w:spacing w:lineRule="auto" w:line="276"/>
              <w:jc w:val="center"/>
            </w:pPr>
            <w:r>
              <w:rPr>
                <w:rFonts w:ascii="Times New Roman" w:hAnsi="Times New Roman" w:eastAsia="宋体"/>
                <w:b w:val="0"/>
                <w:sz w:val="18"/>
              </w:rPr>
              <w:t>预制主体混凝土</w:t>
            </w:r>
          </w:p>
        </w:tc>
        <w:tc>
          <w:tcPr>
            <w:tcW w:type="dxa" w:w="1728"/>
            <w:vAlign w:val="center"/>
          </w:tcPr>
          <w:p>
            <w:pPr>
              <w:spacing w:lineRule="auto" w:line="276"/>
              <w:jc w:val="center"/>
            </w:pPr>
            <w:r>
              <w:rPr>
                <w:rFonts w:ascii="Times New Roman" w:hAnsi="Times New Roman" w:eastAsia="宋体"/>
                <w:b w:val="0"/>
                <w:sz w:val="18"/>
              </w:rPr>
              <w:t>858</w:t>
            </w:r>
          </w:p>
        </w:tc>
        <w:tc>
          <w:tcPr>
            <w:tcW w:type="dxa" w:w="1728"/>
            <w:vAlign w:val="center"/>
          </w:tcPr>
          <w:p>
            <w:pPr>
              <w:spacing w:lineRule="auto" w:line="276"/>
              <w:jc w:val="center"/>
            </w:pPr>
            <w:r>
              <w:rPr>
                <w:rFonts w:ascii="Times New Roman" w:hAnsi="Times New Roman" w:eastAsia="宋体"/>
                <w:b w:val="0"/>
                <w:sz w:val="18"/>
              </w:rPr>
              <w:t>704</w:t>
            </w:r>
          </w:p>
        </w:tc>
        <w:tc>
          <w:tcPr>
            <w:tcW w:type="dxa" w:w="2592"/>
            <w:vAlign w:val="center"/>
          </w:tcPr>
          <w:p>
            <w:pPr>
              <w:spacing w:lineRule="auto" w:line="276"/>
              <w:jc w:val="center"/>
            </w:pPr>
            <w:r>
              <w:rPr>
                <w:rFonts w:ascii="Times New Roman" w:hAnsi="Times New Roman" w:eastAsia="宋体"/>
                <w:b w:val="0"/>
                <w:sz w:val="18"/>
              </w:rPr>
              <w:t>大圆筒主体混凝土略少</w:t>
            </w:r>
          </w:p>
        </w:tc>
      </w:tr>
      <w:tr>
        <w:tc>
          <w:tcPr>
            <w:tcW w:type="dxa" w:w="2304"/>
            <w:vAlign w:val="center"/>
          </w:tcPr>
          <w:p>
            <w:pPr>
              <w:spacing w:lineRule="auto" w:line="276"/>
              <w:jc w:val="center"/>
            </w:pPr>
            <w:r>
              <w:rPr>
                <w:rFonts w:ascii="Times New Roman" w:hAnsi="Times New Roman" w:eastAsia="宋体"/>
                <w:b w:val="0"/>
                <w:sz w:val="18"/>
              </w:rPr>
              <w:t>钢筋制安</w:t>
            </w:r>
          </w:p>
        </w:tc>
        <w:tc>
          <w:tcPr>
            <w:tcW w:type="dxa" w:w="1728"/>
            <w:vAlign w:val="center"/>
          </w:tcPr>
          <w:p>
            <w:pPr>
              <w:spacing w:lineRule="auto" w:line="276"/>
              <w:jc w:val="center"/>
            </w:pPr>
            <w:r>
              <w:rPr>
                <w:rFonts w:ascii="Times New Roman" w:hAnsi="Times New Roman" w:eastAsia="宋体"/>
                <w:b w:val="0"/>
                <w:sz w:val="18"/>
              </w:rPr>
              <w:t>608</w:t>
            </w:r>
          </w:p>
        </w:tc>
        <w:tc>
          <w:tcPr>
            <w:tcW w:type="dxa" w:w="1728"/>
            <w:vAlign w:val="center"/>
          </w:tcPr>
          <w:p>
            <w:pPr>
              <w:spacing w:lineRule="auto" w:line="276"/>
              <w:jc w:val="center"/>
            </w:pPr>
            <w:r>
              <w:rPr>
                <w:rFonts w:ascii="Times New Roman" w:hAnsi="Times New Roman" w:eastAsia="宋体"/>
                <w:b w:val="0"/>
                <w:sz w:val="18"/>
              </w:rPr>
              <w:t>515</w:t>
            </w:r>
          </w:p>
        </w:tc>
        <w:tc>
          <w:tcPr>
            <w:tcW w:type="dxa" w:w="2592"/>
            <w:vAlign w:val="center"/>
          </w:tcPr>
          <w:p>
            <w:pPr>
              <w:spacing w:lineRule="auto" w:line="276"/>
              <w:jc w:val="center"/>
            </w:pPr>
            <w:r>
              <w:rPr>
                <w:rFonts w:ascii="Times New Roman" w:hAnsi="Times New Roman" w:eastAsia="宋体"/>
                <w:b w:val="0"/>
                <w:sz w:val="18"/>
              </w:rPr>
              <w:t>大圆筒钢筋量略少</w:t>
            </w:r>
          </w:p>
        </w:tc>
      </w:tr>
      <w:tr>
        <w:tc>
          <w:tcPr>
            <w:tcW w:type="dxa" w:w="2304"/>
            <w:vAlign w:val="center"/>
          </w:tcPr>
          <w:p>
            <w:pPr>
              <w:spacing w:lineRule="auto" w:line="276"/>
              <w:jc w:val="center"/>
            </w:pPr>
            <w:r>
              <w:rPr>
                <w:rFonts w:ascii="Times New Roman" w:hAnsi="Times New Roman" w:eastAsia="宋体"/>
                <w:b w:val="0"/>
                <w:sz w:val="18"/>
              </w:rPr>
              <w:t>现浇胸墙</w:t>
            </w:r>
          </w:p>
        </w:tc>
        <w:tc>
          <w:tcPr>
            <w:tcW w:type="dxa" w:w="1728"/>
            <w:vAlign w:val="center"/>
          </w:tcPr>
          <w:p>
            <w:pPr>
              <w:spacing w:lineRule="auto" w:line="276"/>
              <w:jc w:val="center"/>
            </w:pPr>
            <w:r>
              <w:rPr>
                <w:rFonts w:ascii="Times New Roman" w:hAnsi="Times New Roman" w:eastAsia="宋体"/>
                <w:b w:val="0"/>
                <w:sz w:val="18"/>
              </w:rPr>
              <w:t>399</w:t>
            </w:r>
          </w:p>
        </w:tc>
        <w:tc>
          <w:tcPr>
            <w:tcW w:type="dxa" w:w="1728"/>
            <w:vAlign w:val="center"/>
          </w:tcPr>
          <w:p>
            <w:pPr>
              <w:spacing w:lineRule="auto" w:line="276"/>
              <w:jc w:val="center"/>
            </w:pPr>
            <w:r>
              <w:rPr>
                <w:rFonts w:ascii="Times New Roman" w:hAnsi="Times New Roman" w:eastAsia="宋体"/>
                <w:b w:val="0"/>
                <w:sz w:val="18"/>
              </w:rPr>
              <w:t>428</w:t>
            </w:r>
          </w:p>
        </w:tc>
        <w:tc>
          <w:tcPr>
            <w:tcW w:type="dxa" w:w="2592"/>
            <w:vAlign w:val="center"/>
          </w:tcPr>
          <w:p>
            <w:pPr>
              <w:spacing w:lineRule="auto" w:line="276"/>
              <w:jc w:val="center"/>
            </w:pPr>
            <w:r>
              <w:rPr>
                <w:rFonts w:ascii="Times New Roman" w:hAnsi="Times New Roman" w:eastAsia="宋体"/>
                <w:b w:val="0"/>
                <w:sz w:val="18"/>
              </w:rPr>
              <w:t>大圆筒胸墙略大</w:t>
            </w:r>
          </w:p>
        </w:tc>
      </w:tr>
      <w:tr>
        <w:tc>
          <w:tcPr>
            <w:tcW w:type="dxa" w:w="2304"/>
            <w:vAlign w:val="center"/>
          </w:tcPr>
          <w:p>
            <w:pPr>
              <w:spacing w:lineRule="auto" w:line="276"/>
              <w:jc w:val="center"/>
            </w:pPr>
            <w:r>
              <w:rPr>
                <w:rFonts w:ascii="Times New Roman" w:hAnsi="Times New Roman" w:eastAsia="宋体"/>
                <w:b w:val="0"/>
                <w:sz w:val="18"/>
              </w:rPr>
              <w:t>基床及垫层</w:t>
            </w:r>
          </w:p>
        </w:tc>
        <w:tc>
          <w:tcPr>
            <w:tcW w:type="dxa" w:w="1728"/>
            <w:vAlign w:val="center"/>
          </w:tcPr>
          <w:p>
            <w:pPr>
              <w:spacing w:lineRule="auto" w:line="276"/>
              <w:jc w:val="center"/>
            </w:pPr>
            <w:r>
              <w:rPr>
                <w:rFonts w:ascii="Times New Roman" w:hAnsi="Times New Roman" w:eastAsia="宋体"/>
                <w:b w:val="0"/>
                <w:sz w:val="18"/>
              </w:rPr>
              <w:t>458</w:t>
            </w:r>
          </w:p>
        </w:tc>
        <w:tc>
          <w:tcPr>
            <w:tcW w:type="dxa" w:w="1728"/>
            <w:vAlign w:val="center"/>
          </w:tcPr>
          <w:p>
            <w:pPr>
              <w:spacing w:lineRule="auto" w:line="276"/>
              <w:jc w:val="center"/>
            </w:pPr>
            <w:r>
              <w:rPr>
                <w:rFonts w:ascii="Times New Roman" w:hAnsi="Times New Roman" w:eastAsia="宋体"/>
                <w:b w:val="0"/>
                <w:sz w:val="18"/>
              </w:rPr>
              <w:t>535</w:t>
            </w:r>
          </w:p>
        </w:tc>
        <w:tc>
          <w:tcPr>
            <w:tcW w:type="dxa" w:w="2592"/>
            <w:vAlign w:val="center"/>
          </w:tcPr>
          <w:p>
            <w:pPr>
              <w:spacing w:lineRule="auto" w:line="276"/>
              <w:jc w:val="center"/>
            </w:pPr>
            <w:r>
              <w:rPr>
                <w:rFonts w:ascii="Times New Roman" w:hAnsi="Times New Roman" w:eastAsia="宋体"/>
                <w:b w:val="0"/>
                <w:sz w:val="18"/>
              </w:rPr>
              <w:t>大圆筒整平和基床要求更高</w:t>
            </w:r>
          </w:p>
        </w:tc>
      </w:tr>
      <w:tr>
        <w:tc>
          <w:tcPr>
            <w:tcW w:type="dxa" w:w="2304"/>
            <w:vAlign w:val="center"/>
          </w:tcPr>
          <w:p>
            <w:pPr>
              <w:spacing w:lineRule="auto" w:line="276"/>
              <w:jc w:val="center"/>
            </w:pPr>
            <w:r>
              <w:rPr>
                <w:rFonts w:ascii="Times New Roman" w:hAnsi="Times New Roman" w:eastAsia="宋体"/>
                <w:b w:val="0"/>
                <w:sz w:val="18"/>
              </w:rPr>
              <w:t>回填与倒滤</w:t>
            </w:r>
          </w:p>
        </w:tc>
        <w:tc>
          <w:tcPr>
            <w:tcW w:type="dxa" w:w="1728"/>
            <w:vAlign w:val="center"/>
          </w:tcPr>
          <w:p>
            <w:pPr>
              <w:spacing w:lineRule="auto" w:line="276"/>
              <w:jc w:val="center"/>
            </w:pPr>
            <w:r>
              <w:rPr>
                <w:rFonts w:ascii="Times New Roman" w:hAnsi="Times New Roman" w:eastAsia="宋体"/>
                <w:b w:val="0"/>
                <w:sz w:val="18"/>
              </w:rPr>
              <w:t>1035</w:t>
            </w:r>
          </w:p>
        </w:tc>
        <w:tc>
          <w:tcPr>
            <w:tcW w:type="dxa" w:w="1728"/>
            <w:vAlign w:val="center"/>
          </w:tcPr>
          <w:p>
            <w:pPr>
              <w:spacing w:lineRule="auto" w:line="276"/>
              <w:jc w:val="center"/>
            </w:pPr>
            <w:r>
              <w:rPr>
                <w:rFonts w:ascii="Times New Roman" w:hAnsi="Times New Roman" w:eastAsia="宋体"/>
                <w:b w:val="0"/>
                <w:sz w:val="18"/>
              </w:rPr>
              <w:t>1072</w:t>
            </w:r>
          </w:p>
        </w:tc>
        <w:tc>
          <w:tcPr>
            <w:tcW w:type="dxa" w:w="2592"/>
            <w:vAlign w:val="center"/>
          </w:tcPr>
          <w:p>
            <w:pPr>
              <w:spacing w:lineRule="auto" w:line="276"/>
              <w:jc w:val="center"/>
            </w:pPr>
            <w:r>
              <w:rPr>
                <w:rFonts w:ascii="Times New Roman" w:hAnsi="Times New Roman" w:eastAsia="宋体"/>
                <w:b w:val="0"/>
                <w:sz w:val="18"/>
              </w:rPr>
              <w:t>两者接近</w:t>
            </w:r>
          </w:p>
        </w:tc>
      </w:tr>
      <w:tr>
        <w:tc>
          <w:tcPr>
            <w:tcW w:type="dxa" w:w="2304"/>
            <w:vAlign w:val="center"/>
          </w:tcPr>
          <w:p>
            <w:pPr>
              <w:spacing w:lineRule="auto" w:line="276"/>
              <w:jc w:val="center"/>
            </w:pPr>
            <w:r>
              <w:rPr>
                <w:rFonts w:ascii="Times New Roman" w:hAnsi="Times New Roman" w:eastAsia="宋体"/>
                <w:b w:val="0"/>
                <w:sz w:val="18"/>
              </w:rPr>
              <w:t>附属设施</w:t>
            </w:r>
          </w:p>
        </w:tc>
        <w:tc>
          <w:tcPr>
            <w:tcW w:type="dxa" w:w="1728"/>
            <w:vAlign w:val="center"/>
          </w:tcPr>
          <w:p>
            <w:pPr>
              <w:spacing w:lineRule="auto" w:line="276"/>
              <w:jc w:val="center"/>
            </w:pPr>
            <w:r>
              <w:rPr>
                <w:rFonts w:ascii="Times New Roman" w:hAnsi="Times New Roman" w:eastAsia="宋体"/>
                <w:b w:val="0"/>
                <w:sz w:val="18"/>
              </w:rPr>
              <w:t>320</w:t>
            </w:r>
          </w:p>
        </w:tc>
        <w:tc>
          <w:tcPr>
            <w:tcW w:type="dxa" w:w="1728"/>
            <w:vAlign w:val="center"/>
          </w:tcPr>
          <w:p>
            <w:pPr>
              <w:spacing w:lineRule="auto" w:line="276"/>
              <w:jc w:val="center"/>
            </w:pPr>
            <w:r>
              <w:rPr>
                <w:rFonts w:ascii="Times New Roman" w:hAnsi="Times New Roman" w:eastAsia="宋体"/>
                <w:b w:val="0"/>
                <w:sz w:val="18"/>
              </w:rPr>
              <w:t>320</w:t>
            </w:r>
          </w:p>
        </w:tc>
        <w:tc>
          <w:tcPr>
            <w:tcW w:type="dxa" w:w="2592"/>
            <w:vAlign w:val="center"/>
          </w:tcPr>
          <w:p>
            <w:pPr>
              <w:spacing w:lineRule="auto" w:line="276"/>
              <w:jc w:val="center"/>
            </w:pPr>
            <w:r>
              <w:rPr>
                <w:rFonts w:ascii="Times New Roman" w:hAnsi="Times New Roman" w:eastAsia="宋体"/>
                <w:b w:val="0"/>
                <w:sz w:val="18"/>
              </w:rPr>
              <w:t>同等泊位配置</w:t>
            </w:r>
          </w:p>
        </w:tc>
      </w:tr>
      <w:tr>
        <w:tc>
          <w:tcPr>
            <w:tcW w:type="dxa" w:w="2304"/>
            <w:vAlign w:val="center"/>
          </w:tcPr>
          <w:p>
            <w:pPr>
              <w:spacing w:lineRule="auto" w:line="276"/>
              <w:jc w:val="center"/>
            </w:pPr>
            <w:r>
              <w:rPr>
                <w:rFonts w:ascii="Times New Roman" w:hAnsi="Times New Roman" w:eastAsia="宋体"/>
                <w:b w:val="0"/>
                <w:sz w:val="18"/>
              </w:rPr>
              <w:t>浮运/吊装措施</w:t>
            </w:r>
          </w:p>
        </w:tc>
        <w:tc>
          <w:tcPr>
            <w:tcW w:type="dxa" w:w="1728"/>
            <w:vAlign w:val="center"/>
          </w:tcPr>
          <w:p>
            <w:pPr>
              <w:spacing w:lineRule="auto" w:line="276"/>
              <w:jc w:val="center"/>
            </w:pPr>
            <w:r>
              <w:rPr>
                <w:rFonts w:ascii="Times New Roman" w:hAnsi="Times New Roman" w:eastAsia="宋体"/>
                <w:b w:val="0"/>
                <w:sz w:val="18"/>
              </w:rPr>
              <w:t>380</w:t>
            </w:r>
          </w:p>
        </w:tc>
        <w:tc>
          <w:tcPr>
            <w:tcW w:type="dxa" w:w="1728"/>
            <w:vAlign w:val="center"/>
          </w:tcPr>
          <w:p>
            <w:pPr>
              <w:spacing w:lineRule="auto" w:line="276"/>
              <w:jc w:val="center"/>
            </w:pPr>
            <w:r>
              <w:rPr>
                <w:rFonts w:ascii="Times New Roman" w:hAnsi="Times New Roman" w:eastAsia="宋体"/>
                <w:b w:val="0"/>
                <w:sz w:val="18"/>
              </w:rPr>
              <w:t>520</w:t>
            </w:r>
          </w:p>
        </w:tc>
        <w:tc>
          <w:tcPr>
            <w:tcW w:type="dxa" w:w="2592"/>
            <w:vAlign w:val="center"/>
          </w:tcPr>
          <w:p>
            <w:pPr>
              <w:spacing w:lineRule="auto" w:line="276"/>
              <w:jc w:val="center"/>
            </w:pPr>
            <w:r>
              <w:rPr>
                <w:rFonts w:ascii="Times New Roman" w:hAnsi="Times New Roman" w:eastAsia="宋体"/>
                <w:b w:val="0"/>
                <w:sz w:val="18"/>
              </w:rPr>
              <w:t>大圆筒吊装措施较高</w:t>
            </w:r>
          </w:p>
        </w:tc>
      </w:tr>
      <w:tr>
        <w:tc>
          <w:tcPr>
            <w:tcW w:type="dxa" w:w="2304"/>
            <w:vAlign w:val="center"/>
          </w:tcPr>
          <w:p>
            <w:pPr>
              <w:spacing w:lineRule="auto" w:line="276"/>
              <w:jc w:val="center"/>
            </w:pPr>
            <w:r>
              <w:rPr>
                <w:rFonts w:ascii="Times New Roman" w:hAnsi="Times New Roman" w:eastAsia="宋体"/>
                <w:b w:val="0"/>
                <w:sz w:val="18"/>
              </w:rPr>
              <w:t>临时工程及措施</w:t>
            </w:r>
          </w:p>
        </w:tc>
        <w:tc>
          <w:tcPr>
            <w:tcW w:type="dxa" w:w="1728"/>
            <w:vAlign w:val="center"/>
          </w:tcPr>
          <w:p>
            <w:pPr>
              <w:spacing w:lineRule="auto" w:line="276"/>
              <w:jc w:val="center"/>
            </w:pPr>
            <w:r>
              <w:rPr>
                <w:rFonts w:ascii="Times New Roman" w:hAnsi="Times New Roman" w:eastAsia="宋体"/>
                <w:b w:val="0"/>
                <w:sz w:val="18"/>
              </w:rPr>
              <w:t>520</w:t>
            </w:r>
          </w:p>
        </w:tc>
        <w:tc>
          <w:tcPr>
            <w:tcW w:type="dxa" w:w="1728"/>
            <w:vAlign w:val="center"/>
          </w:tcPr>
          <w:p>
            <w:pPr>
              <w:spacing w:lineRule="auto" w:line="276"/>
              <w:jc w:val="center"/>
            </w:pPr>
            <w:r>
              <w:rPr>
                <w:rFonts w:ascii="Times New Roman" w:hAnsi="Times New Roman" w:eastAsia="宋体"/>
                <w:b w:val="0"/>
                <w:sz w:val="18"/>
              </w:rPr>
              <w:t>610</w:t>
            </w:r>
          </w:p>
        </w:tc>
        <w:tc>
          <w:tcPr>
            <w:tcW w:type="dxa" w:w="2592"/>
            <w:vAlign w:val="center"/>
          </w:tcPr>
          <w:p>
            <w:pPr>
              <w:spacing w:lineRule="auto" w:line="276"/>
              <w:jc w:val="center"/>
            </w:pPr>
            <w:r>
              <w:rPr>
                <w:rFonts w:ascii="Times New Roman" w:hAnsi="Times New Roman" w:eastAsia="宋体"/>
                <w:b w:val="0"/>
                <w:sz w:val="18"/>
              </w:rPr>
              <w:t>大圆筒定位和接缝控制较高</w:t>
            </w:r>
          </w:p>
        </w:tc>
      </w:tr>
      <w:tr>
        <w:tc>
          <w:tcPr>
            <w:tcW w:type="dxa" w:w="2304"/>
            <w:vAlign w:val="center"/>
          </w:tcPr>
          <w:p>
            <w:pPr>
              <w:spacing w:lineRule="auto" w:line="276"/>
              <w:jc w:val="center"/>
            </w:pPr>
            <w:r>
              <w:rPr>
                <w:rFonts w:ascii="Times New Roman" w:hAnsi="Times New Roman" w:eastAsia="宋体"/>
                <w:b w:val="0"/>
                <w:sz w:val="18"/>
              </w:rPr>
              <w:t>预备费</w:t>
            </w:r>
          </w:p>
        </w:tc>
        <w:tc>
          <w:tcPr>
            <w:tcW w:type="dxa" w:w="1728"/>
            <w:vAlign w:val="center"/>
          </w:tcPr>
          <w:p>
            <w:pPr>
              <w:spacing w:lineRule="auto" w:line="276"/>
              <w:jc w:val="center"/>
            </w:pPr>
            <w:r>
              <w:rPr>
                <w:rFonts w:ascii="Times New Roman" w:hAnsi="Times New Roman" w:eastAsia="宋体"/>
                <w:b w:val="0"/>
                <w:sz w:val="18"/>
              </w:rPr>
              <w:t>360</w:t>
            </w:r>
          </w:p>
        </w:tc>
        <w:tc>
          <w:tcPr>
            <w:tcW w:type="dxa" w:w="1728"/>
            <w:vAlign w:val="center"/>
          </w:tcPr>
          <w:p>
            <w:pPr>
              <w:spacing w:lineRule="auto" w:line="276"/>
              <w:jc w:val="center"/>
            </w:pPr>
            <w:r>
              <w:rPr>
                <w:rFonts w:ascii="Times New Roman" w:hAnsi="Times New Roman" w:eastAsia="宋体"/>
                <w:b w:val="0"/>
                <w:sz w:val="18"/>
              </w:rPr>
              <w:t>380</w:t>
            </w:r>
          </w:p>
        </w:tc>
        <w:tc>
          <w:tcPr>
            <w:tcW w:type="dxa" w:w="2592"/>
            <w:vAlign w:val="center"/>
          </w:tcPr>
          <w:p>
            <w:pPr>
              <w:spacing w:lineRule="auto" w:line="276"/>
              <w:jc w:val="center"/>
            </w:pPr>
            <w:r>
              <w:rPr>
                <w:rFonts w:ascii="Times New Roman" w:hAnsi="Times New Roman" w:eastAsia="宋体"/>
                <w:b w:val="0"/>
                <w:sz w:val="18"/>
              </w:rPr>
              <w:t>按估算费用比例计</w:t>
            </w:r>
          </w:p>
        </w:tc>
      </w:tr>
      <w:tr>
        <w:tc>
          <w:tcPr>
            <w:tcW w:type="dxa" w:w="2304"/>
            <w:vAlign w:val="center"/>
          </w:tcPr>
          <w:p>
            <w:pPr>
              <w:spacing w:lineRule="auto" w:line="276"/>
              <w:jc w:val="center"/>
            </w:pPr>
            <w:r>
              <w:rPr>
                <w:rFonts w:ascii="Times New Roman" w:hAnsi="Times New Roman" w:eastAsia="宋体"/>
                <w:b w:val="0"/>
                <w:sz w:val="18"/>
              </w:rPr>
              <w:t>合计</w:t>
            </w:r>
          </w:p>
        </w:tc>
        <w:tc>
          <w:tcPr>
            <w:tcW w:type="dxa" w:w="1728"/>
            <w:vAlign w:val="center"/>
          </w:tcPr>
          <w:p>
            <w:pPr>
              <w:spacing w:lineRule="auto" w:line="276"/>
              <w:jc w:val="center"/>
            </w:pPr>
            <w:r>
              <w:rPr>
                <w:rFonts w:ascii="Times New Roman" w:hAnsi="Times New Roman" w:eastAsia="宋体"/>
                <w:b w:val="0"/>
                <w:sz w:val="18"/>
              </w:rPr>
              <w:t>4938</w:t>
            </w:r>
          </w:p>
        </w:tc>
        <w:tc>
          <w:tcPr>
            <w:tcW w:type="dxa" w:w="1728"/>
            <w:vAlign w:val="center"/>
          </w:tcPr>
          <w:p>
            <w:pPr>
              <w:spacing w:lineRule="auto" w:line="276"/>
              <w:jc w:val="center"/>
            </w:pPr>
            <w:r>
              <w:rPr>
                <w:rFonts w:ascii="Times New Roman" w:hAnsi="Times New Roman" w:eastAsia="宋体"/>
                <w:b w:val="0"/>
                <w:sz w:val="18"/>
              </w:rPr>
              <w:t>5084</w:t>
            </w:r>
          </w:p>
        </w:tc>
        <w:tc>
          <w:tcPr>
            <w:tcW w:type="dxa" w:w="2592"/>
            <w:vAlign w:val="center"/>
          </w:tcPr>
          <w:p>
            <w:pPr>
              <w:spacing w:lineRule="auto" w:line="276"/>
              <w:jc w:val="center"/>
            </w:pPr>
            <w:r>
              <w:rPr>
                <w:rFonts w:ascii="Times New Roman" w:hAnsi="Times New Roman" w:eastAsia="宋体"/>
                <w:b w:val="0"/>
                <w:sz w:val="18"/>
              </w:rPr>
              <w:t>沉箱方案略优</w:t>
            </w:r>
          </w:p>
        </w:tc>
      </w:tr>
    </w:tbl>
    <w:p/>
    <w:p>
      <w:pPr>
        <w:spacing w:lineRule="auto" w:line="360" w:before="0" w:after="0"/>
        <w:ind w:firstLine="480"/>
      </w:pPr>
      <w:r>
        <w:rPr>
          <w:rFonts w:ascii="Times New Roman" w:hAnsi="Times New Roman" w:eastAsia="宋体"/>
          <w:sz w:val="24"/>
        </w:rPr>
        <w:t>投资估算对混凝土单价作单独说明，是因为该项会传递到经济比选和推荐方案。正文先交代取值口径，再说明它在图纸、计算或施工中的落点，使参数不是停留在资料摘录层面。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针对钢筋单价，本设计采用先定尺度、再核算能力、最后回到图纸表达的写法。这样处理后，审阅时可以直接看到该项与经济比选和推荐方案之间的对应关系。</w:t>
      </w:r>
    </w:p>
    <w:p>
      <w:pPr>
        <w:spacing w:lineRule="auto" w:line="360" w:before="0" w:after="0"/>
        <w:ind w:firstLine="480"/>
      </w:pPr>
      <w:r>
        <w:rPr>
          <w:rFonts w:ascii="Times New Roman" w:hAnsi="Times New Roman" w:eastAsia="宋体"/>
          <w:sz w:val="24"/>
        </w:rPr>
        <w:t>块石单价取值偏小会压缩安全或施工余量，取值偏大又会增加工程量。本说明书按初步设计深度采用适中偏保守的控制值，并在后续章节保留施工图复核接口。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从现场实施看，回填单价还会影响施工顺序、材料组织和质量检查。正文把这些影响写入相邻段落，避免图纸有尺寸而说明书缺少工程解释。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投资估算中的土工布单价同时具有设计和管理意义。它既是计算输入，也是后续概预算、施工组织和运行维护的判断依据，因此需要在正文中给出明确说明。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围绕附属设施费用，本设计重点核对三件事：是否满足规范和船型需求，是否能在A1图纸中清楚表达，是否会改变经济比选和推荐方案的工程量或安全储备。</w:t>
      </w:r>
    </w:p>
    <w:p>
      <w:pPr>
        <w:spacing w:lineRule="auto" w:line="360" w:before="0" w:after="0"/>
        <w:ind w:firstLine="480"/>
      </w:pPr>
      <w:r>
        <w:rPr>
          <w:rFonts w:ascii="Times New Roman" w:hAnsi="Times New Roman" w:eastAsia="宋体"/>
          <w:sz w:val="24"/>
        </w:rPr>
        <w:t>若后续详勘或施工条件发生变化，吊装措施费是需要优先复核的项目之一。本阶段先把采用值、影响范围和复核方向写清楚，便于施工图阶段继续深化。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水上施工费的说明与经济比选和推荐方案相互衔接。正文采用工程语言解释其作用，而不把它写成泛泛的背景材料，从而压缩自然状况篇幅并提高设计章节比重。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投资估算对临时工程费作单独说明，是因为该项会传递到经济比选和推荐方案。正文先交代取值口径，再说明它在图纸、计算或施工中的落点，使参数不是停留在资料摘录层面。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针对预备费，本设计采用先定尺度、再核算能力、最后回到图纸表达的写法。这样处理后，审阅时可以直接看到该项与经济比选和推荐方案之间的对应关系。</w:t>
      </w:r>
    </w:p>
    <w:p>
      <w:pPr>
        <w:spacing w:lineRule="auto" w:line="360" w:before="0" w:after="0"/>
        <w:ind w:firstLine="480"/>
      </w:pPr>
      <w:r>
        <w:rPr>
          <w:rFonts w:ascii="Times New Roman" w:hAnsi="Times New Roman" w:eastAsia="宋体"/>
          <w:sz w:val="24"/>
        </w:rPr>
        <w:t>后续复核对概预算深化的影响主要体现在施工可操作性。若现场材料粒径、运输距离或设备能力与假定不一致，工程量和工期都会变化，因此本阶段把敏感项提前列出。</w:t>
      </w:r>
    </w:p>
    <w:p>
      <w:pPr>
        <w:spacing w:lineRule="auto" w:line="360" w:before="0" w:after="0"/>
        <w:ind w:firstLine="480"/>
      </w:pPr>
      <w:r>
        <w:rPr>
          <w:rFonts w:ascii="Times New Roman" w:hAnsi="Times New Roman" w:eastAsia="宋体"/>
          <w:sz w:val="24"/>
        </w:rPr>
        <w:t>工程量复核对概预算深化的影响主要体现在施工可操作性。若现场材料粒径、运输距离或设备能力与假定不一致，工程量和工期都会变化，因此本阶段把敏感项提前列出。</w:t>
      </w:r>
    </w:p>
    <w:p>
      <w:pPr>
        <w:pStyle w:val="2"/>
        <w:jc w:val="left"/>
      </w:pPr>
      <w:r>
        <w:rPr>
          <w:rFonts w:ascii="Times New Roman" w:hAnsi="Times New Roman" w:eastAsia="宋体"/>
          <w:b/>
          <w:sz w:val="24"/>
        </w:rPr>
        <w:t xml:space="preserve"> 概预算结果分析</w:t>
      </w:r>
    </w:p>
    <w:p>
      <w:pPr>
        <w:spacing w:lineRule="auto" w:line="360" w:before="0" w:after="0"/>
        <w:ind w:firstLine="480"/>
      </w:pPr>
      <w:r>
        <w:rPr>
          <w:rFonts w:ascii="Times New Roman" w:hAnsi="Times New Roman" w:eastAsia="宋体"/>
          <w:sz w:val="24"/>
        </w:rPr>
        <w:t>从初步估算看，沉箱方案主体混凝土和钢筋量略大，但施工组织成熟，基床坐床面积连续，接缝处理相对简单，水上吊装措施费较低。大圆筒方案主体预制量略低，但筒内回填、基床整平、筒间接缝和大型吊装措施费用较高。</w:t>
      </w:r>
    </w:p>
    <w:p>
      <w:pPr>
        <w:spacing w:lineRule="auto" w:line="360" w:before="0" w:after="0"/>
        <w:ind w:firstLine="480"/>
      </w:pPr>
      <w:r>
        <w:rPr>
          <w:rFonts w:ascii="Times New Roman" w:hAnsi="Times New Roman" w:eastAsia="宋体"/>
          <w:sz w:val="24"/>
        </w:rPr>
        <w:t>若只比较混凝土或钢筋数量，大圆筒方案似乎更经济；但将基床、接缝、吊装、定位、回填密实和后期维护一并计入后，两种方案差距缩小，沉箱方案综合投资略低且风险更可控。</w:t>
      </w:r>
    </w:p>
    <w:p>
      <w:pPr>
        <w:spacing w:lineRule="auto" w:line="360" w:before="0" w:after="0"/>
        <w:ind w:firstLine="480"/>
      </w:pPr>
      <w:r>
        <w:rPr>
          <w:rFonts w:ascii="Times New Roman" w:hAnsi="Times New Roman" w:eastAsia="宋体"/>
          <w:sz w:val="24"/>
        </w:rPr>
        <w:t>概预算结果还说明，方案选择必须放在结构计算之后。没有抗滑、抗倾覆、基床应力和工程量计算，仅凭结构形式作比选会缺少依据；本说明书因此在第七章综合第五章和第六章结果后再给出推荐方案。</w:t>
      </w:r>
    </w:p>
    <w:p>
      <w:pPr>
        <w:spacing w:lineRule="auto" w:line="360" w:before="0" w:after="0"/>
        <w:ind w:firstLine="480"/>
      </w:pPr>
      <w:r>
        <w:rPr>
          <w:rFonts w:ascii="Times New Roman" w:hAnsi="Times New Roman" w:eastAsia="宋体"/>
          <w:sz w:val="24"/>
        </w:rPr>
        <w:t>概预算分析对主体工程费作单独说明，是因为该项会传递到最终方案选择。正文先交代取值口径，再说明它在图纸、计算或施工中的落点，使参数不是停留在资料摘录层面。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针对基床处理费，本设计采用先定尺度、再核算能力、最后回到图纸表达的写法。这样处理后，审阅时可以直接看到该项与最终方案选择之间的对应关系。</w:t>
      </w:r>
    </w:p>
    <w:p>
      <w:pPr>
        <w:spacing w:lineRule="auto" w:line="360" w:before="0" w:after="0"/>
        <w:ind w:firstLine="480"/>
      </w:pPr>
      <w:r>
        <w:rPr>
          <w:rFonts w:ascii="Times New Roman" w:hAnsi="Times New Roman" w:eastAsia="宋体"/>
          <w:sz w:val="24"/>
        </w:rPr>
        <w:t>回填工程费取值偏小会压缩安全或施工余量，取值偏大又会增加工程量。本说明书按初步设计深度采用适中偏保守的控制值，并在后续章节保留施工图复核接口。</w:t>
      </w:r>
    </w:p>
    <w:p>
      <w:pPr>
        <w:spacing w:lineRule="auto" w:line="360" w:before="0" w:after="0"/>
        <w:ind w:firstLine="480"/>
      </w:pPr>
      <w:r>
        <w:rPr>
          <w:rFonts w:ascii="Times New Roman" w:hAnsi="Times New Roman" w:eastAsia="宋体"/>
          <w:sz w:val="24"/>
        </w:rPr>
        <w:t>从现场实施看，附属设施费还会影响施工顺序、材料组织和质量检查。正文把这些影响写入相邻段落，避免图纸有尺寸而说明书缺少工程解释。</w:t>
      </w:r>
    </w:p>
    <w:p>
      <w:pPr>
        <w:spacing w:lineRule="auto" w:line="360" w:before="0" w:after="0"/>
        <w:ind w:firstLine="480"/>
      </w:pPr>
      <w:r>
        <w:rPr>
          <w:rFonts w:ascii="Times New Roman" w:hAnsi="Times New Roman" w:eastAsia="宋体"/>
          <w:sz w:val="24"/>
        </w:rPr>
        <w:t>概预算分析中的大型船机费同时具有设计和管理意义。它既是计算输入，也是后续概预算、施工组织和运行维护的判断依据，因此需要在正文中给出明确说明。</w:t>
      </w:r>
    </w:p>
    <w:p>
      <w:pPr>
        <w:spacing w:lineRule="auto" w:line="360" w:before="0" w:after="0"/>
        <w:ind w:firstLine="480"/>
      </w:pPr>
      <w:r>
        <w:rPr>
          <w:rFonts w:ascii="Times New Roman" w:hAnsi="Times New Roman" w:eastAsia="宋体"/>
          <w:sz w:val="24"/>
        </w:rPr>
        <w:t>围绕施工措施费，本设计重点核对三件事：是否满足规范和船型需求，是否能在A1图纸中清楚表达，是否会改变最终方案选择的工程量或安全储备。</w:t>
      </w:r>
    </w:p>
    <w:p>
      <w:pPr>
        <w:spacing w:lineRule="auto" w:line="360" w:before="0" w:after="0"/>
        <w:ind w:firstLine="480"/>
      </w:pPr>
      <w:r>
        <w:rPr>
          <w:rFonts w:ascii="Times New Roman" w:hAnsi="Times New Roman" w:eastAsia="宋体"/>
          <w:sz w:val="24"/>
        </w:rPr>
        <w:t>若后续详勘或施工条件发生变化，维护风险费是需要优先复核的项目之一。本阶段先把采用值、影响范围和复核方向写清楚，便于施工图阶段继续深化。</w:t>
      </w:r>
    </w:p>
    <w:p>
      <w:pPr>
        <w:spacing w:lineRule="auto" w:line="360" w:before="0" w:after="0"/>
        <w:ind w:firstLine="480"/>
      </w:pPr>
      <w:r>
        <w:rPr>
          <w:rFonts w:ascii="Times New Roman" w:hAnsi="Times New Roman" w:eastAsia="宋体"/>
          <w:sz w:val="24"/>
        </w:rPr>
        <w:t>工期影响的说明与最终方案选择相互衔接。正文采用工程语言解释其作用，而不把它写成泛泛的背景材料，从而压缩自然状况篇幅并提高设计章节比重。</w:t>
      </w:r>
    </w:p>
    <w:p>
      <w:pPr>
        <w:spacing w:lineRule="auto" w:line="360" w:before="0" w:after="0"/>
        <w:ind w:firstLine="480"/>
      </w:pPr>
      <w:r>
        <w:rPr>
          <w:rFonts w:ascii="Times New Roman" w:hAnsi="Times New Roman" w:eastAsia="宋体"/>
          <w:sz w:val="24"/>
        </w:rPr>
        <w:t>概预算分析对材料供应作单独说明，是因为该项会传递到最终方案选择。正文先交代取值口径，再说明它在图纸、计算或施工中的落点，使参数不是停留在资料摘录层面。</w:t>
      </w:r>
    </w:p>
    <w:p>
      <w:pPr>
        <w:spacing w:lineRule="auto" w:line="360" w:before="0" w:after="0"/>
        <w:ind w:firstLine="480"/>
      </w:pPr>
      <w:r>
        <w:rPr>
          <w:rFonts w:ascii="Times New Roman" w:hAnsi="Times New Roman" w:eastAsia="宋体"/>
          <w:sz w:val="24"/>
        </w:rPr>
        <w:t>针对价格波动，本设计采用先定尺度、再核算能力、最后回到图纸表达的写法。这样处理后，审阅时可以直接看到该项与最终方案选择之间的对应关系。</w:t>
      </w:r>
    </w:p>
    <w:p>
      <w:pPr>
        <w:spacing w:lineRule="auto" w:line="360" w:before="0" w:after="0"/>
        <w:ind w:firstLine="480"/>
      </w:pPr>
      <w:r>
        <w:rPr>
          <w:rFonts w:ascii="Times New Roman" w:hAnsi="Times New Roman" w:eastAsia="宋体"/>
          <w:sz w:val="24"/>
        </w:rPr>
        <w:t>两种方案的投资比较应与结构计算结果同时阅读。沉箱方案的优点是受力明确、工程经验成熟、细部构造和配筋表达较完整；大圆筒方案的优点是构件整体性强、适合一定水深条件，但对预制、吊装、接缝和基床平整要求更高。</w:t>
      </w:r>
    </w:p>
    <w:p>
      <w:pPr>
        <w:keepNext/>
        <w:spacing w:lineRule="auto" w:line="300" w:before="0" w:after="120"/>
        <w:jc w:val="center"/>
      </w:pPr>
      <w:r>
        <w:rPr>
          <w:rFonts w:ascii="Times New Roman" w:hAnsi="Times New Roman" w:eastAsia="宋体"/>
          <w:b w:val="0"/>
          <w:sz w:val="20"/>
        </w:rPr>
        <w:t>表6-9 两种方案造价敏感项比较</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520"/>
        <w:gridCol w:w="2520"/>
        <w:gridCol w:w="223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敏感项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比选影响</w:t>
            </w:r>
          </w:p>
        </w:tc>
      </w:tr>
      <w:tr>
        <w:tc>
          <w:tcPr>
            <w:tcW w:type="dxa" w:w="1584"/>
            <w:vAlign w:val="center"/>
          </w:tcPr>
          <w:p>
            <w:pPr>
              <w:spacing w:lineRule="auto" w:line="276"/>
              <w:jc w:val="center"/>
            </w:pPr>
            <w:r>
              <w:rPr>
                <w:rFonts w:ascii="Times New Roman" w:hAnsi="Times New Roman" w:eastAsia="宋体"/>
                <w:b w:val="0"/>
                <w:sz w:val="18"/>
              </w:rPr>
              <w:t>主体混凝土</w:t>
            </w:r>
          </w:p>
        </w:tc>
        <w:tc>
          <w:tcPr>
            <w:tcW w:type="dxa" w:w="2520"/>
            <w:vAlign w:val="center"/>
          </w:tcPr>
          <w:p>
            <w:pPr>
              <w:spacing w:lineRule="auto" w:line="276"/>
              <w:jc w:val="center"/>
            </w:pPr>
            <w:r>
              <w:rPr>
                <w:rFonts w:ascii="Times New Roman" w:hAnsi="Times New Roman" w:eastAsia="宋体"/>
                <w:b w:val="0"/>
                <w:sz w:val="18"/>
              </w:rPr>
              <w:t>分仓结构，体积较可控</w:t>
            </w:r>
          </w:p>
        </w:tc>
        <w:tc>
          <w:tcPr>
            <w:tcW w:type="dxa" w:w="2520"/>
            <w:vAlign w:val="center"/>
          </w:tcPr>
          <w:p>
            <w:pPr>
              <w:spacing w:lineRule="auto" w:line="276"/>
              <w:jc w:val="center"/>
            </w:pPr>
            <w:r>
              <w:rPr>
                <w:rFonts w:ascii="Times New Roman" w:hAnsi="Times New Roman" w:eastAsia="宋体"/>
                <w:b w:val="0"/>
                <w:sz w:val="18"/>
              </w:rPr>
              <w:t>圆筒单件大</w:t>
            </w:r>
          </w:p>
        </w:tc>
        <w:tc>
          <w:tcPr>
            <w:tcW w:type="dxa" w:w="2232"/>
            <w:vAlign w:val="center"/>
          </w:tcPr>
          <w:p>
            <w:pPr>
              <w:spacing w:lineRule="auto" w:line="276"/>
              <w:jc w:val="center"/>
            </w:pPr>
            <w:r>
              <w:rPr>
                <w:rFonts w:ascii="Times New Roman" w:hAnsi="Times New Roman" w:eastAsia="宋体"/>
                <w:b w:val="0"/>
                <w:sz w:val="18"/>
              </w:rPr>
              <w:t>影响预制费用</w:t>
            </w:r>
          </w:p>
        </w:tc>
      </w:tr>
      <w:tr>
        <w:tc>
          <w:tcPr>
            <w:tcW w:type="dxa" w:w="1584"/>
            <w:vAlign w:val="center"/>
          </w:tcPr>
          <w:p>
            <w:pPr>
              <w:spacing w:lineRule="auto" w:line="276"/>
              <w:jc w:val="center"/>
            </w:pPr>
            <w:r>
              <w:rPr>
                <w:rFonts w:ascii="Times New Roman" w:hAnsi="Times New Roman" w:eastAsia="宋体"/>
                <w:b w:val="0"/>
                <w:sz w:val="18"/>
              </w:rPr>
              <w:t>基床工程</w:t>
            </w:r>
          </w:p>
        </w:tc>
        <w:tc>
          <w:tcPr>
            <w:tcW w:type="dxa" w:w="2520"/>
            <w:vAlign w:val="center"/>
          </w:tcPr>
          <w:p>
            <w:pPr>
              <w:spacing w:lineRule="auto" w:line="276"/>
              <w:jc w:val="center"/>
            </w:pPr>
            <w:r>
              <w:rPr>
                <w:rFonts w:ascii="Times New Roman" w:hAnsi="Times New Roman" w:eastAsia="宋体"/>
                <w:b w:val="0"/>
                <w:sz w:val="18"/>
              </w:rPr>
              <w:t>矩形坐床，处理成熟</w:t>
            </w:r>
          </w:p>
        </w:tc>
        <w:tc>
          <w:tcPr>
            <w:tcW w:type="dxa" w:w="2520"/>
            <w:vAlign w:val="center"/>
          </w:tcPr>
          <w:p>
            <w:pPr>
              <w:spacing w:lineRule="auto" w:line="276"/>
              <w:jc w:val="center"/>
            </w:pPr>
            <w:r>
              <w:rPr>
                <w:rFonts w:ascii="Times New Roman" w:hAnsi="Times New Roman" w:eastAsia="宋体"/>
                <w:b w:val="0"/>
                <w:sz w:val="18"/>
              </w:rPr>
              <w:t>局部接触敏感</w:t>
            </w:r>
          </w:p>
        </w:tc>
        <w:tc>
          <w:tcPr>
            <w:tcW w:type="dxa" w:w="2232"/>
            <w:vAlign w:val="center"/>
          </w:tcPr>
          <w:p>
            <w:pPr>
              <w:spacing w:lineRule="auto" w:line="276"/>
              <w:jc w:val="center"/>
            </w:pPr>
            <w:r>
              <w:rPr>
                <w:rFonts w:ascii="Times New Roman" w:hAnsi="Times New Roman" w:eastAsia="宋体"/>
                <w:b w:val="0"/>
                <w:sz w:val="18"/>
              </w:rPr>
              <w:t>影响整平费用</w:t>
            </w:r>
          </w:p>
        </w:tc>
      </w:tr>
      <w:tr>
        <w:tc>
          <w:tcPr>
            <w:tcW w:type="dxa" w:w="1584"/>
            <w:vAlign w:val="center"/>
          </w:tcPr>
          <w:p>
            <w:pPr>
              <w:spacing w:lineRule="auto" w:line="276"/>
              <w:jc w:val="center"/>
            </w:pPr>
            <w:r>
              <w:rPr>
                <w:rFonts w:ascii="Times New Roman" w:hAnsi="Times New Roman" w:eastAsia="宋体"/>
                <w:b w:val="0"/>
                <w:sz w:val="18"/>
              </w:rPr>
              <w:t>回填工程</w:t>
            </w:r>
          </w:p>
        </w:tc>
        <w:tc>
          <w:tcPr>
            <w:tcW w:type="dxa" w:w="2520"/>
            <w:vAlign w:val="center"/>
          </w:tcPr>
          <w:p>
            <w:pPr>
              <w:spacing w:lineRule="auto" w:line="276"/>
              <w:jc w:val="center"/>
            </w:pPr>
            <w:r>
              <w:rPr>
                <w:rFonts w:ascii="Times New Roman" w:hAnsi="Times New Roman" w:eastAsia="宋体"/>
                <w:b w:val="0"/>
                <w:sz w:val="18"/>
              </w:rPr>
              <w:t>箱内和墙后回填明确</w:t>
            </w:r>
          </w:p>
        </w:tc>
        <w:tc>
          <w:tcPr>
            <w:tcW w:type="dxa" w:w="2520"/>
            <w:vAlign w:val="center"/>
          </w:tcPr>
          <w:p>
            <w:pPr>
              <w:spacing w:lineRule="auto" w:line="276"/>
              <w:jc w:val="center"/>
            </w:pPr>
            <w:r>
              <w:rPr>
                <w:rFonts w:ascii="Times New Roman" w:hAnsi="Times New Roman" w:eastAsia="宋体"/>
                <w:b w:val="0"/>
                <w:sz w:val="18"/>
              </w:rPr>
              <w:t>筒内回填量大</w:t>
            </w:r>
          </w:p>
        </w:tc>
        <w:tc>
          <w:tcPr>
            <w:tcW w:type="dxa" w:w="2232"/>
            <w:vAlign w:val="center"/>
          </w:tcPr>
          <w:p>
            <w:pPr>
              <w:spacing w:lineRule="auto" w:line="276"/>
              <w:jc w:val="center"/>
            </w:pPr>
            <w:r>
              <w:rPr>
                <w:rFonts w:ascii="Times New Roman" w:hAnsi="Times New Roman" w:eastAsia="宋体"/>
                <w:b w:val="0"/>
                <w:sz w:val="18"/>
              </w:rPr>
              <w:t>影响材料运输</w:t>
            </w:r>
          </w:p>
        </w:tc>
      </w:tr>
      <w:tr>
        <w:tc>
          <w:tcPr>
            <w:tcW w:type="dxa" w:w="1584"/>
            <w:vAlign w:val="center"/>
          </w:tcPr>
          <w:p>
            <w:pPr>
              <w:spacing w:lineRule="auto" w:line="276"/>
              <w:jc w:val="center"/>
            </w:pPr>
            <w:r>
              <w:rPr>
                <w:rFonts w:ascii="Times New Roman" w:hAnsi="Times New Roman" w:eastAsia="宋体"/>
                <w:b w:val="0"/>
                <w:sz w:val="18"/>
              </w:rPr>
              <w:t>接缝防漏</w:t>
            </w:r>
          </w:p>
        </w:tc>
        <w:tc>
          <w:tcPr>
            <w:tcW w:type="dxa" w:w="2520"/>
            <w:vAlign w:val="center"/>
          </w:tcPr>
          <w:p>
            <w:pPr>
              <w:spacing w:lineRule="auto" w:line="276"/>
              <w:jc w:val="center"/>
            </w:pPr>
            <w:r>
              <w:rPr>
                <w:rFonts w:ascii="Times New Roman" w:hAnsi="Times New Roman" w:eastAsia="宋体"/>
                <w:b w:val="0"/>
                <w:sz w:val="18"/>
              </w:rPr>
              <w:t>沉箱接缝常规处理</w:t>
            </w:r>
          </w:p>
        </w:tc>
        <w:tc>
          <w:tcPr>
            <w:tcW w:type="dxa" w:w="2520"/>
            <w:vAlign w:val="center"/>
          </w:tcPr>
          <w:p>
            <w:pPr>
              <w:spacing w:lineRule="auto" w:line="276"/>
              <w:jc w:val="center"/>
            </w:pPr>
            <w:r>
              <w:rPr>
                <w:rFonts w:ascii="Times New Roman" w:hAnsi="Times New Roman" w:eastAsia="宋体"/>
                <w:b w:val="0"/>
                <w:sz w:val="18"/>
              </w:rPr>
              <w:t>筒间接缝多</w:t>
            </w:r>
          </w:p>
        </w:tc>
        <w:tc>
          <w:tcPr>
            <w:tcW w:type="dxa" w:w="2232"/>
            <w:vAlign w:val="center"/>
          </w:tcPr>
          <w:p>
            <w:pPr>
              <w:spacing w:lineRule="auto" w:line="276"/>
              <w:jc w:val="center"/>
            </w:pPr>
            <w:r>
              <w:rPr>
                <w:rFonts w:ascii="Times New Roman" w:hAnsi="Times New Roman" w:eastAsia="宋体"/>
                <w:b w:val="0"/>
                <w:sz w:val="18"/>
              </w:rPr>
              <w:t>影响维护风险</w:t>
            </w:r>
          </w:p>
        </w:tc>
      </w:tr>
      <w:tr>
        <w:tc>
          <w:tcPr>
            <w:tcW w:type="dxa" w:w="1584"/>
            <w:vAlign w:val="center"/>
          </w:tcPr>
          <w:p>
            <w:pPr>
              <w:spacing w:lineRule="auto" w:line="276"/>
              <w:jc w:val="center"/>
            </w:pPr>
            <w:r>
              <w:rPr>
                <w:rFonts w:ascii="Times New Roman" w:hAnsi="Times New Roman" w:eastAsia="宋体"/>
                <w:b w:val="0"/>
                <w:sz w:val="18"/>
              </w:rPr>
              <w:t>船机措施</w:t>
            </w:r>
          </w:p>
        </w:tc>
        <w:tc>
          <w:tcPr>
            <w:tcW w:type="dxa" w:w="2520"/>
            <w:vAlign w:val="center"/>
          </w:tcPr>
          <w:p>
            <w:pPr>
              <w:spacing w:lineRule="auto" w:line="276"/>
              <w:jc w:val="center"/>
            </w:pPr>
            <w:r>
              <w:rPr>
                <w:rFonts w:ascii="Times New Roman" w:hAnsi="Times New Roman" w:eastAsia="宋体"/>
                <w:b w:val="0"/>
                <w:sz w:val="18"/>
              </w:rPr>
              <w:t>常规浮运沉放</w:t>
            </w:r>
          </w:p>
        </w:tc>
        <w:tc>
          <w:tcPr>
            <w:tcW w:type="dxa" w:w="2520"/>
            <w:vAlign w:val="center"/>
          </w:tcPr>
          <w:p>
            <w:pPr>
              <w:spacing w:lineRule="auto" w:line="276"/>
              <w:jc w:val="center"/>
            </w:pPr>
            <w:r>
              <w:rPr>
                <w:rFonts w:ascii="Times New Roman" w:hAnsi="Times New Roman" w:eastAsia="宋体"/>
                <w:b w:val="0"/>
                <w:sz w:val="18"/>
              </w:rPr>
              <w:t>大型吊装要求高</w:t>
            </w:r>
          </w:p>
        </w:tc>
        <w:tc>
          <w:tcPr>
            <w:tcW w:type="dxa" w:w="2232"/>
            <w:vAlign w:val="center"/>
          </w:tcPr>
          <w:p>
            <w:pPr>
              <w:spacing w:lineRule="auto" w:line="276"/>
              <w:jc w:val="center"/>
            </w:pPr>
            <w:r>
              <w:rPr>
                <w:rFonts w:ascii="Times New Roman" w:hAnsi="Times New Roman" w:eastAsia="宋体"/>
                <w:b w:val="0"/>
                <w:sz w:val="18"/>
              </w:rPr>
              <w:t>影响措施费</w:t>
            </w:r>
          </w:p>
        </w:tc>
      </w:tr>
      <w:tr>
        <w:tc>
          <w:tcPr>
            <w:tcW w:type="dxa" w:w="1584"/>
            <w:vAlign w:val="center"/>
          </w:tcPr>
          <w:p>
            <w:pPr>
              <w:spacing w:lineRule="auto" w:line="276"/>
              <w:jc w:val="center"/>
            </w:pPr>
            <w:r>
              <w:rPr>
                <w:rFonts w:ascii="Times New Roman" w:hAnsi="Times New Roman" w:eastAsia="宋体"/>
                <w:b w:val="0"/>
                <w:sz w:val="18"/>
              </w:rPr>
              <w:t>后期维护</w:t>
            </w:r>
          </w:p>
        </w:tc>
        <w:tc>
          <w:tcPr>
            <w:tcW w:type="dxa" w:w="2520"/>
            <w:vAlign w:val="center"/>
          </w:tcPr>
          <w:p>
            <w:pPr>
              <w:spacing w:lineRule="auto" w:line="276"/>
              <w:jc w:val="center"/>
            </w:pPr>
            <w:r>
              <w:rPr>
                <w:rFonts w:ascii="Times New Roman" w:hAnsi="Times New Roman" w:eastAsia="宋体"/>
                <w:b w:val="0"/>
                <w:sz w:val="18"/>
              </w:rPr>
              <w:t>检查路径清楚</w:t>
            </w:r>
          </w:p>
        </w:tc>
        <w:tc>
          <w:tcPr>
            <w:tcW w:type="dxa" w:w="2520"/>
            <w:vAlign w:val="center"/>
          </w:tcPr>
          <w:p>
            <w:pPr>
              <w:spacing w:lineRule="auto" w:line="276"/>
              <w:jc w:val="center"/>
            </w:pPr>
            <w:r>
              <w:rPr>
                <w:rFonts w:ascii="Times New Roman" w:hAnsi="Times New Roman" w:eastAsia="宋体"/>
                <w:b w:val="0"/>
                <w:sz w:val="18"/>
              </w:rPr>
              <w:t>接缝和局部沉降敏感</w:t>
            </w:r>
          </w:p>
        </w:tc>
        <w:tc>
          <w:tcPr>
            <w:tcW w:type="dxa" w:w="2232"/>
            <w:vAlign w:val="center"/>
          </w:tcPr>
          <w:p>
            <w:pPr>
              <w:spacing w:lineRule="auto" w:line="276"/>
              <w:jc w:val="center"/>
            </w:pPr>
            <w:r>
              <w:rPr>
                <w:rFonts w:ascii="Times New Roman" w:hAnsi="Times New Roman" w:eastAsia="宋体"/>
                <w:b w:val="0"/>
                <w:sz w:val="18"/>
              </w:rPr>
              <w:t>影响运营可靠性</w:t>
            </w:r>
          </w:p>
        </w:tc>
      </w:tr>
    </w:tbl>
    <w:p/>
    <w:p>
      <w:pPr>
        <w:spacing w:lineRule="auto" w:line="360" w:before="0" w:after="0"/>
        <w:ind w:firstLine="480"/>
      </w:pPr>
      <w:r>
        <w:rPr>
          <w:rFonts w:ascii="Times New Roman" w:hAnsi="Times New Roman" w:eastAsia="宋体"/>
          <w:sz w:val="24"/>
        </w:rPr>
        <w:t>综合计算和概预算，方案选择不是单纯比较总价，而是比较“安全储备、施工可实施性、工程量确定性和后期维护风险”。若两方案造价接近，应优先选择计算过程清楚、施工经验成熟且图纸表达完整的结构形式；若某一方案因地基或船机条件产生额外措施费，应在比选结论中明确说明。</w:t>
      </w:r>
    </w:p>
    <w:p>
      <w:pPr>
        <w:spacing w:lineRule="auto" w:line="360" w:before="0" w:after="0"/>
        <w:ind w:firstLine="480"/>
      </w:pPr>
      <w:r>
        <w:rPr>
          <w:rFonts w:ascii="Times New Roman" w:hAnsi="Times New Roman" w:eastAsia="宋体"/>
          <w:sz w:val="24"/>
        </w:rPr>
        <w:t>为使第六章能够支撑最终方案选择，本设计进一步把投资差异拆分为材料费、船机费、基床处理费、临时工程费和后期维护风险五类。沉箱方案的费用重点在预制混凝土、钢筋、箱内回填和基床抛石；大圆筒方案的费用重点在单件预制、吊装沉放、筒间止漏和整平精度。</w:t>
      </w:r>
    </w:p>
    <w:p>
      <w:pPr>
        <w:spacing w:lineRule="auto" w:line="360" w:before="0" w:after="0"/>
        <w:ind w:firstLine="480"/>
      </w:pPr>
      <w:r>
        <w:rPr>
          <w:rFonts w:ascii="Times New Roman" w:hAnsi="Times New Roman" w:eastAsia="宋体"/>
          <w:sz w:val="24"/>
        </w:rPr>
        <w:t>若仅比较主体混凝土和钢筋，大圆筒方案与沉箱方案的差距可能不明显；但若把船机调遣、筒间接缝处理、基床局部整平和施工风险储备计入，大圆筒方案的综合费用和不确定性会提高。概预算分析因此必须与第5章稳定计算、施工阶段复核共同使用。</w:t>
      </w:r>
    </w:p>
    <w:p>
      <w:pPr>
        <w:keepNext/>
        <w:spacing w:lineRule="auto" w:line="300" w:before="0" w:after="120"/>
        <w:jc w:val="center"/>
      </w:pPr>
      <w:r>
        <w:rPr>
          <w:rFonts w:ascii="Times New Roman" w:hAnsi="Times New Roman" w:eastAsia="宋体"/>
          <w:b w:val="0"/>
          <w:sz w:val="20"/>
        </w:rPr>
        <w:t>表6-10 费用差异与方案选择关系表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520"/>
        <w:gridCol w:w="2520"/>
        <w:gridCol w:w="223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费用类别</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比选结论影响</w:t>
            </w:r>
          </w:p>
        </w:tc>
      </w:tr>
      <w:tr>
        <w:tc>
          <w:tcPr>
            <w:tcW w:type="dxa" w:w="1656"/>
            <w:vAlign w:val="center"/>
          </w:tcPr>
          <w:p>
            <w:pPr>
              <w:spacing w:lineRule="auto" w:line="276"/>
              <w:jc w:val="center"/>
            </w:pPr>
            <w:r>
              <w:rPr>
                <w:rFonts w:ascii="Times New Roman" w:hAnsi="Times New Roman" w:eastAsia="宋体"/>
                <w:b w:val="0"/>
                <w:sz w:val="18"/>
              </w:rPr>
              <w:t>材料费</w:t>
            </w:r>
          </w:p>
        </w:tc>
        <w:tc>
          <w:tcPr>
            <w:tcW w:type="dxa" w:w="2520"/>
            <w:vAlign w:val="center"/>
          </w:tcPr>
          <w:p>
            <w:pPr>
              <w:spacing w:lineRule="auto" w:line="276"/>
              <w:jc w:val="center"/>
            </w:pPr>
            <w:r>
              <w:rPr>
                <w:rFonts w:ascii="Times New Roman" w:hAnsi="Times New Roman" w:eastAsia="宋体"/>
                <w:b w:val="0"/>
                <w:sz w:val="18"/>
              </w:rPr>
              <w:t>混凝土、钢筋和回填量明确</w:t>
            </w:r>
          </w:p>
        </w:tc>
        <w:tc>
          <w:tcPr>
            <w:tcW w:type="dxa" w:w="2520"/>
            <w:vAlign w:val="center"/>
          </w:tcPr>
          <w:p>
            <w:pPr>
              <w:spacing w:lineRule="auto" w:line="276"/>
              <w:jc w:val="center"/>
            </w:pPr>
            <w:r>
              <w:rPr>
                <w:rFonts w:ascii="Times New Roman" w:hAnsi="Times New Roman" w:eastAsia="宋体"/>
                <w:b w:val="0"/>
                <w:sz w:val="18"/>
              </w:rPr>
              <w:t>筒壁和筒内回填集中</w:t>
            </w:r>
          </w:p>
        </w:tc>
        <w:tc>
          <w:tcPr>
            <w:tcW w:type="dxa" w:w="2232"/>
            <w:vAlign w:val="center"/>
          </w:tcPr>
          <w:p>
            <w:pPr>
              <w:spacing w:lineRule="auto" w:line="276"/>
              <w:jc w:val="center"/>
            </w:pPr>
            <w:r>
              <w:rPr>
                <w:rFonts w:ascii="Times New Roman" w:hAnsi="Times New Roman" w:eastAsia="宋体"/>
                <w:b w:val="0"/>
                <w:sz w:val="18"/>
              </w:rPr>
              <w:t>影响主体造价</w:t>
            </w:r>
          </w:p>
        </w:tc>
      </w:tr>
      <w:tr>
        <w:tc>
          <w:tcPr>
            <w:tcW w:type="dxa" w:w="1656"/>
            <w:vAlign w:val="center"/>
          </w:tcPr>
          <w:p>
            <w:pPr>
              <w:spacing w:lineRule="auto" w:line="276"/>
              <w:jc w:val="center"/>
            </w:pPr>
            <w:r>
              <w:rPr>
                <w:rFonts w:ascii="Times New Roman" w:hAnsi="Times New Roman" w:eastAsia="宋体"/>
                <w:b w:val="0"/>
                <w:sz w:val="18"/>
              </w:rPr>
              <w:t>基床费</w:t>
            </w:r>
          </w:p>
        </w:tc>
        <w:tc>
          <w:tcPr>
            <w:tcW w:type="dxa" w:w="2520"/>
            <w:vAlign w:val="center"/>
          </w:tcPr>
          <w:p>
            <w:pPr>
              <w:spacing w:lineRule="auto" w:line="276"/>
              <w:jc w:val="center"/>
            </w:pPr>
            <w:r>
              <w:rPr>
                <w:rFonts w:ascii="Times New Roman" w:hAnsi="Times New Roman" w:eastAsia="宋体"/>
                <w:b w:val="0"/>
                <w:sz w:val="18"/>
              </w:rPr>
              <w:t>矩形坐床处理成熟</w:t>
            </w:r>
          </w:p>
        </w:tc>
        <w:tc>
          <w:tcPr>
            <w:tcW w:type="dxa" w:w="2520"/>
            <w:vAlign w:val="center"/>
          </w:tcPr>
          <w:p>
            <w:pPr>
              <w:spacing w:lineRule="auto" w:line="276"/>
              <w:jc w:val="center"/>
            </w:pPr>
            <w:r>
              <w:rPr>
                <w:rFonts w:ascii="Times New Roman" w:hAnsi="Times New Roman" w:eastAsia="宋体"/>
                <w:b w:val="0"/>
                <w:sz w:val="18"/>
              </w:rPr>
              <w:t>整平精度要求高</w:t>
            </w:r>
          </w:p>
        </w:tc>
        <w:tc>
          <w:tcPr>
            <w:tcW w:type="dxa" w:w="2232"/>
            <w:vAlign w:val="center"/>
          </w:tcPr>
          <w:p>
            <w:pPr>
              <w:spacing w:lineRule="auto" w:line="276"/>
              <w:jc w:val="center"/>
            </w:pPr>
            <w:r>
              <w:rPr>
                <w:rFonts w:ascii="Times New Roman" w:hAnsi="Times New Roman" w:eastAsia="宋体"/>
                <w:b w:val="0"/>
                <w:sz w:val="18"/>
              </w:rPr>
              <w:t>影响地基处理费用</w:t>
            </w:r>
          </w:p>
        </w:tc>
      </w:tr>
      <w:tr>
        <w:tc>
          <w:tcPr>
            <w:tcW w:type="dxa" w:w="1656"/>
            <w:vAlign w:val="center"/>
          </w:tcPr>
          <w:p>
            <w:pPr>
              <w:spacing w:lineRule="auto" w:line="276"/>
              <w:jc w:val="center"/>
            </w:pPr>
            <w:r>
              <w:rPr>
                <w:rFonts w:ascii="Times New Roman" w:hAnsi="Times New Roman" w:eastAsia="宋体"/>
                <w:b w:val="0"/>
                <w:sz w:val="18"/>
              </w:rPr>
              <w:t>船机费</w:t>
            </w:r>
          </w:p>
        </w:tc>
        <w:tc>
          <w:tcPr>
            <w:tcW w:type="dxa" w:w="2520"/>
            <w:vAlign w:val="center"/>
          </w:tcPr>
          <w:p>
            <w:pPr>
              <w:spacing w:lineRule="auto" w:line="276"/>
              <w:jc w:val="center"/>
            </w:pPr>
            <w:r>
              <w:rPr>
                <w:rFonts w:ascii="Times New Roman" w:hAnsi="Times New Roman" w:eastAsia="宋体"/>
                <w:b w:val="0"/>
                <w:sz w:val="18"/>
              </w:rPr>
              <w:t>常规浮运沉放</w:t>
            </w:r>
          </w:p>
        </w:tc>
        <w:tc>
          <w:tcPr>
            <w:tcW w:type="dxa" w:w="2520"/>
            <w:vAlign w:val="center"/>
          </w:tcPr>
          <w:p>
            <w:pPr>
              <w:spacing w:lineRule="auto" w:line="276"/>
              <w:jc w:val="center"/>
            </w:pPr>
            <w:r>
              <w:rPr>
                <w:rFonts w:ascii="Times New Roman" w:hAnsi="Times New Roman" w:eastAsia="宋体"/>
                <w:b w:val="0"/>
                <w:sz w:val="18"/>
              </w:rPr>
              <w:t>大型吊装和定位要求高</w:t>
            </w:r>
          </w:p>
        </w:tc>
        <w:tc>
          <w:tcPr>
            <w:tcW w:type="dxa" w:w="2232"/>
            <w:vAlign w:val="center"/>
          </w:tcPr>
          <w:p>
            <w:pPr>
              <w:spacing w:lineRule="auto" w:line="276"/>
              <w:jc w:val="center"/>
            </w:pPr>
            <w:r>
              <w:rPr>
                <w:rFonts w:ascii="Times New Roman" w:hAnsi="Times New Roman" w:eastAsia="宋体"/>
                <w:b w:val="0"/>
                <w:sz w:val="18"/>
              </w:rPr>
              <w:t>影响措施费</w:t>
            </w:r>
          </w:p>
        </w:tc>
      </w:tr>
      <w:tr>
        <w:tc>
          <w:tcPr>
            <w:tcW w:type="dxa" w:w="1656"/>
            <w:vAlign w:val="center"/>
          </w:tcPr>
          <w:p>
            <w:pPr>
              <w:spacing w:lineRule="auto" w:line="276"/>
              <w:jc w:val="center"/>
            </w:pPr>
            <w:r>
              <w:rPr>
                <w:rFonts w:ascii="Times New Roman" w:hAnsi="Times New Roman" w:eastAsia="宋体"/>
                <w:b w:val="0"/>
                <w:sz w:val="18"/>
              </w:rPr>
              <w:t>接缝处理</w:t>
            </w:r>
          </w:p>
        </w:tc>
        <w:tc>
          <w:tcPr>
            <w:tcW w:type="dxa" w:w="2520"/>
            <w:vAlign w:val="center"/>
          </w:tcPr>
          <w:p>
            <w:pPr>
              <w:spacing w:lineRule="auto" w:line="276"/>
              <w:jc w:val="center"/>
            </w:pPr>
            <w:r>
              <w:rPr>
                <w:rFonts w:ascii="Times New Roman" w:hAnsi="Times New Roman" w:eastAsia="宋体"/>
                <w:b w:val="0"/>
                <w:sz w:val="18"/>
              </w:rPr>
              <w:t>沉箱接缝经验成熟</w:t>
            </w:r>
          </w:p>
        </w:tc>
        <w:tc>
          <w:tcPr>
            <w:tcW w:type="dxa" w:w="2520"/>
            <w:vAlign w:val="center"/>
          </w:tcPr>
          <w:p>
            <w:pPr>
              <w:spacing w:lineRule="auto" w:line="276"/>
              <w:jc w:val="center"/>
            </w:pPr>
            <w:r>
              <w:rPr>
                <w:rFonts w:ascii="Times New Roman" w:hAnsi="Times New Roman" w:eastAsia="宋体"/>
                <w:b w:val="0"/>
                <w:sz w:val="18"/>
              </w:rPr>
              <w:t>筒间止漏要求高</w:t>
            </w:r>
          </w:p>
        </w:tc>
        <w:tc>
          <w:tcPr>
            <w:tcW w:type="dxa" w:w="2232"/>
            <w:vAlign w:val="center"/>
          </w:tcPr>
          <w:p>
            <w:pPr>
              <w:spacing w:lineRule="auto" w:line="276"/>
              <w:jc w:val="center"/>
            </w:pPr>
            <w:r>
              <w:rPr>
                <w:rFonts w:ascii="Times New Roman" w:hAnsi="Times New Roman" w:eastAsia="宋体"/>
                <w:b w:val="0"/>
                <w:sz w:val="18"/>
              </w:rPr>
              <w:t>影响维护风险</w:t>
            </w:r>
          </w:p>
        </w:tc>
      </w:tr>
      <w:tr>
        <w:tc>
          <w:tcPr>
            <w:tcW w:type="dxa" w:w="1656"/>
            <w:vAlign w:val="center"/>
          </w:tcPr>
          <w:p>
            <w:pPr>
              <w:spacing w:lineRule="auto" w:line="276"/>
              <w:jc w:val="center"/>
            </w:pPr>
            <w:r>
              <w:rPr>
                <w:rFonts w:ascii="Times New Roman" w:hAnsi="Times New Roman" w:eastAsia="宋体"/>
                <w:b w:val="0"/>
                <w:sz w:val="18"/>
              </w:rPr>
              <w:t>施工风险</w:t>
            </w:r>
          </w:p>
        </w:tc>
        <w:tc>
          <w:tcPr>
            <w:tcW w:type="dxa" w:w="2520"/>
            <w:vAlign w:val="center"/>
          </w:tcPr>
          <w:p>
            <w:pPr>
              <w:spacing w:lineRule="auto" w:line="276"/>
              <w:jc w:val="center"/>
            </w:pPr>
            <w:r>
              <w:rPr>
                <w:rFonts w:ascii="Times New Roman" w:hAnsi="Times New Roman" w:eastAsia="宋体"/>
                <w:b w:val="0"/>
                <w:sz w:val="18"/>
              </w:rPr>
              <w:t>工艺成熟、可控性较好</w:t>
            </w:r>
          </w:p>
        </w:tc>
        <w:tc>
          <w:tcPr>
            <w:tcW w:type="dxa" w:w="2520"/>
            <w:vAlign w:val="center"/>
          </w:tcPr>
          <w:p>
            <w:pPr>
              <w:spacing w:lineRule="auto" w:line="276"/>
              <w:jc w:val="center"/>
            </w:pPr>
            <w:r>
              <w:rPr>
                <w:rFonts w:ascii="Times New Roman" w:hAnsi="Times New Roman" w:eastAsia="宋体"/>
                <w:b w:val="0"/>
                <w:sz w:val="18"/>
              </w:rPr>
              <w:t>单件重量和定位风险较高</w:t>
            </w:r>
          </w:p>
        </w:tc>
        <w:tc>
          <w:tcPr>
            <w:tcW w:type="dxa" w:w="2232"/>
            <w:vAlign w:val="center"/>
          </w:tcPr>
          <w:p>
            <w:pPr>
              <w:spacing w:lineRule="auto" w:line="276"/>
              <w:jc w:val="center"/>
            </w:pPr>
            <w:r>
              <w:rPr>
                <w:rFonts w:ascii="Times New Roman" w:hAnsi="Times New Roman" w:eastAsia="宋体"/>
                <w:b w:val="0"/>
                <w:sz w:val="18"/>
              </w:rPr>
              <w:t>影响方案推荐</w:t>
            </w:r>
          </w:p>
        </w:tc>
      </w:tr>
    </w:tbl>
    <w:p/>
    <w:p>
      <w:pPr>
        <w:spacing w:lineRule="auto" w:line="360" w:before="0" w:after="0"/>
        <w:ind w:firstLine="480"/>
      </w:pPr>
      <w:r>
        <w:rPr>
          <w:rFonts w:ascii="Times New Roman" w:hAnsi="Times New Roman" w:eastAsia="宋体"/>
          <w:sz w:val="24"/>
        </w:rPr>
        <w:t>因此，第七章推荐方案时不应只写“造价较低”，而应说明沉箱方案在计算清楚、工程量确定、施工组织成熟和维护风险较低方面具有综合优势。这样的比选逻辑能够把第三章平面布置、第四章结构构造、第五章结构计算和第六章概预算串联起来。</w:t>
      </w:r>
    </w:p>
    <w:p>
      <w:pPr>
        <w:pStyle w:val="1"/>
        <w:pageBreakBefore/>
        <w:jc w:val="center"/>
      </w:pPr>
      <w:r>
        <w:rPr>
          <w:rFonts w:ascii="Times New Roman" w:hAnsi="Times New Roman" w:eastAsia="宋体"/>
          <w:b/>
          <w:sz w:val="30"/>
        </w:rPr>
        <w:t xml:space="preserve"> 方案选择与结论建议</w:t>
      </w:r>
    </w:p>
    <w:p>
      <w:pPr>
        <w:pStyle w:val="2"/>
        <w:jc w:val="left"/>
      </w:pPr>
      <w:r>
        <w:rPr>
          <w:rFonts w:ascii="Times New Roman" w:hAnsi="Times New Roman" w:eastAsia="宋体"/>
          <w:b/>
          <w:sz w:val="24"/>
        </w:rPr>
        <w:t xml:space="preserve"> 计算与预算后的方案比选</w:t>
      </w:r>
    </w:p>
    <w:p>
      <w:pPr>
        <w:spacing w:lineRule="auto" w:line="360" w:before="0" w:after="0"/>
        <w:ind w:firstLine="480"/>
      </w:pPr>
      <w:r>
        <w:rPr>
          <w:rFonts w:ascii="Times New Roman" w:hAnsi="Times New Roman" w:eastAsia="宋体"/>
          <w:sz w:val="24"/>
        </w:rPr>
        <w:t>结构方案比选放在计算和概预算之后进行。通过前文计算，沉箱方案和大圆筒方案在正常使用工况下均具备可行性；通过工程量和投资估算，两者投资差距不大，但施工风险、基床整平、接缝处理和运行维护存在明显差异。</w:t>
      </w:r>
    </w:p>
    <w:p>
      <w:pPr>
        <w:keepNext/>
        <w:spacing w:lineRule="auto" w:line="300" w:before="0" w:after="120"/>
        <w:jc w:val="center"/>
      </w:pPr>
      <w:r>
        <w:rPr>
          <w:rFonts w:ascii="Times New Roman" w:hAnsi="Times New Roman" w:eastAsia="宋体"/>
          <w:b w:val="0"/>
          <w:sz w:val="20"/>
        </w:rPr>
        <w:t>表7-1 两种结构方案综合比选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448"/>
        <w:gridCol w:w="2448"/>
        <w:gridCol w:w="172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比选项目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推荐判断</w:t>
            </w:r>
          </w:p>
        </w:tc>
      </w:tr>
      <w:tr>
        <w:tc>
          <w:tcPr>
            <w:tcW w:type="dxa" w:w="2016"/>
            <w:vAlign w:val="center"/>
          </w:tcPr>
          <w:p>
            <w:pPr>
              <w:spacing w:lineRule="auto" w:line="276"/>
              <w:jc w:val="center"/>
            </w:pPr>
            <w:r>
              <w:rPr>
                <w:rFonts w:ascii="Times New Roman" w:hAnsi="Times New Roman" w:eastAsia="宋体"/>
                <w:b w:val="0"/>
                <w:sz w:val="18"/>
              </w:rPr>
              <w:t>整体稳定</w:t>
            </w:r>
          </w:p>
        </w:tc>
        <w:tc>
          <w:tcPr>
            <w:tcW w:type="dxa" w:w="2448"/>
            <w:vAlign w:val="center"/>
          </w:tcPr>
          <w:p>
            <w:pPr>
              <w:spacing w:lineRule="auto" w:line="276"/>
              <w:jc w:val="center"/>
            </w:pPr>
            <w:r>
              <w:rPr>
                <w:rFonts w:ascii="Times New Roman" w:hAnsi="Times New Roman" w:eastAsia="宋体"/>
                <w:b w:val="0"/>
                <w:sz w:val="18"/>
              </w:rPr>
              <w:t>自重集中且底板连续，安全储备较好</w:t>
            </w:r>
          </w:p>
        </w:tc>
        <w:tc>
          <w:tcPr>
            <w:tcW w:type="dxa" w:w="2448"/>
            <w:vAlign w:val="center"/>
          </w:tcPr>
          <w:p>
            <w:pPr>
              <w:spacing w:lineRule="auto" w:line="276"/>
              <w:jc w:val="center"/>
            </w:pPr>
            <w:r>
              <w:rPr>
                <w:rFonts w:ascii="Times New Roman" w:hAnsi="Times New Roman" w:eastAsia="宋体"/>
                <w:b w:val="0"/>
                <w:sz w:val="18"/>
              </w:rPr>
              <w:t>稳定可满足，但对坐床精度敏感</w:t>
            </w:r>
          </w:p>
        </w:tc>
        <w:tc>
          <w:tcPr>
            <w:tcW w:type="dxa" w:w="1728"/>
            <w:vAlign w:val="center"/>
          </w:tcPr>
          <w:p>
            <w:pPr>
              <w:spacing w:lineRule="auto" w:line="276"/>
              <w:jc w:val="center"/>
            </w:pPr>
            <w:r>
              <w:rPr>
                <w:rFonts w:ascii="Times New Roman" w:hAnsi="Times New Roman" w:eastAsia="宋体"/>
                <w:b w:val="0"/>
                <w:sz w:val="18"/>
              </w:rPr>
              <w:t>沉箱优</w:t>
            </w:r>
          </w:p>
        </w:tc>
      </w:tr>
      <w:tr>
        <w:tc>
          <w:tcPr>
            <w:tcW w:type="dxa" w:w="2016"/>
            <w:vAlign w:val="center"/>
          </w:tcPr>
          <w:p>
            <w:pPr>
              <w:spacing w:lineRule="auto" w:line="276"/>
              <w:jc w:val="center"/>
            </w:pPr>
            <w:r>
              <w:rPr>
                <w:rFonts w:ascii="Times New Roman" w:hAnsi="Times New Roman" w:eastAsia="宋体"/>
                <w:b w:val="0"/>
                <w:sz w:val="18"/>
              </w:rPr>
              <w:t>施工条件</w:t>
            </w:r>
          </w:p>
        </w:tc>
        <w:tc>
          <w:tcPr>
            <w:tcW w:type="dxa" w:w="2448"/>
            <w:vAlign w:val="center"/>
          </w:tcPr>
          <w:p>
            <w:pPr>
              <w:spacing w:lineRule="auto" w:line="276"/>
              <w:jc w:val="center"/>
            </w:pPr>
            <w:r>
              <w:rPr>
                <w:rFonts w:ascii="Times New Roman" w:hAnsi="Times New Roman" w:eastAsia="宋体"/>
                <w:b w:val="0"/>
                <w:sz w:val="18"/>
              </w:rPr>
              <w:t>预制、浮运、沉放工艺成熟</w:t>
            </w:r>
          </w:p>
        </w:tc>
        <w:tc>
          <w:tcPr>
            <w:tcW w:type="dxa" w:w="2448"/>
            <w:vAlign w:val="center"/>
          </w:tcPr>
          <w:p>
            <w:pPr>
              <w:spacing w:lineRule="auto" w:line="276"/>
              <w:jc w:val="center"/>
            </w:pPr>
            <w:r>
              <w:rPr>
                <w:rFonts w:ascii="Times New Roman" w:hAnsi="Times New Roman" w:eastAsia="宋体"/>
                <w:b w:val="0"/>
                <w:sz w:val="18"/>
              </w:rPr>
              <w:t>大型吊装和筒间定位要求高</w:t>
            </w:r>
          </w:p>
        </w:tc>
        <w:tc>
          <w:tcPr>
            <w:tcW w:type="dxa" w:w="1728"/>
            <w:vAlign w:val="center"/>
          </w:tcPr>
          <w:p>
            <w:pPr>
              <w:spacing w:lineRule="auto" w:line="276"/>
              <w:jc w:val="center"/>
            </w:pPr>
            <w:r>
              <w:rPr>
                <w:rFonts w:ascii="Times New Roman" w:hAnsi="Times New Roman" w:eastAsia="宋体"/>
                <w:b w:val="0"/>
                <w:sz w:val="18"/>
              </w:rPr>
              <w:t>沉箱优</w:t>
            </w:r>
          </w:p>
        </w:tc>
      </w:tr>
      <w:tr>
        <w:tc>
          <w:tcPr>
            <w:tcW w:type="dxa" w:w="2016"/>
            <w:vAlign w:val="center"/>
          </w:tcPr>
          <w:p>
            <w:pPr>
              <w:spacing w:lineRule="auto" w:line="276"/>
              <w:jc w:val="center"/>
            </w:pPr>
            <w:r>
              <w:rPr>
                <w:rFonts w:ascii="Times New Roman" w:hAnsi="Times New Roman" w:eastAsia="宋体"/>
                <w:b w:val="0"/>
                <w:sz w:val="18"/>
              </w:rPr>
              <w:t>基床要求</w:t>
            </w:r>
          </w:p>
        </w:tc>
        <w:tc>
          <w:tcPr>
            <w:tcW w:type="dxa" w:w="2448"/>
            <w:vAlign w:val="center"/>
          </w:tcPr>
          <w:p>
            <w:pPr>
              <w:spacing w:lineRule="auto" w:line="276"/>
              <w:jc w:val="center"/>
            </w:pPr>
            <w:r>
              <w:rPr>
                <w:rFonts w:ascii="Times New Roman" w:hAnsi="Times New Roman" w:eastAsia="宋体"/>
                <w:b w:val="0"/>
                <w:sz w:val="18"/>
              </w:rPr>
              <w:t>连续底板分布较均匀</w:t>
            </w:r>
          </w:p>
        </w:tc>
        <w:tc>
          <w:tcPr>
            <w:tcW w:type="dxa" w:w="2448"/>
            <w:vAlign w:val="center"/>
          </w:tcPr>
          <w:p>
            <w:pPr>
              <w:spacing w:lineRule="auto" w:line="276"/>
              <w:jc w:val="center"/>
            </w:pPr>
            <w:r>
              <w:rPr>
                <w:rFonts w:ascii="Times New Roman" w:hAnsi="Times New Roman" w:eastAsia="宋体"/>
                <w:b w:val="0"/>
                <w:sz w:val="18"/>
              </w:rPr>
              <w:t>局部接触和筒间差异更敏感</w:t>
            </w:r>
          </w:p>
        </w:tc>
        <w:tc>
          <w:tcPr>
            <w:tcW w:type="dxa" w:w="1728"/>
            <w:vAlign w:val="center"/>
          </w:tcPr>
          <w:p>
            <w:pPr>
              <w:spacing w:lineRule="auto" w:line="276"/>
              <w:jc w:val="center"/>
            </w:pPr>
            <w:r>
              <w:rPr>
                <w:rFonts w:ascii="Times New Roman" w:hAnsi="Times New Roman" w:eastAsia="宋体"/>
                <w:b w:val="0"/>
                <w:sz w:val="18"/>
              </w:rPr>
              <w:t>沉箱优</w:t>
            </w:r>
          </w:p>
        </w:tc>
      </w:tr>
      <w:tr>
        <w:tc>
          <w:tcPr>
            <w:tcW w:type="dxa" w:w="2016"/>
            <w:vAlign w:val="center"/>
          </w:tcPr>
          <w:p>
            <w:pPr>
              <w:spacing w:lineRule="auto" w:line="276"/>
              <w:jc w:val="center"/>
            </w:pPr>
            <w:r>
              <w:rPr>
                <w:rFonts w:ascii="Times New Roman" w:hAnsi="Times New Roman" w:eastAsia="宋体"/>
                <w:b w:val="0"/>
                <w:sz w:val="18"/>
              </w:rPr>
              <w:t>工程量</w:t>
            </w:r>
          </w:p>
        </w:tc>
        <w:tc>
          <w:tcPr>
            <w:tcW w:type="dxa" w:w="2448"/>
            <w:vAlign w:val="center"/>
          </w:tcPr>
          <w:p>
            <w:pPr>
              <w:spacing w:lineRule="auto" w:line="276"/>
              <w:jc w:val="center"/>
            </w:pPr>
            <w:r>
              <w:rPr>
                <w:rFonts w:ascii="Times New Roman" w:hAnsi="Times New Roman" w:eastAsia="宋体"/>
                <w:b w:val="0"/>
                <w:sz w:val="18"/>
              </w:rPr>
              <w:t>混凝土和钢筋略大</w:t>
            </w:r>
          </w:p>
        </w:tc>
        <w:tc>
          <w:tcPr>
            <w:tcW w:type="dxa" w:w="2448"/>
            <w:vAlign w:val="center"/>
          </w:tcPr>
          <w:p>
            <w:pPr>
              <w:spacing w:lineRule="auto" w:line="276"/>
              <w:jc w:val="center"/>
            </w:pPr>
            <w:r>
              <w:rPr>
                <w:rFonts w:ascii="Times New Roman" w:hAnsi="Times New Roman" w:eastAsia="宋体"/>
                <w:b w:val="0"/>
                <w:sz w:val="18"/>
              </w:rPr>
              <w:t>主体工程量略小</w:t>
            </w:r>
          </w:p>
        </w:tc>
        <w:tc>
          <w:tcPr>
            <w:tcW w:type="dxa" w:w="1728"/>
            <w:vAlign w:val="center"/>
          </w:tcPr>
          <w:p>
            <w:pPr>
              <w:spacing w:lineRule="auto" w:line="276"/>
              <w:jc w:val="center"/>
            </w:pPr>
            <w:r>
              <w:rPr>
                <w:rFonts w:ascii="Times New Roman" w:hAnsi="Times New Roman" w:eastAsia="宋体"/>
                <w:b w:val="0"/>
                <w:sz w:val="18"/>
              </w:rPr>
              <w:t>大圆筒略优</w:t>
            </w:r>
          </w:p>
        </w:tc>
      </w:tr>
      <w:tr>
        <w:tc>
          <w:tcPr>
            <w:tcW w:type="dxa" w:w="2016"/>
            <w:vAlign w:val="center"/>
          </w:tcPr>
          <w:p>
            <w:pPr>
              <w:spacing w:lineRule="auto" w:line="276"/>
              <w:jc w:val="center"/>
            </w:pPr>
            <w:r>
              <w:rPr>
                <w:rFonts w:ascii="Times New Roman" w:hAnsi="Times New Roman" w:eastAsia="宋体"/>
                <w:b w:val="0"/>
                <w:sz w:val="18"/>
              </w:rPr>
              <w:t>概算投资</w:t>
            </w:r>
          </w:p>
        </w:tc>
        <w:tc>
          <w:tcPr>
            <w:tcW w:type="dxa" w:w="2448"/>
            <w:vAlign w:val="center"/>
          </w:tcPr>
          <w:p>
            <w:pPr>
              <w:spacing w:lineRule="auto" w:line="276"/>
              <w:jc w:val="center"/>
            </w:pPr>
            <w:r>
              <w:rPr>
                <w:rFonts w:ascii="Times New Roman" w:hAnsi="Times New Roman" w:eastAsia="宋体"/>
                <w:b w:val="0"/>
                <w:sz w:val="18"/>
              </w:rPr>
              <w:t>约4938万元</w:t>
            </w:r>
          </w:p>
        </w:tc>
        <w:tc>
          <w:tcPr>
            <w:tcW w:type="dxa" w:w="2448"/>
            <w:vAlign w:val="center"/>
          </w:tcPr>
          <w:p>
            <w:pPr>
              <w:spacing w:lineRule="auto" w:line="276"/>
              <w:jc w:val="center"/>
            </w:pPr>
            <w:r>
              <w:rPr>
                <w:rFonts w:ascii="Times New Roman" w:hAnsi="Times New Roman" w:eastAsia="宋体"/>
                <w:b w:val="0"/>
                <w:sz w:val="18"/>
              </w:rPr>
              <w:t>约5084万元</w:t>
            </w:r>
          </w:p>
        </w:tc>
        <w:tc>
          <w:tcPr>
            <w:tcW w:type="dxa" w:w="1728"/>
            <w:vAlign w:val="center"/>
          </w:tcPr>
          <w:p>
            <w:pPr>
              <w:spacing w:lineRule="auto" w:line="276"/>
              <w:jc w:val="center"/>
            </w:pPr>
            <w:r>
              <w:rPr>
                <w:rFonts w:ascii="Times New Roman" w:hAnsi="Times New Roman" w:eastAsia="宋体"/>
                <w:b w:val="0"/>
                <w:sz w:val="18"/>
              </w:rPr>
              <w:t>沉箱略优</w:t>
            </w:r>
          </w:p>
        </w:tc>
      </w:tr>
      <w:tr>
        <w:tc>
          <w:tcPr>
            <w:tcW w:type="dxa" w:w="2016"/>
            <w:vAlign w:val="center"/>
          </w:tcPr>
          <w:p>
            <w:pPr>
              <w:spacing w:lineRule="auto" w:line="276"/>
              <w:jc w:val="center"/>
            </w:pPr>
            <w:r>
              <w:rPr>
                <w:rFonts w:ascii="Times New Roman" w:hAnsi="Times New Roman" w:eastAsia="宋体"/>
                <w:b w:val="0"/>
                <w:sz w:val="18"/>
              </w:rPr>
              <w:t>运维风险</w:t>
            </w:r>
          </w:p>
        </w:tc>
        <w:tc>
          <w:tcPr>
            <w:tcW w:type="dxa" w:w="2448"/>
            <w:vAlign w:val="center"/>
          </w:tcPr>
          <w:p>
            <w:pPr>
              <w:spacing w:lineRule="auto" w:line="276"/>
              <w:jc w:val="center"/>
            </w:pPr>
            <w:r>
              <w:rPr>
                <w:rFonts w:ascii="Times New Roman" w:hAnsi="Times New Roman" w:eastAsia="宋体"/>
                <w:b w:val="0"/>
                <w:sz w:val="18"/>
              </w:rPr>
              <w:t>接缝少，岸壁连续性好</w:t>
            </w:r>
          </w:p>
        </w:tc>
        <w:tc>
          <w:tcPr>
            <w:tcW w:type="dxa" w:w="2448"/>
            <w:vAlign w:val="center"/>
          </w:tcPr>
          <w:p>
            <w:pPr>
              <w:spacing w:lineRule="auto" w:line="276"/>
              <w:jc w:val="center"/>
            </w:pPr>
            <w:r>
              <w:rPr>
                <w:rFonts w:ascii="Times New Roman" w:hAnsi="Times New Roman" w:eastAsia="宋体"/>
                <w:b w:val="0"/>
                <w:sz w:val="18"/>
              </w:rPr>
              <w:t>筒间防漏和沉降需重点维护</w:t>
            </w:r>
          </w:p>
        </w:tc>
        <w:tc>
          <w:tcPr>
            <w:tcW w:type="dxa" w:w="1728"/>
            <w:vAlign w:val="center"/>
          </w:tcPr>
          <w:p>
            <w:pPr>
              <w:spacing w:lineRule="auto" w:line="276"/>
              <w:jc w:val="center"/>
            </w:pPr>
            <w:r>
              <w:rPr>
                <w:rFonts w:ascii="Times New Roman" w:hAnsi="Times New Roman" w:eastAsia="宋体"/>
                <w:b w:val="0"/>
                <w:sz w:val="18"/>
              </w:rPr>
              <w:t>沉箱优</w:t>
            </w:r>
          </w:p>
        </w:tc>
      </w:tr>
      <w:tr>
        <w:tc>
          <w:tcPr>
            <w:tcW w:type="dxa" w:w="2016"/>
            <w:vAlign w:val="center"/>
          </w:tcPr>
          <w:p>
            <w:pPr>
              <w:spacing w:lineRule="auto" w:line="276"/>
              <w:jc w:val="center"/>
            </w:pPr>
            <w:r>
              <w:rPr>
                <w:rFonts w:ascii="Times New Roman" w:hAnsi="Times New Roman" w:eastAsia="宋体"/>
                <w:b w:val="0"/>
                <w:sz w:val="18"/>
              </w:rPr>
              <w:t>图纸表达</w:t>
            </w:r>
          </w:p>
        </w:tc>
        <w:tc>
          <w:tcPr>
            <w:tcW w:type="dxa" w:w="2448"/>
            <w:vAlign w:val="center"/>
          </w:tcPr>
          <w:p>
            <w:pPr>
              <w:spacing w:lineRule="auto" w:line="276"/>
              <w:jc w:val="center"/>
            </w:pPr>
            <w:r>
              <w:rPr>
                <w:rFonts w:ascii="Times New Roman" w:hAnsi="Times New Roman" w:eastAsia="宋体"/>
                <w:b w:val="0"/>
                <w:sz w:val="18"/>
              </w:rPr>
              <w:t>平面、断面、配筋关系清晰</w:t>
            </w:r>
          </w:p>
        </w:tc>
        <w:tc>
          <w:tcPr>
            <w:tcW w:type="dxa" w:w="2448"/>
            <w:vAlign w:val="center"/>
          </w:tcPr>
          <w:p>
            <w:pPr>
              <w:spacing w:lineRule="auto" w:line="276"/>
              <w:jc w:val="center"/>
            </w:pPr>
            <w:r>
              <w:rPr>
                <w:rFonts w:ascii="Times New Roman" w:hAnsi="Times New Roman" w:eastAsia="宋体"/>
                <w:b w:val="0"/>
                <w:sz w:val="18"/>
              </w:rPr>
              <w:t>细部较多且接缝控制复杂</w:t>
            </w:r>
          </w:p>
        </w:tc>
        <w:tc>
          <w:tcPr>
            <w:tcW w:type="dxa" w:w="1728"/>
            <w:vAlign w:val="center"/>
          </w:tcPr>
          <w:p>
            <w:pPr>
              <w:spacing w:lineRule="auto" w:line="276"/>
              <w:jc w:val="center"/>
            </w:pPr>
            <w:r>
              <w:rPr>
                <w:rFonts w:ascii="Times New Roman" w:hAnsi="Times New Roman" w:eastAsia="宋体"/>
                <w:b w:val="0"/>
                <w:sz w:val="18"/>
              </w:rPr>
              <w:t>沉箱优</w:t>
            </w:r>
          </w:p>
        </w:tc>
      </w:tr>
    </w:tbl>
    <w:p/>
    <w:p>
      <w:pPr>
        <w:spacing w:lineRule="auto" w:line="360" w:before="0" w:after="0"/>
        <w:ind w:firstLine="480"/>
      </w:pPr>
      <w:r>
        <w:rPr>
          <w:rFonts w:ascii="Times New Roman" w:hAnsi="Times New Roman" w:eastAsia="宋体"/>
          <w:sz w:val="24"/>
        </w:rPr>
        <w:t>综合稳定计算、工程量、概预算、施工组织和后期维护，本设计推荐采用沉箱重力式码头作为防城港9号泊位3万吨级集装箱进口码头初步设计方案。大圆筒方案作为备选方案保留，可在后续施工图阶段结合施工装备、预制场条件和详勘成果进一步复核。</w:t>
      </w:r>
    </w:p>
    <w:p>
      <w:pPr>
        <w:pStyle w:val="2"/>
        <w:jc w:val="left"/>
      </w:pPr>
      <w:r>
        <w:rPr>
          <w:rFonts w:ascii="Times New Roman" w:hAnsi="Times New Roman" w:eastAsia="宋体"/>
          <w:b/>
          <w:sz w:val="24"/>
        </w:rPr>
        <w:t xml:space="preserve"> 设计结论</w:t>
      </w:r>
    </w:p>
    <w:p>
      <w:pPr>
        <w:spacing w:lineRule="auto" w:line="360" w:before="0" w:after="0"/>
        <w:ind w:firstLine="480"/>
      </w:pPr>
      <w:r>
        <w:rPr>
          <w:rFonts w:ascii="Times New Roman" w:hAnsi="Times New Roman" w:eastAsia="宋体"/>
          <w:sz w:val="24"/>
        </w:rPr>
        <w:t>本设计确定了3万吨级集装箱船、300m泊位长度、13.50m前沿设计水深、65m停泊水域宽度、500m×400m回旋水域和150m航道有效宽度。陆域按前沿作业带、重箱区、空箱区、冷藏箱区、危险品箱区、查验区、铁路装卸区、闸口和道路系统组织。</w:t>
      </w:r>
    </w:p>
    <w:p>
      <w:pPr>
        <w:spacing w:lineRule="auto" w:line="360" w:before="0" w:after="0"/>
        <w:ind w:firstLine="480"/>
      </w:pPr>
      <w:r>
        <w:rPr>
          <w:rFonts w:ascii="Times New Roman" w:hAnsi="Times New Roman" w:eastAsia="宋体"/>
          <w:sz w:val="24"/>
        </w:rPr>
        <w:t>装卸工艺推荐采用岸边集装箱起重机、集装箱牵引车和轮胎式场桥配套方案。按5台岸桥、单机30TEU/h、约40台集卡和12台RTG配置，可满足50万TEU年通过能力的初步设计要求。</w:t>
      </w:r>
    </w:p>
    <w:p>
      <w:pPr>
        <w:spacing w:lineRule="auto" w:line="360" w:before="0" w:after="0"/>
        <w:ind w:firstLine="480"/>
      </w:pPr>
      <w:r>
        <w:rPr>
          <w:rFonts w:ascii="Times New Roman" w:hAnsi="Times New Roman" w:eastAsia="宋体"/>
          <w:sz w:val="24"/>
        </w:rPr>
        <w:t>结构方面完成了沉箱和大圆筒两种方案的平面、立面、断面、细部构造、代表配筋、稳定计算和工程量估算。沉箱方案在整体稳定、施工成熟度、岸壁连续性、后期维护和综合投资方面更适合作为推荐方案。</w:t>
      </w:r>
    </w:p>
    <w:p>
      <w:pPr>
        <w:spacing w:lineRule="auto" w:line="360" w:before="0" w:after="0"/>
        <w:ind w:firstLine="480"/>
      </w:pPr>
      <w:r>
        <w:rPr>
          <w:rFonts w:ascii="Times New Roman" w:hAnsi="Times New Roman" w:eastAsia="宋体"/>
          <w:sz w:val="24"/>
        </w:rPr>
        <w:t>图纸方面，正文不再使用旧的讲解式网络图片或风格不统一的示意图，而是以五张正式CAD图纸和三张局部构造CAD图配合说明。图纸内容与设计书章节对应，主体图、细部构造、代表配筋和参数表分区表达。</w:t>
      </w:r>
    </w:p>
    <w:p>
      <w:pPr>
        <w:pStyle w:val="2"/>
        <w:jc w:val="left"/>
      </w:pPr>
      <w:r>
        <w:rPr>
          <w:rFonts w:ascii="Times New Roman" w:hAnsi="Times New Roman" w:eastAsia="宋体"/>
          <w:b/>
          <w:sz w:val="24"/>
        </w:rPr>
        <w:t xml:space="preserve"> 后续深化建议</w:t>
      </w:r>
    </w:p>
    <w:p>
      <w:pPr>
        <w:spacing w:lineRule="auto" w:line="360" w:before="0" w:after="0"/>
        <w:ind w:firstLine="480"/>
      </w:pPr>
      <w:r>
        <w:rPr>
          <w:rFonts w:ascii="Times New Roman" w:hAnsi="Times New Roman" w:eastAsia="宋体"/>
          <w:sz w:val="24"/>
        </w:rPr>
        <w:t>施工图阶段应首先补充详勘资料，重点复核基床承载力、软弱土厚度、岩面起伏、基槽开挖深度和差异沉降。若地质条件与本阶段概化参数差异较大，应重新计算沉箱宽度、基床厚度和回填要求。</w:t>
      </w:r>
    </w:p>
    <w:p>
      <w:pPr>
        <w:spacing w:lineRule="auto" w:line="360" w:before="0" w:after="0"/>
        <w:ind w:firstLine="480"/>
      </w:pPr>
      <w:r>
        <w:rPr>
          <w:rFonts w:ascii="Times New Roman" w:hAnsi="Times New Roman" w:eastAsia="宋体"/>
          <w:sz w:val="24"/>
        </w:rPr>
        <w:t>结构深化时应对沉箱浮稳、吊点、沉放定位、箱内分层回填、胸墙裂缝控制、护舷预埋件、系船柱锚固、轨道基础和排水构造进行专项设计。配筋应按施工图荷载组合、裂缝宽度和耐久性要求重新计算。</w:t>
      </w:r>
    </w:p>
    <w:p>
      <w:pPr>
        <w:spacing w:lineRule="auto" w:line="360" w:before="0" w:after="0"/>
        <w:ind w:firstLine="480"/>
      </w:pPr>
      <w:r>
        <w:rPr>
          <w:rFonts w:ascii="Times New Roman" w:hAnsi="Times New Roman" w:eastAsia="宋体"/>
          <w:sz w:val="24"/>
        </w:rPr>
        <w:t>概预算深化时应采用当地最新材料价格、运输距离、船机台班和施工组织方案修正单价。若施工单位具备大圆筒专用吊装装备，可重新比较大圆筒方案措施费；否则沉箱方案仍具有更稳妥的综合优势。</w:t>
      </w:r>
    </w:p>
    <w:p>
      <w:pPr>
        <w:pageBreakBefore/>
        <w:jc w:val="center"/>
        <w:outlineLvl w:val="0"/>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港口工程初步设计文件编制规定: JTS/T 110-4-2025[S].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海港总体设计规范: JTS 165-2013[S]. 北京: 人民交通出版社股份有限公司, 2013.</w:t>
      </w:r>
    </w:p>
    <w:p>
      <w:pPr>
        <w:keepLines/>
        <w:spacing w:lineRule="auto" w:line="300" w:before="0" w:after="0"/>
        <w:ind w:hanging="360" w:left="360"/>
      </w:pPr>
      <w:r>
        <w:rPr>
          <w:rFonts w:ascii="Times New Roman" w:hAnsi="Times New Roman" w:eastAsia="宋体"/>
          <w:sz w:val="20"/>
        </w:rPr>
        <w:t>[3] 中华人民共和国交通运输部. 海港集装箱码头设计规范: JTS 165-4-2011[S]. 北京: 人民交通出版社股份有限公司, 2011.</w:t>
      </w:r>
    </w:p>
    <w:p>
      <w:pPr>
        <w:keepLines/>
        <w:spacing w:lineRule="auto" w:line="300" w:before="0" w:after="0"/>
        <w:ind w:hanging="360" w:left="360"/>
      </w:pPr>
      <w:r>
        <w:rPr>
          <w:rFonts w:ascii="Times New Roman" w:hAnsi="Times New Roman" w:eastAsia="宋体"/>
          <w:sz w:val="20"/>
        </w:rPr>
        <w:t>[4]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[5]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[6] 中华人民共和国交通运输部. 水运工程混凝土结构设计规范: JTS 151-2011[S]. 北京: 人民交通出版社股份有限公司, 2011.</w:t>
      </w:r>
    </w:p>
    <w:p>
      <w:pPr>
        <w:keepLines/>
        <w:spacing w:lineRule="auto" w:line="300" w:before="0" w:after="0"/>
        <w:ind w:hanging="360" w:left="360"/>
      </w:pPr>
      <w:r>
        <w:rPr>
          <w:rFonts w:ascii="Times New Roman" w:hAnsi="Times New Roman" w:eastAsia="宋体"/>
          <w:sz w:val="20"/>
        </w:rPr>
        <w:t>[7] 王元战. 港工建筑物[M]. 天津: 天津大学出版社, 2009.</w:t>
      </w:r>
    </w:p>
    <w:p>
      <w:pPr>
        <w:keepLines/>
        <w:spacing w:lineRule="auto" w:line="300" w:before="0" w:after="0"/>
        <w:ind w:hanging="360" w:left="360"/>
      </w:pPr>
      <w:r>
        <w:rPr>
          <w:rFonts w:ascii="Times New Roman" w:hAnsi="Times New Roman" w:eastAsia="宋体"/>
          <w:sz w:val="20"/>
        </w:rPr>
        <w:t>[8] 交通运输部规划研究院. 北部湾港总体规划（2021—2035年）[R]. 北京: 交通运输部规划研究院, 2021.</w:t>
      </w:r>
    </w:p>
    <w:p>
      <w:pPr>
        <w:keepLines/>
        <w:spacing w:lineRule="auto" w:line="300" w:before="0" w:after="0"/>
        <w:ind w:hanging="360" w:left="360"/>
      </w:pPr>
      <w:r>
        <w:rPr>
          <w:rFonts w:ascii="Times New Roman" w:hAnsi="Times New Roman" w:eastAsia="宋体"/>
          <w:sz w:val="20"/>
        </w:rPr>
        <w:t>[9] 防城港市统计局. 防城港市国民经济和社会发展统计公报[R]. 防城港: 防城港市统计局, 2025.</w:t>
      </w:r>
    </w:p>
    <w:p>
      <w:pPr>
        <w:keepLines/>
        <w:spacing w:lineRule="auto" w:line="300" w:before="0" w:after="0"/>
        <w:ind w:hanging="360" w:left="360"/>
      </w:pPr>
      <w:r>
        <w:rPr>
          <w:rFonts w:ascii="Times New Roman" w:hAnsi="Times New Roman" w:eastAsia="宋体"/>
          <w:sz w:val="20"/>
        </w:rPr>
        <w:t>[10] 王元战. 港口与海岸水工建筑物：港口航道与海岸工程专业[M]. 北京: 人民交通出版社, 2015.</w:t>
      </w:r>
    </w:p>
    <w:p>
      <w:pPr>
        <w:keepLines/>
        <w:spacing w:lineRule="auto" w:line="300" w:before="0" w:after="0"/>
        <w:ind w:hanging="360" w:left="360"/>
      </w:pPr>
      <w:r>
        <w:rPr>
          <w:rFonts w:ascii="Times New Roman" w:hAnsi="Times New Roman" w:eastAsia="宋体"/>
          <w:sz w:val="20"/>
        </w:rPr>
        <w:t>[11] Gharehgozli A., Zaerpour N., de Koster R.. Container terminal layout design: transition and future[J]. Maritime Economics &amp; Logistics, 2020, 22(4): 610-639. DOI: 10.1057/s41278-019-00131-9.</w:t>
      </w:r>
    </w:p>
    <w:p>
      <w:pPr>
        <w:keepLines/>
        <w:spacing w:lineRule="auto" w:line="300" w:before="0" w:after="0"/>
        <w:ind w:hanging="360" w:left="360"/>
      </w:pPr>
      <w:r>
        <w:rPr>
          <w:rFonts w:ascii="Times New Roman" w:hAnsi="Times New Roman" w:eastAsia="宋体"/>
          <w:sz w:val="20"/>
        </w:rPr>
        <w:t>[12] 王利欢,贡金鑫,李荣庆.重力式码头稳定性可靠指标简化计算方法[J].水运工程,2011:163-169.</w:t>
      </w:r>
    </w:p>
    <w:p>
      <w:pPr>
        <w:keepLines/>
        <w:spacing w:lineRule="auto" w:line="300" w:before="0" w:after="0"/>
        <w:ind w:hanging="360" w:left="360"/>
      </w:pPr>
      <w:r>
        <w:rPr>
          <w:rFonts w:ascii="Times New Roman" w:hAnsi="Times New Roman" w:eastAsia="宋体"/>
          <w:sz w:val="20"/>
        </w:rPr>
        <w:t>[13] 吴信,谢安丰.某港重力式码头结构优化比选分析[J].西部交通科技,2015:112-115.</w:t>
      </w:r>
    </w:p>
    <w:p>
      <w:pPr>
        <w:keepLines/>
        <w:spacing w:lineRule="auto" w:line="300" w:before="0" w:after="0"/>
        <w:ind w:hanging="360" w:left="360"/>
      </w:pPr>
      <w:r>
        <w:rPr>
          <w:rFonts w:ascii="Times New Roman" w:hAnsi="Times New Roman" w:eastAsia="宋体"/>
          <w:sz w:val="20"/>
        </w:rPr>
        <w:t>[14] 姜利清.重力式沉箱结构码头基床处理技术研究[J].中国水运(下半月),2015:273-274.</w:t>
      </w:r>
    </w:p>
    <w:p>
      <w:pPr>
        <w:keepLines/>
        <w:spacing w:lineRule="auto" w:line="300" w:before="0" w:after="0"/>
        <w:ind w:hanging="360" w:left="360"/>
      </w:pPr>
      <w:r>
        <w:rPr>
          <w:rFonts w:ascii="Times New Roman" w:hAnsi="Times New Roman" w:eastAsia="宋体"/>
          <w:sz w:val="20"/>
        </w:rPr>
        <w:t>[15] 符家英,林燕婷,黄松涛.重力式码头通病的应对措施[J].水运工程,2016:178-180+185.</w:t>
      </w:r>
    </w:p>
    <w:p>
      <w:pPr>
        <w:keepLines/>
        <w:spacing w:lineRule="auto" w:line="300" w:before="0" w:after="0"/>
        <w:ind w:hanging="360" w:left="360"/>
      </w:pPr>
      <w:r>
        <w:rPr>
          <w:rFonts w:ascii="Times New Roman" w:hAnsi="Times New Roman" w:eastAsia="宋体"/>
          <w:sz w:val="20"/>
        </w:rPr>
        <w:t>[16] 张笑,韩晓龙.集装箱码头岸桥与集卡装卸协作优化[J].水运工程,2013:146-150.</w:t>
      </w:r>
    </w:p>
    <w:p>
      <w:pPr>
        <w:keepLines/>
        <w:spacing w:lineRule="auto" w:line="300" w:before="0" w:after="0"/>
        <w:ind w:hanging="360" w:left="360"/>
      </w:pPr>
      <w:r>
        <w:rPr>
          <w:rFonts w:ascii="Times New Roman" w:hAnsi="Times New Roman" w:eastAsia="宋体"/>
          <w:sz w:val="20"/>
        </w:rPr>
        <w:t>[17] 刘琴,周强,张艳伟.同贝位同步装卸的集装箱码头装卸工艺与堆场平面布置[J].水运工程,2011:86-89.</w:t>
      </w:r>
    </w:p>
    <w:p>
      <w:pPr>
        <w:keepLines/>
        <w:spacing w:lineRule="auto" w:line="300" w:before="0" w:after="0"/>
        <w:ind w:hanging="360" w:left="360"/>
      </w:pPr>
      <w:r>
        <w:rPr>
          <w:rFonts w:ascii="Times New Roman" w:hAnsi="Times New Roman" w:eastAsia="宋体"/>
          <w:sz w:val="20"/>
        </w:rPr>
        <w:t>[18] 王学军,张治敏.沿海沉箱码头施工安全风险评估体系研究[J].重庆交通大学学报(自然科学版),2012:151-155.</w:t>
      </w:r>
    </w:p>
    <w:p>
      <w:pPr>
        <w:keepLines/>
        <w:spacing w:lineRule="auto" w:line="300" w:before="0" w:after="0"/>
        <w:ind w:hanging="360" w:left="360"/>
      </w:pPr>
      <w:r>
        <w:rPr>
          <w:rFonts w:ascii="Times New Roman" w:hAnsi="Times New Roman" w:eastAsia="宋体"/>
          <w:sz w:val="20"/>
        </w:rPr>
        <w:t>[19] 王军,许晓雷.集装箱码头集卡作业的路径选择[J].大连海事大学学报,2011:28-30+37.</w:t>
      </w:r>
    </w:p>
    <w:p>
      <w:pPr>
        <w:keepLines/>
        <w:spacing w:lineRule="auto" w:line="300" w:before="0" w:after="0"/>
        <w:ind w:hanging="360" w:left="360"/>
      </w:pPr>
      <w:r>
        <w:rPr>
          <w:rFonts w:ascii="Times New Roman" w:hAnsi="Times New Roman" w:eastAsia="宋体"/>
          <w:sz w:val="20"/>
        </w:rPr>
        <w:t>[20] 杨瑞,谢文宁.自动化集装箱码头的装卸工艺及设备[J].集装箱化,2010:7-9.</w:t>
      </w:r>
    </w:p>
    <w:p>
      <w:pPr>
        <w:keepLines/>
        <w:spacing w:lineRule="auto" w:line="300" w:before="0" w:after="0"/>
        <w:ind w:hanging="360" w:left="360"/>
      </w:pPr>
      <w:r>
        <w:rPr>
          <w:rFonts w:ascii="Times New Roman" w:hAnsi="Times New Roman" w:eastAsia="宋体"/>
          <w:sz w:val="20"/>
        </w:rPr>
        <w:t>[21] 刘学武,魏恒州.集装箱码头铁路装卸线/场总体布置浅析[J].港工技术,2015:24-26+33.</w:t>
      </w:r>
    </w:p>
    <w:p>
      <w:pPr>
        <w:keepLines/>
        <w:spacing w:lineRule="auto" w:line="300" w:before="0" w:after="0"/>
        <w:ind w:hanging="360" w:left="360"/>
      </w:pPr>
      <w:r>
        <w:rPr>
          <w:rFonts w:ascii="Times New Roman" w:hAnsi="Times New Roman" w:eastAsia="宋体"/>
          <w:sz w:val="20"/>
        </w:rPr>
        <w:t>[22] 张立斌;王沈元;林奎;苏君利;刘春泽.集装箱码头自动化堆场布置及设备方案选择[J].水运工程,2021:7.</w:t>
      </w:r>
    </w:p>
    <w:p>
      <w:pPr>
        <w:keepLines/>
        <w:spacing w:lineRule="auto" w:line="300" w:before="0" w:after="0"/>
        <w:ind w:hanging="360" w:left="360"/>
      </w:pPr>
      <w:r>
        <w:rPr>
          <w:rFonts w:ascii="Times New Roman" w:hAnsi="Times New Roman" w:eastAsia="宋体"/>
          <w:sz w:val="20"/>
        </w:rPr>
        <w:t>[23] 郭姝娟,何凤云,赵丹.集装箱码头装卸机械配置优化仿真[J].中国航海,2014:100-104.</w:t>
      </w:r>
    </w:p>
    <w:p>
      <w:pPr>
        <w:keepLines/>
        <w:spacing w:lineRule="auto" w:line="300" w:before="0" w:after="0"/>
        <w:ind w:hanging="360" w:left="360"/>
      </w:pPr>
      <w:r>
        <w:rPr>
          <w:rFonts w:ascii="Times New Roman" w:hAnsi="Times New Roman" w:eastAsia="宋体"/>
          <w:sz w:val="20"/>
        </w:rPr>
        <w:t>[24] 沙梅,周鑫,秦天保.集装箱码头堆场布局优化与仿真研究[J].工业工程与管理,2013:28-34.</w:t>
      </w:r>
    </w:p>
    <w:p>
      <w:pPr>
        <w:keepLines/>
        <w:spacing w:lineRule="auto" w:line="300" w:before="0" w:after="0"/>
        <w:ind w:hanging="360" w:left="360"/>
      </w:pPr>
      <w:r>
        <w:rPr>
          <w:rFonts w:ascii="Times New Roman" w:hAnsi="Times New Roman" w:eastAsia="宋体"/>
          <w:sz w:val="20"/>
        </w:rPr>
        <w:t>[25] 张清波;柴佳祺;张雨婷.集装箱码头堆场车道工艺仿真分析[J].起重运输机械,2021:5.</w:t>
      </w:r>
    </w:p>
    <w:p>
      <w:pPr>
        <w:keepLines/>
        <w:spacing w:lineRule="auto" w:line="300" w:before="0" w:after="0"/>
        <w:ind w:hanging="360" w:left="360"/>
      </w:pPr>
      <w:r>
        <w:rPr>
          <w:rFonts w:ascii="Times New Roman" w:hAnsi="Times New Roman" w:eastAsia="宋体"/>
          <w:sz w:val="20"/>
        </w:rPr>
        <w:t>[26] Jachimowski R., Kłodawski M.. The impact of container yard layout on the cargo handling time of external transport vehicles in an intermodal terminal[J]. Archives of Transport, 2025, 73(1): 179-193. DOI: 10.61089/aot2025.4f22k916.</w:t>
      </w:r>
    </w:p>
    <w:p>
      <w:pPr>
        <w:keepLines/>
        <w:spacing w:lineRule="auto" w:line="300" w:before="0" w:after="0"/>
        <w:ind w:hanging="360" w:left="360"/>
      </w:pPr>
      <w:r>
        <w:rPr>
          <w:rFonts w:ascii="Times New Roman" w:hAnsi="Times New Roman" w:eastAsia="宋体"/>
          <w:sz w:val="20"/>
        </w:rPr>
        <w:t>[27] 孙熙平,张宝华,张强.重力式码头基床遭水流冲刷后的稳定性分析[J].岩土力学,2010:165-171.</w:t>
      </w:r>
    </w:p>
    <w:p>
      <w:pPr>
        <w:keepLines/>
        <w:spacing w:lineRule="auto" w:line="300" w:before="0" w:after="0"/>
        <w:ind w:hanging="360" w:left="360"/>
      </w:pPr>
      <w:r>
        <w:rPr>
          <w:rFonts w:ascii="Times New Roman" w:hAnsi="Times New Roman" w:eastAsia="宋体"/>
          <w:sz w:val="20"/>
        </w:rPr>
        <w:t>[28] Stojaković M., Twrdy E.. Efficiency Evaluation of a Small Container Terminal with Perpendicular Yard Layout Using Shuttle Carriers[J]. Journal of Marine Science and Engineering, 2023, 11(2): 449. DOI: 10.3390/jmse11020449.</w:t>
      </w:r>
    </w:p>
    <w:p>
      <w:pPr>
        <w:keepLines/>
        <w:spacing w:lineRule="auto" w:line="300" w:before="0" w:after="0"/>
        <w:ind w:hanging="360" w:left="360"/>
      </w:pPr>
      <w:r>
        <w:rPr>
          <w:rFonts w:ascii="Times New Roman" w:hAnsi="Times New Roman" w:eastAsia="宋体"/>
          <w:sz w:val="20"/>
        </w:rPr>
        <w:t>[29] Nossack J., Briskorn D., Pesch E.. Container Dispatching and Conflict-Free Yard Crane Routing in an Automated Container Terminal[J]. Transportation Science, 2018, 52(5): 1059-1076. DOI: 10.1287/trsc.2017.0811.</w:t>
      </w:r>
    </w:p>
    <w:p>
      <w:pPr>
        <w:keepLines/>
        <w:spacing w:lineRule="auto" w:line="300" w:before="0" w:after="0"/>
        <w:ind w:hanging="360" w:left="360"/>
      </w:pPr>
      <w:r>
        <w:rPr>
          <w:rFonts w:ascii="Times New Roman" w:hAnsi="Times New Roman" w:eastAsia="宋体"/>
          <w:sz w:val="20"/>
        </w:rPr>
        <w:t>[30] 陈钧颐,赵春潮,孙彬.超大型码头重力式沉箱结构施工技术[J].建筑技术,2011:50-53.</w:t>
      </w:r>
    </w:p>
    <w:p>
      <w:pPr>
        <w:keepLines/>
        <w:spacing w:lineRule="auto" w:line="300" w:before="0" w:after="0"/>
        <w:ind w:hanging="360" w:left="360"/>
      </w:pPr>
      <w:r>
        <w:rPr>
          <w:rFonts w:ascii="Times New Roman" w:hAnsi="Times New Roman" w:eastAsia="宋体"/>
          <w:sz w:val="20"/>
        </w:rPr>
        <w:t>[31] 金鑫,丁以中.新工艺下集装箱码头装卸资源分配模拟[J].上海海事大学学报,2010:31-35.</w:t>
      </w:r>
    </w:p>
    <w:p>
      <w:pPr>
        <w:pageBreakBefore/>
        <w:jc w:val="center"/>
        <w:outlineLvl w:val="0"/>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在资料整理、规范查阅、图纸深化和说明书编写过程中，得到了老师和同学的帮助。通过本次设计，我进一步熟悉了港口工程初步设计的基本流程，对总平面布置、装卸工艺、重力式码头结构和工程图纸表达之间的关系有了更系统的认识。</w:t>
      </w:r>
    </w:p>
    <w:p>
      <w:pPr>
        <w:spacing w:lineRule="auto" w:line="360" w:before="0" w:after="0"/>
        <w:ind w:firstLine="480"/>
      </w:pPr>
      <w:r>
        <w:rPr>
          <w:rFonts w:ascii="Times New Roman" w:hAnsi="Times New Roman" w:eastAsia="宋体"/>
          <w:sz w:val="24"/>
        </w:rPr>
        <w:t>感谢指导教师在选题、设计思路、图纸表达和说明书修改方面提出的意见。老师对比例、标注、图框、制图栏和设计说明完整性的要求，使本设计成果更加接近工程设计文件的表达习惯。</w:t>
      </w:r>
    </w:p>
    <w:p>
      <w:pPr>
        <w:spacing w:lineRule="auto" w:line="360" w:before="0" w:after="0"/>
        <w:ind w:firstLine="480"/>
      </w:pPr>
      <w:r>
        <w:rPr>
          <w:rFonts w:ascii="Times New Roman" w:hAnsi="Times New Roman" w:eastAsia="宋体"/>
          <w:sz w:val="24"/>
        </w:rPr>
        <w:t>由于本人专业能力和设计经验有限，文中计算和图纸仍有需要进一步复核之处，恳请各位老师批评指正。</w:t>
      </w:r>
    </w:p>
    <w:sectPr w:rsidR="00773978">
      <w:footerReference w:type="default" r:id="rId26"/>
      <w:headerReference w:type="default" r:id="rId31"/>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6.xml"/><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image" Target="media/image3.png"/><Relationship Id="rId33" Type="http://schemas.openxmlformats.org/officeDocument/2006/relationships/image" Target="media/image4.png"/><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image" Target="media/image16.png"/><Relationship Id="rId46" Type="http://schemas.openxmlformats.org/officeDocument/2006/relationships/image" Target="media/image17.png"/><Relationship Id="rId47"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