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8"/>
        <w:tblpPr w:leftFromText="180" w:rightFromText="180" w:vertAnchor="text" w:horzAnchor="margin" w:tblpXSpec="center" w:tblpY="774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8"/>
        <w:gridCol w:w="1276"/>
        <w:gridCol w:w="1559"/>
        <w:gridCol w:w="2982"/>
      </w:tblGrid>
      <w:tr w14:paraId="6FBEB3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jc w:val="center"/>
        </w:trPr>
        <w:tc>
          <w:tcPr>
            <w:tcW w:w="1418" w:type="dxa"/>
            <w:vAlign w:val="bottom"/>
          </w:tcPr>
          <w:p w14:paraId="1E795A2A">
            <w:pPr>
              <w:pStyle w:val="29"/>
              <w:framePr w:hSpace="0" w:wrap="auto" w:vAnchor="margin" w:hAnchor="text" w:xAlign="left" w:yAlign="inline"/>
              <w:rPr>
                <w:rFonts w:hint="eastAsia"/>
                <w:szCs w:val="21"/>
              </w:rPr>
            </w:pPr>
            <w:r>
              <w:rPr>
                <w:rFonts w:hint="eastAsia"/>
              </w:rPr>
              <w:t xml:space="preserve">题 </w:t>
            </w:r>
            <w:r>
              <w:t xml:space="preserve">   </w:t>
            </w:r>
            <w:r>
              <w:rPr>
                <w:rFonts w:hint="eastAsia"/>
              </w:rPr>
              <w:t>目：</w:t>
            </w:r>
          </w:p>
        </w:tc>
        <w:tc>
          <w:tcPr>
            <w:tcW w:w="5817" w:type="dxa"/>
            <w:gridSpan w:val="3"/>
            <w:tcBorders>
              <w:bottom w:val="single" w:color="auto" w:sz="4" w:space="0"/>
            </w:tcBorders>
            <w:vAlign w:val="bottom"/>
          </w:tcPr>
          <w:p w14:paraId="3084BFCC">
            <w:pPr>
              <w:pStyle w:val="29"/>
              <w:framePr w:hSpace="0" w:wrap="auto" w:vAnchor="margin" w:hAnchor="text" w:xAlign="left" w:yAlign="inline"/>
              <w:jc w:val="center"/>
              <w:rPr>
                <w:rFonts w:hint="eastAsia"/>
              </w:rPr>
            </w:pPr>
            <w:r>
              <w:rPr>
                <w:rFonts w:hint="eastAsia"/>
              </w:rPr>
              <w:t>基于自进化 LLM 的期货市场</w:t>
              <w:br/>
              <w:t>多智能体决策模拟系统</w:t>
            </w:r>
          </w:p>
        </w:tc>
      </w:tr>
      <w:tr w14:paraId="69931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jc w:val="center"/>
        </w:trPr>
        <w:tc>
          <w:tcPr>
            <w:tcW w:w="1418" w:type="dxa"/>
            <w:vAlign w:val="bottom"/>
          </w:tcPr>
          <w:p w14:paraId="020B4083">
            <w:pPr>
              <w:pStyle w:val="29"/>
              <w:framePr w:hSpace="0" w:wrap="auto" w:vAnchor="margin" w:hAnchor="text" w:xAlign="left" w:yAlign="inline"/>
              <w:rPr>
                <w:rFonts w:hint="eastAsia"/>
                <w:szCs w:val="21"/>
              </w:rPr>
            </w:pPr>
            <w:r>
              <w:rPr>
                <w:rFonts w:hint="eastAsia"/>
              </w:rPr>
              <w:t xml:space="preserve">学 </w:t>
            </w:r>
            <w:r>
              <w:t xml:space="preserve">   </w:t>
            </w:r>
            <w:r>
              <w:rPr>
                <w:rFonts w:hint="eastAsia"/>
              </w:rPr>
              <w:t>院：</w:t>
            </w:r>
          </w:p>
        </w:tc>
        <w:tc>
          <w:tcPr>
            <w:tcW w:w="5817" w:type="dxa"/>
            <w:gridSpan w:val="3"/>
            <w:tcBorders>
              <w:top w:val="single" w:color="auto" w:sz="4" w:space="0"/>
              <w:bottom w:val="single" w:color="auto" w:sz="4" w:space="0"/>
            </w:tcBorders>
            <w:vAlign w:val="bottom"/>
          </w:tcPr>
          <w:p w14:paraId="04B6882F">
            <w:pPr>
              <w:pStyle w:val="29"/>
              <w:framePr w:hSpace="0" w:wrap="auto" w:vAnchor="margin" w:hAnchor="text" w:xAlign="left" w:yAlign="inline"/>
              <w:jc w:val="center"/>
              <w:rPr>
                <w:rFonts w:hint="eastAsia"/>
              </w:rPr>
            </w:pPr>
            <w:r>
              <w:rPr>
                <w:rFonts w:hint="eastAsia"/>
              </w:rPr>
              <w:t>计算机学院</w:t>
            </w:r>
          </w:p>
        </w:tc>
      </w:tr>
      <w:tr w14:paraId="6E9440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jc w:val="center"/>
        </w:trPr>
        <w:tc>
          <w:tcPr>
            <w:tcW w:w="1418" w:type="dxa"/>
            <w:vAlign w:val="bottom"/>
          </w:tcPr>
          <w:p w14:paraId="4A9D1605">
            <w:pPr>
              <w:pStyle w:val="29"/>
              <w:framePr w:hSpace="0" w:wrap="auto" w:vAnchor="margin" w:hAnchor="text" w:xAlign="left" w:yAlign="inline"/>
              <w:rPr>
                <w:rFonts w:hint="eastAsia"/>
                <w:szCs w:val="21"/>
              </w:rPr>
            </w:pPr>
            <w:r>
              <w:rPr>
                <w:rFonts w:hint="eastAsia"/>
              </w:rPr>
              <w:t xml:space="preserve">专 </w:t>
            </w:r>
            <w:r>
              <w:t xml:space="preserve">   </w:t>
            </w:r>
            <w:r>
              <w:rPr>
                <w:rFonts w:hint="eastAsia"/>
              </w:rPr>
              <w:t>业：</w:t>
            </w:r>
          </w:p>
        </w:tc>
        <w:tc>
          <w:tcPr>
            <w:tcW w:w="5817" w:type="dxa"/>
            <w:gridSpan w:val="3"/>
            <w:tcBorders>
              <w:top w:val="single" w:color="auto" w:sz="4" w:space="0"/>
              <w:bottom w:val="single" w:color="auto" w:sz="4" w:space="0"/>
            </w:tcBorders>
            <w:vAlign w:val="bottom"/>
          </w:tcPr>
          <w:p w14:paraId="0762A658">
            <w:pPr>
              <w:pStyle w:val="29"/>
              <w:framePr w:hSpace="0" w:wrap="auto" w:vAnchor="margin" w:hAnchor="text" w:xAlign="left" w:yAlign="inline"/>
              <w:jc w:val="center"/>
              <w:rPr>
                <w:rFonts w:hint="eastAsia"/>
              </w:rPr>
            </w:pPr>
            <w:r>
              <w:rPr>
                <w:rFonts w:hint="eastAsia"/>
              </w:rPr>
            </w:r>
          </w:p>
        </w:tc>
      </w:tr>
      <w:tr w14:paraId="6923C6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jc w:val="center"/>
        </w:trPr>
        <w:tc>
          <w:tcPr>
            <w:tcW w:w="1418" w:type="dxa"/>
            <w:vAlign w:val="bottom"/>
          </w:tcPr>
          <w:p w14:paraId="4875BA5A">
            <w:pPr>
              <w:pStyle w:val="29"/>
              <w:framePr w:hSpace="0" w:wrap="auto" w:vAnchor="margin" w:hAnchor="text" w:xAlign="left" w:yAlign="inline"/>
              <w:rPr>
                <w:rFonts w:hint="eastAsia"/>
                <w:szCs w:val="21"/>
              </w:rPr>
            </w:pPr>
            <w:r>
              <w:rPr>
                <w:rFonts w:hint="eastAsia"/>
              </w:rPr>
              <w:t>学生姓名：</w:t>
            </w:r>
          </w:p>
        </w:tc>
        <w:tc>
          <w:tcPr>
            <w:tcW w:w="1276" w:type="dxa"/>
            <w:tcBorders>
              <w:bottom w:val="single" w:color="auto" w:sz="4" w:space="0"/>
            </w:tcBorders>
            <w:vAlign w:val="bottom"/>
          </w:tcPr>
          <w:p w14:paraId="677AD9B2">
            <w:pPr>
              <w:pStyle w:val="29"/>
              <w:framePr w:hSpace="0" w:wrap="auto" w:vAnchor="margin" w:hAnchor="text" w:xAlign="left" w:yAlign="inline"/>
              <w:jc w:val="center"/>
              <w:rPr>
                <w:rFonts w:hint="eastAsia"/>
              </w:rPr>
            </w:pPr>
            <w:r>
              <w:rPr>
                <w:rFonts w:hint="eastAsia"/>
              </w:rPr>
            </w:r>
          </w:p>
        </w:tc>
        <w:tc>
          <w:tcPr>
            <w:tcW w:w="1559" w:type="dxa"/>
            <w:vAlign w:val="bottom"/>
          </w:tcPr>
          <w:p w14:paraId="6EFE7B0C">
            <w:pPr>
              <w:pStyle w:val="29"/>
              <w:framePr w:hSpace="0" w:wrap="auto" w:vAnchor="margin" w:hAnchor="text" w:xAlign="left" w:yAlign="inline"/>
              <w:rPr>
                <w:rFonts w:hint="eastAsia"/>
                <w:szCs w:val="21"/>
              </w:rPr>
            </w:pPr>
            <w:r>
              <w:rPr>
                <w:rFonts w:hint="eastAsia"/>
              </w:rPr>
              <w:t>班级/学号：</w:t>
            </w:r>
          </w:p>
        </w:tc>
        <w:tc>
          <w:tcPr>
            <w:tcW w:w="2982" w:type="dxa"/>
            <w:tcBorders>
              <w:bottom w:val="single" w:color="auto" w:sz="4" w:space="0"/>
            </w:tcBorders>
            <w:vAlign w:val="bottom"/>
          </w:tcPr>
          <w:p w14:paraId="33C35F17">
            <w:pPr>
              <w:pStyle w:val="29"/>
              <w:framePr w:hSpace="0" w:wrap="auto" w:vAnchor="margin" w:hAnchor="text" w:xAlign="left" w:yAlign="inline"/>
              <w:jc w:val="center"/>
              <w:rPr>
                <w:rFonts w:hint="eastAsia"/>
              </w:rPr>
            </w:pPr>
            <w:r>
              <w:rPr>
                <w:rFonts w:hint="eastAsia"/>
              </w:rPr>
            </w:r>
          </w:p>
        </w:tc>
      </w:tr>
      <w:tr w14:paraId="702FBF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jc w:val="center"/>
        </w:trPr>
        <w:tc>
          <w:tcPr>
            <w:tcW w:w="2694" w:type="dxa"/>
            <w:gridSpan w:val="2"/>
            <w:vAlign w:val="bottom"/>
          </w:tcPr>
          <w:p w14:paraId="1C77925C">
            <w:pPr>
              <w:pStyle w:val="29"/>
              <w:framePr w:hSpace="0" w:wrap="auto" w:vAnchor="margin" w:hAnchor="text" w:xAlign="left" w:yAlign="inline"/>
              <w:rPr>
                <w:rFonts w:hint="eastAsia"/>
                <w:szCs w:val="21"/>
              </w:rPr>
            </w:pPr>
            <w:r>
              <w:rPr>
                <w:rFonts w:hint="eastAsia"/>
              </w:rPr>
              <w:t>指导老师/督导老师：</w:t>
            </w:r>
          </w:p>
        </w:tc>
        <w:tc>
          <w:tcPr>
            <w:tcW w:w="4541" w:type="dxa"/>
            <w:gridSpan w:val="2"/>
            <w:tcBorders>
              <w:bottom w:val="single" w:color="auto" w:sz="4" w:space="0"/>
            </w:tcBorders>
            <w:vAlign w:val="bottom"/>
          </w:tcPr>
          <w:p w14:paraId="32368241">
            <w:pPr>
              <w:pStyle w:val="29"/>
              <w:framePr w:hSpace="0" w:wrap="auto" w:vAnchor="margin" w:hAnchor="text" w:xAlign="left" w:yAlign="inline"/>
              <w:jc w:val="center"/>
              <w:rPr>
                <w:rFonts w:hint="eastAsia"/>
              </w:rPr>
            </w:pPr>
            <w:r>
              <w:rPr>
                <w:rFonts w:hint="eastAsia"/>
              </w:rPr>
            </w:r>
          </w:p>
        </w:tc>
      </w:tr>
      <w:tr w14:paraId="53EDB1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jc w:val="center"/>
        </w:trPr>
        <w:tc>
          <w:tcPr>
            <w:tcW w:w="1418" w:type="dxa"/>
            <w:vAlign w:val="bottom"/>
          </w:tcPr>
          <w:p w14:paraId="72C8A03C">
            <w:pPr>
              <w:pStyle w:val="29"/>
              <w:framePr w:hSpace="0" w:wrap="auto" w:vAnchor="margin" w:hAnchor="text" w:xAlign="left" w:yAlign="inline"/>
              <w:rPr>
                <w:rFonts w:hint="eastAsia"/>
              </w:rPr>
            </w:pPr>
            <w:r>
              <w:rPr>
                <w:rFonts w:hint="eastAsia"/>
              </w:rPr>
              <w:t>起止时间：</w:t>
            </w:r>
          </w:p>
        </w:tc>
        <w:tc>
          <w:tcPr>
            <w:tcW w:w="5817" w:type="dxa"/>
            <w:gridSpan w:val="3"/>
            <w:tcBorders>
              <w:bottom w:val="single" w:color="auto" w:sz="4" w:space="0"/>
            </w:tcBorders>
            <w:vAlign w:val="bottom"/>
          </w:tcPr>
          <w:p w14:paraId="15B82199">
            <w:pPr>
              <w:pStyle w:val="29"/>
              <w:framePr w:hSpace="0" w:wrap="auto" w:vAnchor="margin" w:hAnchor="text" w:xAlign="left" w:yAlign="inline"/>
              <w:rPr>
                <w:rFonts w:hint="eastAsia"/>
              </w:rPr>
            </w:pPr>
            <w:r>
              <w:rPr>
                <w:rFonts w:hint="eastAsia"/>
              </w:rPr>
            </w:r>
            <w:r/>
            <w:r>
              <w:rPr>
                <w:rFonts w:hint="eastAsia"/>
              </w:rPr>
            </w:r>
            <w:r/>
            <w:r>
              <w:rPr>
                <w:rFonts w:hint="eastAsia"/>
              </w:rPr>
            </w:r>
            <w:r/>
            <w:r>
              <w:rPr>
                <w:rFonts w:hint="eastAsia"/>
              </w:rPr>
            </w:r>
            <w:r/>
            <w:r>
              <w:rPr>
                <w:rFonts w:hint="eastAsia"/>
              </w:rPr>
            </w:r>
            <w:r/>
            <w:r>
              <w:rPr>
                <w:rFonts w:hint="eastAsia"/>
              </w:rPr>
            </w:r>
          </w:p>
        </w:tc>
      </w:tr>
    </w:tbl>
    <w:p w14:paraId="60C0D57F">
      <w:pPr>
        <w:widowControl/>
        <w:spacing w:line="240" w:lineRule="auto"/>
        <w:jc w:val="left"/>
        <w:sectPr>
          <w:headerReference r:id="rId7" w:type="first"/>
          <w:footerReference r:id="rId9" w:type="first"/>
          <w:headerReference r:id="rId5" w:type="default"/>
          <w:headerReference r:id="rId6" w:type="even"/>
          <w:footerReference r:id="rId8" w:type="even"/>
          <w:pgSz w:w="11907" w:h="16840"/>
          <w:pgMar w:top="1134" w:right="1134" w:bottom="1134" w:left="1701" w:header="851" w:footer="964" w:gutter="0"/>
          <w:pgNumType w:start="1"/>
          <w:cols w:space="720" w:num="1"/>
          <w:docGrid w:linePitch="326" w:charSpace="0"/>
        </w:sectPr>
      </w:pPr>
      <w:r>
        <mc:AlternateContent>
          <mc:Choice Requires="wps">
            <w:drawing>
              <wp:anchor distT="45720" distB="45720" distL="114300" distR="114300" simplePos="0" relativeHeight="251659264" behindDoc="0" locked="0" layoutInCell="1" allowOverlap="1">
                <wp:simplePos x="0" y="0"/>
                <wp:positionH relativeFrom="page">
                  <wp:align>center</wp:align>
                </wp:positionH>
                <wp:positionV relativeFrom="page">
                  <wp:posOffset>2591435</wp:posOffset>
                </wp:positionV>
                <wp:extent cx="2894330" cy="528320"/>
                <wp:effectExtent l="0" t="0" r="1270" b="5080"/>
                <wp:wrapSquare wrapText="bothSides"/>
                <wp:docPr id="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894400" cy="528320"/>
                        </a:xfrm>
                        <a:prstGeom prst="rect">
                          <a:avLst/>
                        </a:prstGeom>
                        <a:solidFill>
                          <a:srgbClr val="FFFFFF"/>
                        </a:solidFill>
                        <a:ln w="9525">
                          <a:noFill/>
                          <a:miter lim="800000"/>
                        </a:ln>
                      </wps:spPr>
                      <wps:txbx>
                        <w:txbxContent>
                          <w:p w14:paraId="0A41F9E6">
                            <w:pPr>
                              <w:jc w:val="center"/>
                              <w:rPr>
                                <w:rFonts w:eastAsia="楷体_GB2312"/>
                                <w:sz w:val="52"/>
                                <w:szCs w:val="52"/>
                              </w:rPr>
                            </w:pPr>
                            <w:r>
                              <w:rPr>
                                <w:rFonts w:hint="eastAsia" w:eastAsia="楷体_GB2312"/>
                                <w:sz w:val="52"/>
                                <w:szCs w:val="52"/>
                              </w:rPr>
                              <w:t>北京信息科技大学</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top:204.05pt;height:41.6pt;width:227.9pt;mso-position-horizontal:center;mso-position-horizontal-relative:page;mso-position-vertical-relative:page;mso-wrap-distance-bottom:3.6pt;mso-wrap-distance-left:9pt;mso-wrap-distance-right:9pt;mso-wrap-distance-top:3.6pt;z-index:251659264;mso-width-relative:page;mso-height-relative:margin;mso-height-percent:200;" fillcolor="#FFFFFF" filled="t" stroked="f" coordsize="21600,21600" o:gfxdata="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poJV71gAAAAgBAAAPAAAAAAAAAAEAIAAAACIAAABkcnMvZG93bnJl&#10;di54bWxQSwECFAAUAAAACACHTuJAEP97AjgCAABSBAAADgAAAAAAAAABACAAAAAlAQAAZHJzL2Uy&#10;b0RvYy54bWxQSwUGAAAAAAYABgBZAQAAzwUAAAAA&#10;">
                <v:fill on="t" focussize="0,0"/>
                <v:stroke on="f" miterlimit="8" joinstyle="miter"/>
                <v:imagedata o:title=""/>
                <o:lock v:ext="edit" aspectratio="f"/>
                <v:textbox style="mso-fit-shape-to-text:t;">
                  <w:txbxContent>
                    <w:p w14:paraId="0A41F9E6">
                      <w:pPr>
                        <w:jc w:val="center"/>
                        <w:rPr>
                          <w:rFonts w:eastAsia="楷体_GB2312"/>
                          <w:sz w:val="52"/>
                          <w:szCs w:val="52"/>
                        </w:rPr>
                      </w:pPr>
                      <w:r>
                        <w:rPr>
                          <w:rFonts w:hint="eastAsia" w:eastAsia="楷体_GB2312"/>
                          <w:sz w:val="52"/>
                          <w:szCs w:val="52"/>
                        </w:rPr>
                        <w:t>北京信息科技大学</w:t>
                      </w:r>
                    </w:p>
                  </w:txbxContent>
                </v:textbox>
                <w10:wrap type="square"/>
              </v:shape>
            </w:pict>
          </mc:Fallback>
        </mc:AlternateContent>
      </w:r>
      <w:r>
        <mc:AlternateContent>
          <mc:Choice Requires="wps">
            <w:drawing>
              <wp:anchor distT="45720" distB="45720" distL="114300" distR="114300" simplePos="0" relativeHeight="251660288" behindDoc="0" locked="0" layoutInCell="1" allowOverlap="1">
                <wp:simplePos x="0" y="0"/>
                <wp:positionH relativeFrom="page">
                  <wp:align>center</wp:align>
                </wp:positionH>
                <wp:positionV relativeFrom="page">
                  <wp:posOffset>3845560</wp:posOffset>
                </wp:positionV>
                <wp:extent cx="5270500" cy="791845"/>
                <wp:effectExtent l="0" t="0" r="6985" b="0"/>
                <wp:wrapSquare wrapText="bothSides"/>
                <wp:docPr id="6" name="文本框 6"/>
                <wp:cNvGraphicFramePr/>
                <a:graphic xmlns:a="http://schemas.openxmlformats.org/drawingml/2006/main">
                  <a:graphicData uri="http://schemas.microsoft.com/office/word/2010/wordprocessingShape">
                    <wps:wsp>
                      <wps:cNvSpPr txBox="1">
                        <a:spLocks noChangeArrowheads="1"/>
                      </wps:cNvSpPr>
                      <wps:spPr bwMode="auto">
                        <a:xfrm>
                          <a:off x="0" y="0"/>
                          <a:ext cx="5270400" cy="791845"/>
                        </a:xfrm>
                        <a:prstGeom prst="rect">
                          <a:avLst/>
                        </a:prstGeom>
                        <a:solidFill>
                          <a:srgbClr val="FFFFFF"/>
                        </a:solidFill>
                        <a:ln w="9525">
                          <a:noFill/>
                          <a:miter lim="800000"/>
                        </a:ln>
                      </wps:spPr>
                      <wps:txbx>
                        <w:txbxContent>
                          <w:p w14:paraId="07FFE461">
                            <w:pPr>
                              <w:jc w:val="center"/>
                              <w:rPr>
                                <w:sz w:val="72"/>
                                <w:szCs w:val="72"/>
                              </w:rPr>
                            </w:pPr>
                            <w:r>
                              <w:rPr>
                                <w:rFonts w:eastAsia="楷体_GB2312"/>
                                <w:b/>
                                <w:spacing w:val="80"/>
                                <w:w w:val="90"/>
                                <w:sz w:val="72"/>
                                <w:szCs w:val="72"/>
                              </w:rPr>
                              <w:t>毕业设计</w:t>
                            </w:r>
                            <w:r>
                              <w:rPr>
                                <w:rFonts w:eastAsia="楷体_GB2312"/>
                                <w:b/>
                                <w:spacing w:val="40"/>
                                <w:w w:val="90"/>
                                <w:sz w:val="72"/>
                                <w:szCs w:val="72"/>
                              </w:rPr>
                              <w:t>（论文）</w:t>
                            </w:r>
                            <w:r>
                              <w:rPr>
                                <w:rFonts w:hint="eastAsia" w:eastAsia="楷体_GB2312"/>
                                <w:b/>
                                <w:spacing w:val="40"/>
                                <w:w w:val="90"/>
                                <w:sz w:val="72"/>
                                <w:szCs w:val="72"/>
                              </w:rPr>
                              <w:t>附录</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top:302.8pt;height:62.35pt;width:415pt;mso-position-horizontal:center;mso-position-horizontal-relative:page;mso-position-vertical-relative:page;mso-wrap-distance-bottom:3.6pt;mso-wrap-distance-left:9pt;mso-wrap-distance-right:9pt;mso-wrap-distance-top:3.6pt;z-index:251660288;mso-width-relative:page;mso-height-relative:margin;mso-height-percent:200;" fillcolor="#FFFFFF" filled="t" stroked="f" coordsize="21600,21600" o:gfxdata="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KnMLytYAAAAIAQAADwAAAAAAAAABACAAAAAiAAAAZHJzL2Rvd25y&#10;ZXYueG1sUEsBAhQAFAAAAAgAh07iQDC5mqs5AgAAUgQAAA4AAAAAAAAAAQAgAAAAJQEAAGRycy9l&#10;Mm9Eb2MueG1sUEsFBgAAAAAGAAYAWQEAANAFAAAAAA==&#10;">
                <v:fill on="t" focussize="0,0"/>
                <v:stroke on="f" miterlimit="8" joinstyle="miter"/>
                <v:imagedata o:title=""/>
                <o:lock v:ext="edit" aspectratio="f"/>
                <v:textbox style="mso-fit-shape-to-text:t;">
                  <w:txbxContent>
                    <w:p w14:paraId="07FFE461">
                      <w:pPr>
                        <w:jc w:val="center"/>
                        <w:rPr>
                          <w:sz w:val="72"/>
                          <w:szCs w:val="72"/>
                        </w:rPr>
                      </w:pPr>
                      <w:r>
                        <w:rPr>
                          <w:rFonts w:eastAsia="楷体_GB2312"/>
                          <w:b/>
                          <w:spacing w:val="80"/>
                          <w:w w:val="90"/>
                          <w:sz w:val="72"/>
                          <w:szCs w:val="72"/>
                        </w:rPr>
                        <w:t>毕业设计</w:t>
                      </w:r>
                      <w:r>
                        <w:rPr>
                          <w:rFonts w:eastAsia="楷体_GB2312"/>
                          <w:b/>
                          <w:spacing w:val="40"/>
                          <w:w w:val="90"/>
                          <w:sz w:val="72"/>
                          <w:szCs w:val="72"/>
                        </w:rPr>
                        <w:t>（论文）</w:t>
                      </w:r>
                      <w:r>
                        <w:rPr>
                          <w:rFonts w:hint="eastAsia" w:eastAsia="楷体_GB2312"/>
                          <w:b/>
                          <w:spacing w:val="40"/>
                          <w:w w:val="90"/>
                          <w:sz w:val="72"/>
                          <w:szCs w:val="72"/>
                        </w:rPr>
                        <w:t>附录</w:t>
                      </w:r>
                    </w:p>
                  </w:txbxContent>
                </v:textbox>
                <w10:wrap type="square"/>
              </v:shape>
            </w:pict>
          </mc:Fallback>
        </mc:AlternateContent>
      </w:r>
    </w:p>
    <w:p w14:paraId="60CB4539"/>
    <w:p w14:paraId="712B7E9C">
      <w:pPr>
        <w:jc w:val="center"/>
        <w:rPr>
          <w:b/>
          <w:sz w:val="32"/>
          <w:szCs w:val="32"/>
        </w:rPr>
      </w:pPr>
      <w:bookmarkStart w:id="0" w:name="_Toc4307"/>
      <w:r>
        <w:rPr>
          <w:b/>
          <w:sz w:val="32"/>
          <w:szCs w:val="32"/>
        </w:rPr>
        <w:t>目  录</w:t>
      </w:r>
      <w:bookmarkEnd w:id="0"/>
    </w:p>
    <w:p w14:paraId="2CA51DE2">
      <w:pPr>
        <w:spacing w:line="360" w:lineRule="auto"/>
        <w:jc w:val="center"/>
        <w:rPr>
          <w:b/>
          <w:sz w:val="32"/>
          <w:szCs w:val="32"/>
        </w:rPr>
      </w:pPr>
    </w:p>
    <w:p w14:paraId="557840A4">
      <w:pPr>
        <w:spacing w:line="360" w:lineRule="auto"/>
        <w:ind w:firstLine="482" w:firstLineChars="200"/>
        <w:rPr>
          <w:sz w:val="24"/>
          <w:szCs w:val="24"/>
        </w:rPr>
      </w:pPr>
      <w:bookmarkStart w:id="1" w:name="_Toc31127"/>
      <w:r>
        <w:rPr>
          <w:b/>
          <w:bCs/>
          <w:sz w:val="24"/>
          <w:szCs w:val="24"/>
        </w:rPr>
        <w:t>附件1：开题报告………………………………………………共 5页</w:t>
      </w:r>
      <w:r>
        <w:rPr>
          <w:rFonts w:hint="eastAsia"/>
          <w:sz w:val="24"/>
          <w:szCs w:val="24"/>
        </w:rPr>
      </w:r>
      <w:r>
        <w:rPr>
          <w:sz w:val="24"/>
          <w:szCs w:val="24"/>
        </w:rPr>
      </w:r>
      <w:r>
        <w:rPr>
          <w:rFonts w:hint="eastAsia"/>
          <w:sz w:val="24"/>
          <w:szCs w:val="24"/>
        </w:rPr>
      </w:r>
      <w:r>
        <w:rPr>
          <w:rFonts w:hint="eastAsia"/>
          <w:sz w:val="24"/>
          <w:szCs w:val="24"/>
          <w:lang w:val="en-US" w:eastAsia="zh-CN"/>
        </w:rPr>
      </w:r>
      <w:r>
        <w:rPr>
          <w:sz w:val="24"/>
          <w:szCs w:val="24"/>
        </w:rPr>
      </w:r>
      <w:bookmarkEnd w:id="1"/>
    </w:p>
    <w:p w14:paraId="0154AFBE">
      <w:pPr>
        <w:spacing w:line="360" w:lineRule="auto"/>
        <w:ind w:firstLine="482" w:firstLineChars="200"/>
        <w:rPr>
          <w:sz w:val="24"/>
          <w:szCs w:val="24"/>
        </w:rPr>
      </w:pPr>
      <w:bookmarkStart w:id="2" w:name="_Toc26080"/>
      <w:r>
        <w:rPr>
          <w:b/>
          <w:bCs/>
          <w:sz w:val="24"/>
          <w:szCs w:val="24"/>
        </w:rPr>
        <w:t>附件2：主要源代码……………………………………………共66页</w:t>
      </w:r>
      <w:r>
        <w:rPr>
          <w:rFonts w:hint="eastAsia"/>
          <w:sz w:val="24"/>
          <w:szCs w:val="24"/>
        </w:rPr>
      </w:r>
      <w:r>
        <w:rPr>
          <w:sz w:val="24"/>
          <w:szCs w:val="24"/>
        </w:rPr>
      </w:r>
      <w:r>
        <w:rPr>
          <w:rFonts w:hint="eastAsia"/>
          <w:sz w:val="24"/>
          <w:szCs w:val="24"/>
          <w:lang w:val="en-US" w:eastAsia="zh-CN"/>
        </w:rPr>
      </w:r>
      <w:r>
        <w:rPr>
          <w:sz w:val="24"/>
          <w:szCs w:val="24"/>
        </w:rPr>
      </w:r>
      <w:bookmarkEnd w:id="2"/>
    </w:p>
    <w:p w14:paraId="28E6CF89">
      <w:pPr>
        <w:spacing w:line="360" w:lineRule="auto"/>
        <w:ind w:firstLine="482" w:firstLineChars="200"/>
        <w:rPr>
          <w:sz w:val="24"/>
          <w:szCs w:val="24"/>
        </w:rPr>
      </w:pPr>
      <w:bookmarkStart w:id="3" w:name="_Toc30771"/>
      <w:r>
        <w:rPr>
          <w:b/>
          <w:bCs/>
          <w:sz w:val="24"/>
          <w:szCs w:val="24"/>
        </w:rPr>
        <w:t>附件3：外文文献译文…………………………………………共13页</w:t>
      </w:r>
      <w:r>
        <w:rPr>
          <w:rFonts w:hint="eastAsia"/>
          <w:sz w:val="24"/>
          <w:szCs w:val="24"/>
        </w:rPr>
      </w:r>
      <w:r>
        <w:rPr>
          <w:sz w:val="24"/>
          <w:szCs w:val="24"/>
        </w:rPr>
      </w:r>
      <w:r>
        <w:rPr>
          <w:rFonts w:hint="eastAsia"/>
          <w:sz w:val="24"/>
          <w:szCs w:val="24"/>
          <w:lang w:val="en-US" w:eastAsia="zh-CN"/>
        </w:rPr>
      </w:r>
      <w:r>
        <w:rPr>
          <w:sz w:val="24"/>
          <w:szCs w:val="24"/>
        </w:rPr>
      </w:r>
      <w:bookmarkEnd w:id="3"/>
    </w:p>
    <w:p w14:paraId="39B4877F">
      <w:pPr>
        <w:spacing w:line="360" w:lineRule="auto"/>
        <w:ind w:firstLine="482" w:firstLineChars="200"/>
      </w:pPr>
      <w:bookmarkStart w:id="4" w:name="_Toc6880"/>
      <w:r>
        <w:rPr>
          <w:b/>
          <w:bCs/>
          <w:sz w:val="24"/>
          <w:szCs w:val="24"/>
        </w:rPr>
        <w:t>附件4：外文文献原文…………………………………………共35页</w:t>
      </w:r>
      <w:r>
        <w:rPr>
          <w:rFonts w:hint="eastAsia"/>
          <w:sz w:val="24"/>
          <w:szCs w:val="24"/>
        </w:rPr>
      </w:r>
      <w:r>
        <w:rPr>
          <w:sz w:val="24"/>
          <w:szCs w:val="24"/>
        </w:rPr>
      </w:r>
      <w:r>
        <w:rPr>
          <w:rFonts w:hint="eastAsia"/>
          <w:sz w:val="24"/>
          <w:szCs w:val="24"/>
          <w:lang w:val="en-US" w:eastAsia="zh-CN"/>
        </w:rPr>
      </w:r>
      <w:r>
        <w:rPr>
          <w:sz w:val="24"/>
          <w:szCs w:val="24"/>
        </w:rPr>
      </w:r>
      <w:bookmarkEnd w:id="4"/>
    </w:p>
    <w:p w14:paraId="024F40AF">
      <w:bookmarkStart w:id="10" w:name="_GoBack"/>
      <w:bookmarkEnd w:id="10"/>
    </w:p>
    <w:p w14:paraId="35711D51">
      <w:pPr>
        <w:sectPr>
          <w:headerReference r:id="rId10" w:type="default"/>
          <w:footerReference r:id="rId11" w:type="default"/>
          <w:pgSz w:w="11907" w:h="16840"/>
          <w:pgMar w:top="1134" w:right="1134" w:bottom="1134" w:left="1701" w:header="851" w:footer="992" w:gutter="0"/>
          <w:pgNumType w:fmt="upperRoman" w:start="1"/>
          <w:cols w:space="720" w:num="1"/>
          <w:docGrid w:linePitch="326" w:charSpace="0"/>
        </w:sectPr>
      </w:pPr>
    </w:p>
    <w:p w14:paraId="4F7E788E">
      <w:pPr>
        <w:pStyle w:val="13"/>
        <w:pageBreakBefore/>
      </w:pPr>
      <w:bookmarkStart w:id="5" w:name="_Toc22563"/>
      <w:r>
        <w:rPr>
          <w:rFonts w:hint="eastAsia"/>
        </w:rPr>
        <w:t>附件1：开题报告</w:t>
      </w:r>
      <w:bookmarkEnd w:id="5"/>
    </w:p>
    <w:p w14:paraId="2D8878D1" w14:textId="77777777" w:rsidR="00351C93" w:rsidRDefault="00351C93"/>
    <w:p w14:paraId="678FB53A" w14:textId="6D476707" w:rsidR="00351C93" w:rsidRDefault="00403FDF">
      <w:pPr>
        <w:pStyle w:val="aa"/>
        <w:snapToGrid w:val="0"/>
        <w:spacing w:line="300" w:lineRule="auto"/>
        <w:ind w:left="1701" w:hanging="1985"/>
        <w:jc w:val="center"/>
      </w:pPr>
      <w:r>
        <w:rPr>
          <w:b/>
          <w:sz w:val="32"/>
        </w:rPr>
        <w:t>基于自进化LLM的期货市场多智能</w:t>
      </w:r>
      <w:proofErr w:type="gramStart"/>
      <w:r>
        <w:rPr>
          <w:b/>
          <w:sz w:val="32"/>
        </w:rPr>
        <w:t>体决策</w:t>
      </w:r>
      <w:proofErr w:type="gramEnd"/>
      <w:r>
        <w:rPr>
          <w:b/>
          <w:sz w:val="32"/>
        </w:rPr>
        <w:t>模拟系统</w:t>
      </w:r>
    </w:p>
    <w:p w14:paraId="0F2860F8" w14:textId="77777777" w:rsidR="00351C93" w:rsidRDefault="00351C93"/>
    <w:p w14:paraId="1B1CB6FA" w14:textId="77777777" w:rsidR="00351C93" w:rsidRDefault="00351C93">
      <w:pPr>
        <w:jc w:val="center"/>
      </w:pPr>
      <w:r>
        <w:rPr>
          <w:rFonts w:ascii="楷体_GB2312" w:eastAsia="楷体_GB2312" w:hint="eastAsia"/>
          <w:sz w:val="52"/>
        </w:rPr>
        <w:t>开题报告</w:t>
      </w:r>
    </w:p>
    <w:p w14:paraId="3706C86C" w14:textId="77777777" w:rsidR="00351C93" w:rsidRPr="00457E4E" w:rsidRDefault="00351C93">
      <w:pPr>
        <w:pStyle w:val="aa"/>
        <w:snapToGrid w:val="0"/>
        <w:spacing w:line="300" w:lineRule="auto"/>
        <w:rPr>
          <w:b/>
        </w:rPr>
      </w:pPr>
    </w:p>
    <w:p w14:paraId="081918EB" w14:textId="59704654" w:rsidR="00DA59E6" w:rsidRDefault="00351C93" w:rsidP="00B43B0A">
      <w:pPr>
        <w:pStyle w:val="aa"/>
        <w:snapToGrid w:val="0"/>
        <w:spacing w:line="300" w:lineRule="auto"/>
      </w:pPr>
      <w:r>
        <w:rPr>
          <w:rFonts w:hint="eastAsia"/>
          <w:b/>
        </w:rPr>
        <w:t>一、</w:t>
      </w:r>
      <w:r>
        <w:rPr>
          <w:rFonts w:hint="eastAsia"/>
          <w:b/>
          <w:sz w:val="24"/>
        </w:rPr>
        <w:t>综述</w:t>
      </w:r>
    </w:p>
    <w:p w14:paraId="7282C22B" w14:textId="068825CA" w:rsidR="004240C3" w:rsidRPr="004240C3" w:rsidRDefault="00B43B0A" w:rsidP="004240C3">
      <w:pPr>
        <w:pStyle w:val="aa"/>
        <w:snapToGrid w:val="0"/>
        <w:spacing w:line="300" w:lineRule="auto"/>
        <w:ind w:firstLine="440"/>
        <w:rPr>
          <w:b/>
          <w:bCs/>
        </w:rPr>
      </w:pPr>
      <w:r w:rsidRPr="00B43B0A">
        <w:rPr>
          <w:b/>
          <w:bCs/>
        </w:rPr>
        <w:t>1.1. 研究背景及意义</w:t>
      </w:r>
    </w:p>
    <w:p w14:paraId="480CE466" w14:textId="43F66D11" w:rsidR="004240C3" w:rsidRDefault="004240C3" w:rsidP="00A875AA">
      <w:pPr>
        <w:pStyle w:val="aa"/>
        <w:snapToGrid w:val="0"/>
        <w:spacing w:line="300" w:lineRule="auto"/>
        <w:ind w:firstLine="440"/>
      </w:pPr>
      <w:r>
        <w:rPr>
          <w:rFonts w:hint="eastAsia"/>
        </w:rPr>
        <w:t>近年来，大语言模型（LLM）技术的快速发展为构建智能决策系统提供了新的可能性。在金融交易领域，市场参与者需要根据实时信息（如新闻、价格变动）快速做出买卖决策，并随着市场环境变化不断调整自己的交易策略。传统的量化交易模型多基于历史数据和固定规则，难以灵活应对突发事件和市场情绪的转变。而基于LLM的智能体具有强大的语言理解能力，能够“阅读”新闻、理解市场动态，并像人类交易员一样做出决策，这为模拟真实交易行为提供了新的技术路径。</w:t>
      </w:r>
    </w:p>
    <w:p w14:paraId="1097776C" w14:textId="31A2EFB4" w:rsidR="00481FC9" w:rsidRPr="00B43B0A" w:rsidRDefault="004240C3" w:rsidP="004240C3">
      <w:pPr>
        <w:pStyle w:val="aa"/>
        <w:snapToGrid w:val="0"/>
        <w:spacing w:line="300" w:lineRule="auto"/>
        <w:ind w:firstLine="440"/>
      </w:pPr>
      <w:r>
        <w:rPr>
          <w:rFonts w:hint="eastAsia"/>
        </w:rPr>
        <w:t>本课题旨在构建一个简化的期货市场多智能体模拟系统，其核心思想非常直观：每个智能体就像一名真实的交易员，它们通过“阅读”每回合生成的新闻和市场报价，决定买入或卖出大豆、原油、黄金这三个品种的期货。智能</w:t>
      </w:r>
      <w:proofErr w:type="gramStart"/>
      <w:r>
        <w:rPr>
          <w:rFonts w:hint="eastAsia"/>
        </w:rPr>
        <w:t>体具备</w:t>
      </w:r>
      <w:proofErr w:type="gramEnd"/>
      <w:r>
        <w:rPr>
          <w:rFonts w:hint="eastAsia"/>
        </w:rPr>
        <w:t>简单的记忆能力，能够记录自己的历史交易过程。更重要的是，每局交易结束后，智能体会回顾本局的表现，从成功和失败的交易中总结经验教训——哪些操作带来了盈利，哪些导致了亏损，并将这些经验融入到后续交易的策略中。这种“总结经验、改进策略”的过程，就是本课题所定义的“自进化”。</w:t>
      </w:r>
    </w:p>
    <w:p w14:paraId="168842D7" w14:textId="738B10BE" w:rsidR="00B43B0A" w:rsidRPr="00481FC9" w:rsidRDefault="00B43B0A" w:rsidP="00481FC9">
      <w:pPr>
        <w:pStyle w:val="aa"/>
        <w:snapToGrid w:val="0"/>
        <w:spacing w:line="300" w:lineRule="auto"/>
        <w:ind w:firstLine="440"/>
        <w:rPr>
          <w:b/>
          <w:bCs/>
        </w:rPr>
      </w:pPr>
      <w:r w:rsidRPr="00B43B0A">
        <w:rPr>
          <w:b/>
          <w:bCs/>
        </w:rPr>
        <w:t>1.2. 研究现状及成果</w:t>
      </w:r>
    </w:p>
    <w:p w14:paraId="2F46F2E3" w14:textId="77777777" w:rsidR="00B5490F" w:rsidRPr="00B5490F" w:rsidRDefault="00B5490F" w:rsidP="00B5490F">
      <w:pPr>
        <w:pStyle w:val="aa"/>
        <w:snapToGrid w:val="0"/>
        <w:spacing w:line="300" w:lineRule="auto"/>
        <w:ind w:firstLine="440"/>
        <w:rPr>
          <w:b/>
          <w:bCs/>
        </w:rPr>
      </w:pPr>
      <w:r w:rsidRPr="00B5490F">
        <w:rPr>
          <w:b/>
          <w:bCs/>
        </w:rPr>
        <w:t>1.2.1 国外研究现状</w:t>
      </w:r>
    </w:p>
    <w:p w14:paraId="5C5DDA1F" w14:textId="77777777" w:rsidR="00BE7CEC" w:rsidRPr="00BE7CEC" w:rsidRDefault="00BE7CEC" w:rsidP="00BE7CEC">
      <w:pPr>
        <w:pStyle w:val="aa"/>
        <w:snapToGrid w:val="0"/>
        <w:spacing w:line="300" w:lineRule="auto"/>
        <w:ind w:firstLine="440"/>
      </w:pPr>
      <w:r w:rsidRPr="00BE7CEC">
        <w:t>近年来，国外学者在大语言模型多智能</w:t>
      </w:r>
      <w:proofErr w:type="gramStart"/>
      <w:r w:rsidRPr="00BE7CEC">
        <w:t>体系统</w:t>
      </w:r>
      <w:proofErr w:type="gramEnd"/>
      <w:r w:rsidRPr="00BE7CEC">
        <w:t>领域取得了显著进展。在金融交易方面，Yu等人[2]提出了FINMEM模型，通过分层记忆与性格设计增强了LLM交易智能体的绩效表现。Papadakis等人[1]开发的ATLAS系统引入动态提示优化与多智能体协调机制，提升了交易决策的适应性。Li等人[7]设计的</w:t>
      </w:r>
      <w:proofErr w:type="spellStart"/>
      <w:r w:rsidRPr="00BE7CEC">
        <w:t>HedgeAgents</w:t>
      </w:r>
      <w:proofErr w:type="spellEnd"/>
      <w:r w:rsidRPr="00BE7CEC">
        <w:t>实现了多智能体均衡感知的交易系统，有效平衡了风险与收益。在谈判与战略规划方面，Shi等人[3]提出了DMNA模型，专注于谈判智能体的策略规划与表达优化，增强了智能体在复杂</w:t>
      </w:r>
      <w:proofErr w:type="gramStart"/>
      <w:r w:rsidRPr="00BE7CEC">
        <w:t>交互中</w:t>
      </w:r>
      <w:proofErr w:type="gramEnd"/>
      <w:r w:rsidRPr="00BE7CEC">
        <w:t>的协商能力。Light等人[4]开发的LLM-Strategist通过双层树搜索使智能体能够学习战略技能，提升决策水平。</w:t>
      </w:r>
    </w:p>
    <w:p w14:paraId="286DA16E" w14:textId="77777777" w:rsidR="00B5490F" w:rsidRPr="00B5490F" w:rsidRDefault="00B5490F" w:rsidP="00B5490F">
      <w:pPr>
        <w:pStyle w:val="aa"/>
        <w:snapToGrid w:val="0"/>
        <w:spacing w:line="300" w:lineRule="auto"/>
        <w:ind w:firstLine="440"/>
        <w:rPr>
          <w:b/>
          <w:bCs/>
        </w:rPr>
      </w:pPr>
      <w:r w:rsidRPr="00B5490F">
        <w:rPr>
          <w:b/>
          <w:bCs/>
        </w:rPr>
        <w:t>1.2.2 国内研究现状</w:t>
      </w:r>
    </w:p>
    <w:p w14:paraId="66791227" w14:textId="4EDD58BD" w:rsidR="00BE7CEC" w:rsidRPr="00B5490F" w:rsidRDefault="00BE7CEC" w:rsidP="00081333">
      <w:pPr>
        <w:pStyle w:val="aa"/>
        <w:snapToGrid w:val="0"/>
        <w:spacing w:line="300" w:lineRule="auto"/>
        <w:ind w:firstLine="440"/>
      </w:pPr>
      <w:r w:rsidRPr="00BE7CEC">
        <w:t>国内研究同样表现突出，尤其是在外交博弈等复杂多智能体场景中。Guan等人[5]提出的Richelieu模型，基于自我博弈与反思机制，在不依赖人类数据的情况下实现了与人类专家级智能体Cicero相当的水平，充分展示了自进化机制在多智能体协作中的巨大潜力。该研究为将自进化思想引入期货市场多智能</w:t>
      </w:r>
      <w:proofErr w:type="gramStart"/>
      <w:r w:rsidRPr="00BE7CEC">
        <w:t>体系统</w:t>
      </w:r>
      <w:proofErr w:type="gramEnd"/>
      <w:r w:rsidRPr="00BE7CEC">
        <w:t>提供了重要借鉴。</w:t>
      </w:r>
    </w:p>
    <w:p w14:paraId="70E42F08" w14:textId="77777777" w:rsidR="00351C93" w:rsidRDefault="00351C93">
      <w:pPr>
        <w:pStyle w:val="aa"/>
        <w:snapToGrid w:val="0"/>
        <w:spacing w:line="300" w:lineRule="auto"/>
      </w:pPr>
      <w:r>
        <w:rPr>
          <w:rFonts w:hint="eastAsia"/>
          <w:b/>
          <w:sz w:val="24"/>
        </w:rPr>
        <w:t>二、研究内容</w:t>
      </w:r>
    </w:p>
    <w:p w14:paraId="71F3E27B" w14:textId="07427650" w:rsidR="00481FC9" w:rsidRPr="00481FC9" w:rsidRDefault="004C29AD" w:rsidP="002D5979">
      <w:pPr>
        <w:pStyle w:val="aa"/>
        <w:snapToGrid w:val="0"/>
        <w:spacing w:line="300" w:lineRule="auto"/>
        <w:ind w:firstLine="420"/>
        <w:rPr>
          <w:b/>
          <w:bCs/>
        </w:rPr>
      </w:pPr>
      <w:r w:rsidRPr="004C29AD">
        <w:rPr>
          <w:b/>
          <w:bCs/>
        </w:rPr>
        <w:t xml:space="preserve">2.1. </w:t>
      </w:r>
      <w:r w:rsidR="00481FC9">
        <w:rPr>
          <w:rFonts w:hint="eastAsia"/>
          <w:b/>
          <w:bCs/>
        </w:rPr>
        <w:t>研究方向</w:t>
      </w:r>
    </w:p>
    <w:p w14:paraId="02C543CC" w14:textId="509DE31E" w:rsidR="00B6295E" w:rsidRDefault="00481FC9" w:rsidP="00B6295E">
      <w:pPr>
        <w:pStyle w:val="aa"/>
        <w:snapToGrid w:val="0"/>
        <w:spacing w:line="300" w:lineRule="auto"/>
        <w:ind w:firstLine="420"/>
      </w:pPr>
      <w:r w:rsidRPr="00481FC9">
        <w:t>本课题围绕</w:t>
      </w:r>
      <w:r w:rsidRPr="00481FC9">
        <w:t>“</w:t>
      </w:r>
      <w:r w:rsidRPr="00481FC9">
        <w:t>自进化大语言模型</w:t>
      </w:r>
      <w:r w:rsidRPr="00481FC9">
        <w:t>”</w:t>
      </w:r>
      <w:r w:rsidRPr="00481FC9">
        <w:t>与</w:t>
      </w:r>
      <w:r w:rsidRPr="00481FC9">
        <w:t>“</w:t>
      </w:r>
      <w:r w:rsidRPr="00481FC9">
        <w:t>多智能体决策</w:t>
      </w:r>
      <w:r w:rsidRPr="00481FC9">
        <w:t>”</w:t>
      </w:r>
      <w:r w:rsidRPr="00481FC9">
        <w:t>两个核心，研究在期货市场模拟环境中，多个具有不同交易风格的LLM智能体如何通过自我反思实现策略进化。重点探索以下方向：</w:t>
      </w:r>
    </w:p>
    <w:p w14:paraId="0C9595CD" w14:textId="61A07F3C" w:rsidR="00B6295E" w:rsidRDefault="00481FC9" w:rsidP="00B6295E">
      <w:pPr>
        <w:pStyle w:val="aa"/>
        <w:numPr>
          <w:ilvl w:val="0"/>
          <w:numId w:val="22"/>
        </w:numPr>
        <w:snapToGrid w:val="0"/>
        <w:spacing w:line="300" w:lineRule="auto"/>
      </w:pPr>
      <w:r w:rsidRPr="00481FC9">
        <w:t>基于LLM的市场环境模拟：生成连贯的价格序列和新闻事件。</w:t>
      </w:r>
    </w:p>
    <w:p w14:paraId="30177EB3" w14:textId="77777777" w:rsidR="00B6295E" w:rsidRDefault="00481FC9" w:rsidP="00B6295E">
      <w:pPr>
        <w:pStyle w:val="aa"/>
        <w:numPr>
          <w:ilvl w:val="0"/>
          <w:numId w:val="22"/>
        </w:numPr>
        <w:snapToGrid w:val="0"/>
        <w:spacing w:line="300" w:lineRule="auto"/>
      </w:pPr>
      <w:r w:rsidRPr="00481FC9">
        <w:t>交易决策与风险控制：在简化规则下做出买卖决策，并引入破产淘汰机制。</w:t>
      </w:r>
    </w:p>
    <w:p w14:paraId="6664E6AB" w14:textId="7FEF4289" w:rsidR="00B6295E" w:rsidRDefault="00481FC9" w:rsidP="00B6295E">
      <w:pPr>
        <w:pStyle w:val="aa"/>
        <w:numPr>
          <w:ilvl w:val="0"/>
          <w:numId w:val="22"/>
        </w:numPr>
        <w:snapToGrid w:val="0"/>
        <w:spacing w:line="300" w:lineRule="auto"/>
      </w:pPr>
      <w:r w:rsidRPr="00481FC9">
        <w:lastRenderedPageBreak/>
        <w:t>自我反思与策略进化：</w:t>
      </w:r>
      <w:r w:rsidR="00324D74" w:rsidRPr="00324D74">
        <w:rPr>
          <w:rFonts w:hint="eastAsia"/>
        </w:rPr>
        <w:t>每局结束后，智能体根据本局交易统计（买卖记录、盈亏等）总结经验教训，生成新的策略指令，实现简单的自进化。</w:t>
      </w:r>
    </w:p>
    <w:p w14:paraId="0F3CB963" w14:textId="77777777" w:rsidR="00B6295E" w:rsidRDefault="00481FC9" w:rsidP="00B6295E">
      <w:pPr>
        <w:pStyle w:val="aa"/>
        <w:numPr>
          <w:ilvl w:val="0"/>
          <w:numId w:val="22"/>
        </w:numPr>
        <w:snapToGrid w:val="0"/>
        <w:spacing w:line="300" w:lineRule="auto"/>
      </w:pPr>
      <w:r w:rsidRPr="00481FC9">
        <w:t>进化有效性验证：通过静态基线组（无反思）对比，量化</w:t>
      </w:r>
      <w:proofErr w:type="gramStart"/>
      <w:r w:rsidRPr="00481FC9">
        <w:t>分析自进化</w:t>
      </w:r>
      <w:proofErr w:type="gramEnd"/>
      <w:r w:rsidRPr="00481FC9">
        <w:t>的优势。</w:t>
      </w:r>
    </w:p>
    <w:p w14:paraId="135035C3" w14:textId="072B4299" w:rsidR="00B6295E" w:rsidRDefault="004C29AD" w:rsidP="00B6295E">
      <w:pPr>
        <w:pStyle w:val="aa"/>
        <w:snapToGrid w:val="0"/>
        <w:spacing w:line="300" w:lineRule="auto"/>
        <w:ind w:left="420"/>
        <w:rPr>
          <w:b/>
          <w:bCs/>
        </w:rPr>
      </w:pPr>
      <w:r w:rsidRPr="00B6295E">
        <w:rPr>
          <w:b/>
          <w:bCs/>
        </w:rPr>
        <w:t xml:space="preserve">2.2. </w:t>
      </w:r>
      <w:r w:rsidR="002D5979" w:rsidRPr="00B6295E">
        <w:rPr>
          <w:rFonts w:hint="eastAsia"/>
          <w:b/>
          <w:bCs/>
        </w:rPr>
        <w:t>研究内容</w:t>
      </w:r>
    </w:p>
    <w:p w14:paraId="3A8ADC4E" w14:textId="77777777" w:rsidR="00B6295E" w:rsidRDefault="00B6295E" w:rsidP="00B6295E">
      <w:pPr>
        <w:pStyle w:val="aa"/>
        <w:snapToGrid w:val="0"/>
        <w:spacing w:line="300" w:lineRule="auto"/>
        <w:ind w:left="420"/>
      </w:pPr>
      <w:r>
        <w:rPr>
          <w:rFonts w:hint="eastAsia"/>
        </w:rPr>
        <w:t>（1）</w:t>
      </w:r>
      <w:r>
        <w:rPr>
          <w:rFonts w:hint="eastAsia"/>
        </w:rPr>
        <w:tab/>
        <w:t>系统架构设计：采用B/S架构，后端Python Flask，前端HTML/CSS/JavaScript，数据库MySQL，通过</w:t>
      </w:r>
      <w:proofErr w:type="spellStart"/>
      <w:r>
        <w:rPr>
          <w:rFonts w:hint="eastAsia"/>
        </w:rPr>
        <w:t>DeepSeek</w:t>
      </w:r>
      <w:proofErr w:type="spellEnd"/>
      <w:r>
        <w:rPr>
          <w:rFonts w:hint="eastAsia"/>
        </w:rPr>
        <w:t xml:space="preserve"> API调用LLM。</w:t>
      </w:r>
    </w:p>
    <w:p w14:paraId="7C32635D" w14:textId="044CC76B" w:rsidR="00B6295E" w:rsidRDefault="00B6295E" w:rsidP="00B6295E">
      <w:pPr>
        <w:pStyle w:val="aa"/>
        <w:snapToGrid w:val="0"/>
        <w:spacing w:line="300" w:lineRule="auto"/>
        <w:ind w:left="420"/>
      </w:pPr>
      <w:r>
        <w:rPr>
          <w:rFonts w:hint="eastAsia"/>
        </w:rPr>
        <w:t>（2）</w:t>
      </w:r>
      <w:r>
        <w:rPr>
          <w:rFonts w:hint="eastAsia"/>
        </w:rPr>
        <w:tab/>
        <w:t>智能体建模：设计</w:t>
      </w:r>
      <w:r w:rsidR="00324D74">
        <w:t>4</w:t>
      </w:r>
      <w:r>
        <w:rPr>
          <w:rFonts w:hint="eastAsia"/>
        </w:rPr>
        <w:t>个具有不同初始资金和交易风格的智能体，</w:t>
      </w:r>
      <w:r w:rsidR="00324D74" w:rsidRPr="00324D74">
        <w:rPr>
          <w:rFonts w:hint="eastAsia"/>
        </w:rPr>
        <w:t>每个智能体包含记忆模块（存储历史交易记录）和决策模块（基于市场信息和当前策略生成买卖动作）。</w:t>
      </w:r>
    </w:p>
    <w:p w14:paraId="341AEE7B" w14:textId="77777777" w:rsidR="00B6295E" w:rsidRDefault="00B6295E" w:rsidP="00B6295E">
      <w:pPr>
        <w:pStyle w:val="aa"/>
        <w:snapToGrid w:val="0"/>
        <w:spacing w:line="300" w:lineRule="auto"/>
        <w:ind w:left="420"/>
      </w:pPr>
      <w:r>
        <w:rPr>
          <w:rFonts w:hint="eastAsia"/>
        </w:rPr>
        <w:t>（3）</w:t>
      </w:r>
      <w:r>
        <w:rPr>
          <w:rFonts w:hint="eastAsia"/>
        </w:rPr>
        <w:tab/>
        <w:t>游戏流程设计：</w:t>
      </w:r>
    </w:p>
    <w:p w14:paraId="083BBCBA" w14:textId="4EC8F123" w:rsidR="00B6295E" w:rsidRDefault="00B6295E" w:rsidP="00324D74">
      <w:pPr>
        <w:pStyle w:val="aa"/>
        <w:snapToGrid w:val="0"/>
        <w:spacing w:line="300" w:lineRule="auto"/>
        <w:ind w:left="420"/>
      </w:pPr>
      <w:r>
        <w:rPr>
          <w:rFonts w:hint="eastAsia"/>
        </w:rPr>
        <w:t xml:space="preserve">每回合：市场LLM生成新闻和价格 → </w:t>
      </w:r>
      <w:r w:rsidR="00324D74" w:rsidRPr="00324D74">
        <w:t>每个智能体根据市场信息和自身策略生成买卖动作</w:t>
      </w:r>
      <w:r>
        <w:rPr>
          <w:rFonts w:hint="eastAsia"/>
        </w:rPr>
        <w:t xml:space="preserve"> → 交易执行 → 淘汰检测。</w:t>
      </w:r>
    </w:p>
    <w:p w14:paraId="76C3EF74" w14:textId="324BF1E3" w:rsidR="00B6295E" w:rsidRDefault="00B6295E" w:rsidP="00B6295E">
      <w:pPr>
        <w:pStyle w:val="aa"/>
        <w:snapToGrid w:val="0"/>
        <w:spacing w:line="300" w:lineRule="auto"/>
        <w:ind w:left="420"/>
      </w:pPr>
      <w:r>
        <w:rPr>
          <w:rFonts w:hint="eastAsia"/>
        </w:rPr>
        <w:t>每局结束后：</w:t>
      </w:r>
      <w:r w:rsidR="00324D74" w:rsidRPr="00324D74">
        <w:t>智能体调用反思LLM，基于本局交易统计（如各品种买卖次数、盈亏）生成新策略指令（例如</w:t>
      </w:r>
      <w:r w:rsidR="00324D74" w:rsidRPr="00324D74">
        <w:t>“</w:t>
      </w:r>
      <w:r w:rsidR="00324D74" w:rsidRPr="00324D74">
        <w:t>以后只在原油价格低于</w:t>
      </w:r>
      <w:r w:rsidR="00324D74">
        <w:t>90</w:t>
      </w:r>
      <w:r w:rsidR="00324D74" w:rsidRPr="00324D74">
        <w:t>时买入</w:t>
      </w:r>
      <w:r w:rsidR="00324D74" w:rsidRPr="00324D74">
        <w:t>”</w:t>
      </w:r>
      <w:r w:rsidR="00324D74" w:rsidRPr="00324D74">
        <w:t>），实现策略进化。</w:t>
      </w:r>
    </w:p>
    <w:p w14:paraId="55C624B5" w14:textId="26B49637" w:rsidR="00B6295E" w:rsidRDefault="00B6295E" w:rsidP="00B6295E">
      <w:pPr>
        <w:pStyle w:val="aa"/>
        <w:snapToGrid w:val="0"/>
        <w:spacing w:line="300" w:lineRule="auto"/>
        <w:ind w:left="420"/>
      </w:pPr>
      <w:r>
        <w:rPr>
          <w:rFonts w:hint="eastAsia"/>
        </w:rPr>
        <w:t>（</w:t>
      </w:r>
      <w:r w:rsidR="00324D74">
        <w:t>4</w:t>
      </w:r>
      <w:r>
        <w:rPr>
          <w:rFonts w:hint="eastAsia"/>
        </w:rPr>
        <w:t>）</w:t>
      </w:r>
      <w:r>
        <w:rPr>
          <w:rFonts w:hint="eastAsia"/>
        </w:rPr>
        <w:tab/>
        <w:t>静态基线对比：同时运行一组无反思的智能体（使用固定初始策略），在相同市场环境下交易，用于</w:t>
      </w:r>
      <w:proofErr w:type="gramStart"/>
      <w:r>
        <w:rPr>
          <w:rFonts w:hint="eastAsia"/>
        </w:rPr>
        <w:t>验证自进化</w:t>
      </w:r>
      <w:proofErr w:type="gramEnd"/>
      <w:r>
        <w:rPr>
          <w:rFonts w:hint="eastAsia"/>
        </w:rPr>
        <w:t>的有效性。</w:t>
      </w:r>
    </w:p>
    <w:p w14:paraId="2D7B1F6D" w14:textId="4F3EA5B1" w:rsidR="00B6295E" w:rsidRDefault="00B6295E" w:rsidP="00B6295E">
      <w:pPr>
        <w:pStyle w:val="aa"/>
        <w:snapToGrid w:val="0"/>
        <w:spacing w:line="300" w:lineRule="auto"/>
        <w:ind w:left="420"/>
      </w:pPr>
      <w:r>
        <w:rPr>
          <w:rFonts w:hint="eastAsia"/>
        </w:rPr>
        <w:t>（</w:t>
      </w:r>
      <w:r w:rsidR="00324D74">
        <w:t>5</w:t>
      </w:r>
      <w:r>
        <w:rPr>
          <w:rFonts w:hint="eastAsia"/>
        </w:rPr>
        <w:t>）</w:t>
      </w:r>
      <w:r>
        <w:rPr>
          <w:rFonts w:hint="eastAsia"/>
        </w:rPr>
        <w:tab/>
        <w:t>前端可视化：</w:t>
      </w:r>
      <w:r w:rsidR="00324D74" w:rsidRPr="00324D74">
        <w:t>实时展示智能体状态（资金、持仓、策略指令）、市场数据（新闻、价格走势图）、交易动作及结果，支持用户配置和手动/自动运行。</w:t>
      </w:r>
    </w:p>
    <w:p w14:paraId="21A6A95F" w14:textId="7605E3D5" w:rsidR="00B6295E" w:rsidRDefault="00B6295E" w:rsidP="00B6295E">
      <w:pPr>
        <w:pStyle w:val="aa"/>
        <w:snapToGrid w:val="0"/>
        <w:spacing w:line="300" w:lineRule="auto"/>
        <w:ind w:left="420"/>
      </w:pPr>
      <w:r>
        <w:rPr>
          <w:rFonts w:hint="eastAsia"/>
        </w:rPr>
        <w:t>（</w:t>
      </w:r>
      <w:r w:rsidR="00324D74">
        <w:t>6</w:t>
      </w:r>
      <w:r>
        <w:rPr>
          <w:rFonts w:hint="eastAsia"/>
        </w:rPr>
        <w:t>）</w:t>
      </w:r>
      <w:r>
        <w:rPr>
          <w:rFonts w:hint="eastAsia"/>
        </w:rPr>
        <w:tab/>
        <w:t>数据存储与分析：记录所有游戏数据，支持后续导出和论文图表生成。</w:t>
      </w:r>
    </w:p>
    <w:p w14:paraId="2C3FAD7F" w14:textId="72B26386" w:rsidR="002D5979" w:rsidRDefault="002D5979" w:rsidP="00B6295E">
      <w:pPr>
        <w:pStyle w:val="aa"/>
        <w:snapToGrid w:val="0"/>
        <w:spacing w:line="300" w:lineRule="auto"/>
        <w:ind w:left="420"/>
        <w:rPr>
          <w:b/>
          <w:bCs/>
        </w:rPr>
      </w:pPr>
      <w:r w:rsidRPr="004C29AD">
        <w:rPr>
          <w:b/>
          <w:bCs/>
        </w:rPr>
        <w:t>2.</w:t>
      </w:r>
      <w:r>
        <w:rPr>
          <w:b/>
          <w:bCs/>
        </w:rPr>
        <w:t>3</w:t>
      </w:r>
      <w:r w:rsidRPr="004C29AD">
        <w:rPr>
          <w:b/>
          <w:bCs/>
        </w:rPr>
        <w:t xml:space="preserve">. </w:t>
      </w:r>
      <w:r>
        <w:rPr>
          <w:rFonts w:hint="eastAsia"/>
          <w:b/>
          <w:bCs/>
        </w:rPr>
        <w:t>系统功能</w:t>
      </w:r>
    </w:p>
    <w:p w14:paraId="20986F83" w14:textId="61B239FE" w:rsidR="00B6295E" w:rsidRDefault="00B6295E" w:rsidP="00B6295E">
      <w:pPr>
        <w:pStyle w:val="aa"/>
        <w:snapToGrid w:val="0"/>
        <w:spacing w:line="300" w:lineRule="auto"/>
        <w:ind w:left="420"/>
      </w:pPr>
      <w:r>
        <w:rPr>
          <w:rFonts w:hint="eastAsia"/>
        </w:rPr>
        <w:t>（1）</w:t>
      </w:r>
      <w:r>
        <w:rPr>
          <w:rFonts w:hint="eastAsia"/>
        </w:rPr>
        <w:tab/>
        <w:t>配置功能：用户可独立设置</w:t>
      </w:r>
      <w:r w:rsidR="00324D74">
        <w:t>4</w:t>
      </w:r>
      <w:r>
        <w:rPr>
          <w:rFonts w:hint="eastAsia"/>
        </w:rPr>
        <w:t>个智能体的初始资金和交易风格，开启或关闭静态基线组，设定总局数和每局回合数。</w:t>
      </w:r>
    </w:p>
    <w:p w14:paraId="12FAB974" w14:textId="77777777" w:rsidR="00B6295E" w:rsidRDefault="00B6295E" w:rsidP="00B6295E">
      <w:pPr>
        <w:pStyle w:val="aa"/>
        <w:snapToGrid w:val="0"/>
        <w:spacing w:line="300" w:lineRule="auto"/>
        <w:ind w:left="420"/>
      </w:pPr>
      <w:r>
        <w:rPr>
          <w:rFonts w:hint="eastAsia"/>
        </w:rPr>
        <w:t>（2）</w:t>
      </w:r>
      <w:r>
        <w:rPr>
          <w:rFonts w:hint="eastAsia"/>
        </w:rPr>
        <w:tab/>
        <w:t>模拟运行：支持手动单步执行、自动连续执行回合，以及重置游戏。</w:t>
      </w:r>
    </w:p>
    <w:p w14:paraId="37A947D8" w14:textId="77777777" w:rsidR="00B6295E" w:rsidRDefault="00B6295E" w:rsidP="00B6295E">
      <w:pPr>
        <w:pStyle w:val="aa"/>
        <w:snapToGrid w:val="0"/>
        <w:spacing w:line="300" w:lineRule="auto"/>
        <w:ind w:left="420"/>
      </w:pPr>
      <w:r>
        <w:rPr>
          <w:rFonts w:hint="eastAsia"/>
        </w:rPr>
        <w:t>（3）</w:t>
      </w:r>
      <w:r>
        <w:rPr>
          <w:rFonts w:hint="eastAsia"/>
        </w:rPr>
        <w:tab/>
        <w:t>状态展示：实时更新智能体资金、持仓、策略指令、淘汰状态；显示当前新闻、价格及走势图。</w:t>
      </w:r>
    </w:p>
    <w:p w14:paraId="743605DA" w14:textId="2C79430E" w:rsidR="00B6295E" w:rsidRDefault="00B6295E" w:rsidP="00B6295E">
      <w:pPr>
        <w:pStyle w:val="aa"/>
        <w:snapToGrid w:val="0"/>
        <w:spacing w:line="300" w:lineRule="auto"/>
        <w:ind w:left="420"/>
      </w:pPr>
      <w:r>
        <w:rPr>
          <w:rFonts w:hint="eastAsia"/>
        </w:rPr>
        <w:t>（4）</w:t>
      </w:r>
      <w:r>
        <w:rPr>
          <w:rFonts w:hint="eastAsia"/>
        </w:rPr>
        <w:tab/>
        <w:t>历史记录：</w:t>
      </w:r>
      <w:r w:rsidR="00324D74" w:rsidRPr="00324D74">
        <w:t>以列表形式展示每回合各智能体的买卖动作和结果，底部日志输出反思结果等系统信息。</w:t>
      </w:r>
    </w:p>
    <w:p w14:paraId="3B0737D8" w14:textId="07B98FB9" w:rsidR="00CD68E8" w:rsidRDefault="00B6295E" w:rsidP="00CD68E8">
      <w:pPr>
        <w:pStyle w:val="aa"/>
        <w:snapToGrid w:val="0"/>
        <w:spacing w:line="300" w:lineRule="auto"/>
        <w:ind w:left="420"/>
      </w:pPr>
      <w:r>
        <w:rPr>
          <w:rFonts w:hint="eastAsia"/>
        </w:rPr>
        <w:t>（5）</w:t>
      </w:r>
      <w:r>
        <w:rPr>
          <w:rFonts w:hint="eastAsia"/>
        </w:rPr>
        <w:tab/>
        <w:t>对比视图：当开启静态基线组时，可切换或并排查看</w:t>
      </w:r>
      <w:proofErr w:type="gramStart"/>
      <w:r>
        <w:rPr>
          <w:rFonts w:hint="eastAsia"/>
        </w:rPr>
        <w:t>进化组</w:t>
      </w:r>
      <w:proofErr w:type="gramEnd"/>
      <w:r>
        <w:rPr>
          <w:rFonts w:hint="eastAsia"/>
        </w:rPr>
        <w:t>与静态组的状态和记录。</w:t>
      </w:r>
    </w:p>
    <w:p w14:paraId="39FD046B" w14:textId="2724A9B1" w:rsidR="00CD68E8" w:rsidRDefault="00CD68E8" w:rsidP="00CD68E8">
      <w:pPr>
        <w:pStyle w:val="aa"/>
        <w:snapToGrid w:val="0"/>
        <w:spacing w:line="300" w:lineRule="auto"/>
        <w:ind w:left="420"/>
        <w:rPr>
          <w:b/>
          <w:bCs/>
        </w:rPr>
      </w:pPr>
      <w:r w:rsidRPr="004C29AD">
        <w:rPr>
          <w:b/>
          <w:bCs/>
        </w:rPr>
        <w:t>2.</w:t>
      </w:r>
      <w:r>
        <w:rPr>
          <w:b/>
          <w:bCs/>
        </w:rPr>
        <w:t>4</w:t>
      </w:r>
      <w:r w:rsidRPr="004C29AD">
        <w:rPr>
          <w:b/>
          <w:bCs/>
        </w:rPr>
        <w:t xml:space="preserve">. </w:t>
      </w:r>
      <w:r>
        <w:rPr>
          <w:rFonts w:hint="eastAsia"/>
          <w:b/>
          <w:bCs/>
        </w:rPr>
        <w:t>系统设计图</w:t>
      </w:r>
    </w:p>
    <w:p w14:paraId="74CB6560" w14:textId="33F16A78" w:rsidR="00CD68E8" w:rsidRPr="00B6295E" w:rsidRDefault="00CD68E8" w:rsidP="00CD68E8">
      <w:pPr>
        <w:pStyle w:val="aa"/>
        <w:snapToGrid w:val="0"/>
        <w:spacing w:line="300" w:lineRule="auto"/>
        <w:ind w:left="420"/>
      </w:pPr>
      <w:r>
        <w:rPr>
          <w:rFonts w:hint="eastAsia"/>
          <w:noProof/>
        </w:rPr>
        <w:lastRenderedPageBreak/>
        <w:drawing>
          <wp:inline distT="0" distB="0" distL="0" distR="0" wp14:anchorId="4F8E3A6F" wp14:editId="60F1C584">
            <wp:extent cx="5760720" cy="3141980"/>
            <wp:effectExtent l="0" t="0" r="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7"/>
                    <a:stretch>
                      <a:fillRect/>
                    </a:stretch>
                  </pic:blipFill>
                  <pic:spPr>
                    <a:xfrm>
                      <a:off x="0" y="0"/>
                      <a:ext cx="5760720" cy="3141980"/>
                    </a:xfrm>
                    <a:prstGeom prst="rect">
                      <a:avLst/>
                    </a:prstGeom>
                  </pic:spPr>
                </pic:pic>
              </a:graphicData>
            </a:graphic>
          </wp:inline>
        </w:drawing>
      </w:r>
    </w:p>
    <w:p w14:paraId="78322B62" w14:textId="77777777" w:rsidR="00351C93" w:rsidRDefault="00351C93">
      <w:pPr>
        <w:pStyle w:val="aa"/>
        <w:snapToGrid w:val="0"/>
        <w:spacing w:line="300" w:lineRule="auto"/>
      </w:pPr>
      <w:r>
        <w:rPr>
          <w:rFonts w:hint="eastAsia"/>
          <w:b/>
          <w:sz w:val="24"/>
        </w:rPr>
        <w:t>三、实现方法及预期目标</w:t>
      </w:r>
    </w:p>
    <w:p w14:paraId="4E9AC20F" w14:textId="77777777" w:rsidR="002D5979" w:rsidRPr="002D5979" w:rsidRDefault="002D5979" w:rsidP="002D5979">
      <w:pPr>
        <w:pStyle w:val="aa"/>
        <w:snapToGrid w:val="0"/>
        <w:spacing w:line="300" w:lineRule="auto"/>
        <w:ind w:firstLine="420"/>
        <w:rPr>
          <w:b/>
          <w:bCs/>
        </w:rPr>
      </w:pPr>
      <w:r w:rsidRPr="002D5979">
        <w:rPr>
          <w:b/>
          <w:bCs/>
        </w:rPr>
        <w:t>3.1 初步方案</w:t>
      </w:r>
    </w:p>
    <w:p w14:paraId="22139DB5" w14:textId="77777777" w:rsidR="002D5979" w:rsidRPr="002D5979" w:rsidRDefault="002D5979" w:rsidP="002D5979">
      <w:pPr>
        <w:pStyle w:val="aa"/>
        <w:snapToGrid w:val="0"/>
        <w:spacing w:line="300" w:lineRule="auto"/>
        <w:ind w:firstLine="420"/>
      </w:pPr>
      <w:r w:rsidRPr="002D5979">
        <w:t>系统采用分层模块化设计，主要模块包括：</w:t>
      </w:r>
    </w:p>
    <w:p w14:paraId="6595DD94" w14:textId="77777777" w:rsidR="002D5979" w:rsidRPr="002D5979" w:rsidRDefault="002D5979" w:rsidP="00C9651F">
      <w:pPr>
        <w:pStyle w:val="aa"/>
        <w:numPr>
          <w:ilvl w:val="0"/>
          <w:numId w:val="28"/>
        </w:numPr>
        <w:snapToGrid w:val="0"/>
        <w:spacing w:line="300" w:lineRule="auto"/>
      </w:pPr>
      <w:r w:rsidRPr="002D5979">
        <w:t>后端引擎：Flask应用，包含游戏控制器（</w:t>
      </w:r>
      <w:proofErr w:type="spellStart"/>
      <w:r w:rsidRPr="002D5979">
        <w:t>GameEngine</w:t>
      </w:r>
      <w:proofErr w:type="spellEnd"/>
      <w:r w:rsidRPr="002D5979">
        <w:t>）、LLM调用封装、数据库接口。</w:t>
      </w:r>
    </w:p>
    <w:p w14:paraId="416252C7" w14:textId="77777777" w:rsidR="002D5979" w:rsidRPr="002D5979" w:rsidRDefault="002D5979" w:rsidP="00C9651F">
      <w:pPr>
        <w:pStyle w:val="aa"/>
        <w:numPr>
          <w:ilvl w:val="0"/>
          <w:numId w:val="28"/>
        </w:numPr>
        <w:snapToGrid w:val="0"/>
        <w:spacing w:line="300" w:lineRule="auto"/>
      </w:pPr>
      <w:r w:rsidRPr="002D5979">
        <w:t>数据库：MySQL，存储游戏配置、智能体状态、回合数据、策略历史等。</w:t>
      </w:r>
    </w:p>
    <w:p w14:paraId="740E783A" w14:textId="5974162C" w:rsidR="002D5979" w:rsidRPr="002D5979" w:rsidRDefault="002D5979" w:rsidP="00C9651F">
      <w:pPr>
        <w:pStyle w:val="aa"/>
        <w:numPr>
          <w:ilvl w:val="0"/>
          <w:numId w:val="28"/>
        </w:numPr>
        <w:snapToGrid w:val="0"/>
        <w:spacing w:line="300" w:lineRule="auto"/>
      </w:pPr>
      <w:r w:rsidRPr="002D5979">
        <w:t>LLM接口：通过</w:t>
      </w:r>
      <w:proofErr w:type="spellStart"/>
      <w:r w:rsidRPr="002D5979">
        <w:t>DeepSeek</w:t>
      </w:r>
      <w:proofErr w:type="spellEnd"/>
      <w:r w:rsidRPr="002D5979">
        <w:t xml:space="preserve"> API调用</w:t>
      </w:r>
      <w:proofErr w:type="spellStart"/>
      <w:r w:rsidRPr="002D5979">
        <w:t>deepseek</w:t>
      </w:r>
      <w:proofErr w:type="spellEnd"/>
      <w:r w:rsidRPr="002D5979">
        <w:t>-chat模型，设计三类提示词（市场生成、</w:t>
      </w:r>
      <w:r w:rsidR="00EC4141">
        <w:rPr>
          <w:rFonts w:hint="eastAsia"/>
        </w:rPr>
        <w:t>交易</w:t>
      </w:r>
      <w:r w:rsidRPr="002D5979">
        <w:t>决策、反思）。</w:t>
      </w:r>
    </w:p>
    <w:p w14:paraId="6A274466" w14:textId="77777777" w:rsidR="002D5979" w:rsidRPr="002D5979" w:rsidRDefault="002D5979" w:rsidP="00C9651F">
      <w:pPr>
        <w:pStyle w:val="aa"/>
        <w:numPr>
          <w:ilvl w:val="0"/>
          <w:numId w:val="28"/>
        </w:numPr>
        <w:snapToGrid w:val="0"/>
        <w:spacing w:line="300" w:lineRule="auto"/>
      </w:pPr>
      <w:r w:rsidRPr="002D5979">
        <w:t>前端界面：原生HTML/CSS/JavaScript，使用Chart.js绘制价格曲线，通过Fetch API与后端交互。</w:t>
      </w:r>
    </w:p>
    <w:p w14:paraId="2B50E70B" w14:textId="77777777" w:rsidR="00C9651F" w:rsidRDefault="002D5979" w:rsidP="00C9651F">
      <w:pPr>
        <w:pStyle w:val="aa"/>
        <w:numPr>
          <w:ilvl w:val="1"/>
          <w:numId w:val="29"/>
        </w:numPr>
        <w:snapToGrid w:val="0"/>
        <w:spacing w:line="300" w:lineRule="auto"/>
        <w:rPr>
          <w:b/>
          <w:bCs/>
        </w:rPr>
      </w:pPr>
      <w:r w:rsidRPr="002D5979">
        <w:rPr>
          <w:b/>
          <w:bCs/>
        </w:rPr>
        <w:t>重点与难点</w:t>
      </w:r>
    </w:p>
    <w:p w14:paraId="39249FAF" w14:textId="570D10F8" w:rsidR="002D5979" w:rsidRPr="002D5979" w:rsidRDefault="002D5979" w:rsidP="00C9651F">
      <w:pPr>
        <w:pStyle w:val="aa"/>
        <w:snapToGrid w:val="0"/>
        <w:spacing w:line="300" w:lineRule="auto"/>
        <w:ind w:left="780"/>
        <w:rPr>
          <w:b/>
          <w:bCs/>
        </w:rPr>
      </w:pPr>
      <w:r w:rsidRPr="002D5979">
        <w:rPr>
          <w:b/>
          <w:bCs/>
        </w:rPr>
        <w:t>重点</w:t>
      </w:r>
      <w:r w:rsidRPr="002D5979">
        <w:t>：</w:t>
      </w:r>
    </w:p>
    <w:p w14:paraId="4D0ED0B8" w14:textId="77777777" w:rsidR="002D5979" w:rsidRPr="002D5979" w:rsidRDefault="002D5979" w:rsidP="00C9651F">
      <w:pPr>
        <w:pStyle w:val="aa"/>
        <w:numPr>
          <w:ilvl w:val="1"/>
          <w:numId w:val="30"/>
        </w:numPr>
        <w:snapToGrid w:val="0"/>
        <w:spacing w:line="300" w:lineRule="auto"/>
      </w:pPr>
      <w:r w:rsidRPr="002D5979">
        <w:t>LLM提示词的设计，确保市场新闻合理、智能</w:t>
      </w:r>
      <w:proofErr w:type="gramStart"/>
      <w:r w:rsidRPr="002D5979">
        <w:t>体行为</w:t>
      </w:r>
      <w:proofErr w:type="gramEnd"/>
      <w:r w:rsidRPr="002D5979">
        <w:t>符合风格、反思能产生有效策略。</w:t>
      </w:r>
    </w:p>
    <w:p w14:paraId="4C69FC02" w14:textId="77777777" w:rsidR="002D5979" w:rsidRPr="002D5979" w:rsidRDefault="002D5979" w:rsidP="00C9651F">
      <w:pPr>
        <w:pStyle w:val="aa"/>
        <w:numPr>
          <w:ilvl w:val="1"/>
          <w:numId w:val="30"/>
        </w:numPr>
        <w:snapToGrid w:val="0"/>
        <w:spacing w:line="300" w:lineRule="auto"/>
      </w:pPr>
      <w:r w:rsidRPr="002D5979">
        <w:t>游戏逻辑的正确实现，包括交易执行、破产淘汰、静态组并行运行。</w:t>
      </w:r>
    </w:p>
    <w:p w14:paraId="18F5B86A" w14:textId="77777777" w:rsidR="002D5979" w:rsidRPr="002D5979" w:rsidRDefault="002D5979" w:rsidP="00C9651F">
      <w:pPr>
        <w:pStyle w:val="aa"/>
        <w:numPr>
          <w:ilvl w:val="1"/>
          <w:numId w:val="30"/>
        </w:numPr>
        <w:snapToGrid w:val="0"/>
        <w:spacing w:line="300" w:lineRule="auto"/>
      </w:pPr>
      <w:r w:rsidRPr="002D5979">
        <w:t>数据库结构的完整性，便于后续数据分析。</w:t>
      </w:r>
    </w:p>
    <w:p w14:paraId="25B06C43" w14:textId="77777777" w:rsidR="002D5979" w:rsidRPr="002D5979" w:rsidRDefault="002D5979" w:rsidP="00C9651F">
      <w:pPr>
        <w:pStyle w:val="aa"/>
        <w:snapToGrid w:val="0"/>
        <w:spacing w:line="300" w:lineRule="auto"/>
        <w:ind w:left="720"/>
      </w:pPr>
      <w:r w:rsidRPr="002D5979">
        <w:rPr>
          <w:b/>
          <w:bCs/>
        </w:rPr>
        <w:t>难点</w:t>
      </w:r>
      <w:r w:rsidRPr="002D5979">
        <w:t>：</w:t>
      </w:r>
    </w:p>
    <w:p w14:paraId="7C361131" w14:textId="3DB61A64" w:rsidR="002D5979" w:rsidRPr="002D5979" w:rsidRDefault="002D5979" w:rsidP="00C9651F">
      <w:pPr>
        <w:pStyle w:val="aa"/>
        <w:numPr>
          <w:ilvl w:val="1"/>
          <w:numId w:val="31"/>
        </w:numPr>
        <w:snapToGrid w:val="0"/>
        <w:spacing w:line="300" w:lineRule="auto"/>
      </w:pPr>
      <w:r w:rsidRPr="002D5979">
        <w:t>反思机制的有效性：</w:t>
      </w:r>
      <w:r w:rsidR="00EC4141" w:rsidRPr="00EC4141">
        <w:t>如何让LLM根据简单的交易统计（如买卖次数、胜率）总结出有价值的新策略，并随着局数增加持续改进。拟通过精心设计的反思提示词，引导LLM关注成功与失败的具体模式。</w:t>
      </w:r>
    </w:p>
    <w:p w14:paraId="413E7040" w14:textId="69826E3A" w:rsidR="002D5979" w:rsidRPr="002D5979" w:rsidRDefault="002D5979" w:rsidP="00C9651F">
      <w:pPr>
        <w:pStyle w:val="aa"/>
        <w:numPr>
          <w:ilvl w:val="1"/>
          <w:numId w:val="31"/>
        </w:numPr>
        <w:snapToGrid w:val="0"/>
        <w:spacing w:line="300" w:lineRule="auto"/>
      </w:pPr>
      <w:r w:rsidRPr="002D5979">
        <w:t>LLM调用延迟与成本：</w:t>
      </w:r>
      <w:r w:rsidR="00EC4141" w:rsidRPr="00EC4141">
        <w:t>每回合约需调用5次（1次市场+4次决策），开启静态组后约9次。拟采用顺序调用、适当增加超时时间、失败重试（最多2次）策略，必要时使用默认动作（不操作）保证流程继续。</w:t>
      </w:r>
    </w:p>
    <w:p w14:paraId="13650D03" w14:textId="77777777" w:rsidR="002D5979" w:rsidRPr="002D5979" w:rsidRDefault="002D5979" w:rsidP="00C9651F">
      <w:pPr>
        <w:pStyle w:val="aa"/>
        <w:numPr>
          <w:ilvl w:val="1"/>
          <w:numId w:val="31"/>
        </w:numPr>
        <w:snapToGrid w:val="0"/>
        <w:spacing w:line="300" w:lineRule="auto"/>
      </w:pPr>
      <w:r w:rsidRPr="002D5979">
        <w:t>前端实时展示与后端状态的同步，确保用户体验流畅。</w:t>
      </w:r>
    </w:p>
    <w:p w14:paraId="26B0E3B0" w14:textId="6FBF2529" w:rsidR="002D5979" w:rsidRDefault="002D5979" w:rsidP="009F0060">
      <w:pPr>
        <w:pStyle w:val="aa"/>
        <w:numPr>
          <w:ilvl w:val="1"/>
          <w:numId w:val="29"/>
        </w:numPr>
        <w:snapToGrid w:val="0"/>
        <w:spacing w:line="300" w:lineRule="auto"/>
        <w:rPr>
          <w:b/>
          <w:bCs/>
        </w:rPr>
      </w:pPr>
      <w:r w:rsidRPr="002D5979">
        <w:rPr>
          <w:b/>
          <w:bCs/>
        </w:rPr>
        <w:t>开发环境与技术</w:t>
      </w:r>
      <w:proofErr w:type="gramStart"/>
      <w:r w:rsidRPr="002D5979">
        <w:rPr>
          <w:b/>
          <w:bCs/>
        </w:rPr>
        <w:t>栈</w:t>
      </w:r>
      <w:proofErr w:type="gramEnd"/>
    </w:p>
    <w:p w14:paraId="35C058E3" w14:textId="77777777" w:rsidR="009F0060" w:rsidRPr="009F0060" w:rsidRDefault="009F0060" w:rsidP="009F0060">
      <w:pPr>
        <w:pStyle w:val="aa"/>
        <w:snapToGrid w:val="0"/>
        <w:spacing w:line="300" w:lineRule="auto"/>
        <w:ind w:left="420"/>
      </w:pPr>
      <w:r w:rsidRPr="009F0060">
        <w:rPr>
          <w:rFonts w:hint="eastAsia"/>
        </w:rPr>
        <w:t>（1）</w:t>
      </w:r>
      <w:r w:rsidRPr="009F0060">
        <w:rPr>
          <w:rFonts w:hint="eastAsia"/>
        </w:rPr>
        <w:tab/>
        <w:t>操作系统：PC机（Windows 10/11）</w:t>
      </w:r>
    </w:p>
    <w:p w14:paraId="2F1ED867" w14:textId="77777777" w:rsidR="009F0060" w:rsidRPr="009F0060" w:rsidRDefault="009F0060" w:rsidP="009F0060">
      <w:pPr>
        <w:pStyle w:val="aa"/>
        <w:snapToGrid w:val="0"/>
        <w:spacing w:line="300" w:lineRule="auto"/>
        <w:ind w:left="420"/>
      </w:pPr>
      <w:r w:rsidRPr="009F0060">
        <w:rPr>
          <w:rFonts w:hint="eastAsia"/>
        </w:rPr>
        <w:t>（2）</w:t>
      </w:r>
      <w:r w:rsidRPr="009F0060">
        <w:rPr>
          <w:rFonts w:hint="eastAsia"/>
        </w:rPr>
        <w:tab/>
        <w:t>编程语言：Python 3.9+，JavaScript（ES6）</w:t>
      </w:r>
    </w:p>
    <w:p w14:paraId="4D60BC63" w14:textId="77777777" w:rsidR="009F0060" w:rsidRPr="009F0060" w:rsidRDefault="009F0060" w:rsidP="009F0060">
      <w:pPr>
        <w:pStyle w:val="aa"/>
        <w:snapToGrid w:val="0"/>
        <w:spacing w:line="300" w:lineRule="auto"/>
        <w:ind w:left="420"/>
      </w:pPr>
      <w:r w:rsidRPr="009F0060">
        <w:rPr>
          <w:rFonts w:hint="eastAsia"/>
        </w:rPr>
        <w:lastRenderedPageBreak/>
        <w:t>（3）</w:t>
      </w:r>
      <w:r w:rsidRPr="009F0060">
        <w:rPr>
          <w:rFonts w:hint="eastAsia"/>
        </w:rPr>
        <w:tab/>
        <w:t>后端框架：Flask</w:t>
      </w:r>
    </w:p>
    <w:p w14:paraId="1327FB0F" w14:textId="77777777" w:rsidR="009F0060" w:rsidRPr="009F0060" w:rsidRDefault="009F0060" w:rsidP="009F0060">
      <w:pPr>
        <w:pStyle w:val="aa"/>
        <w:snapToGrid w:val="0"/>
        <w:spacing w:line="300" w:lineRule="auto"/>
        <w:ind w:left="420"/>
      </w:pPr>
      <w:r w:rsidRPr="009F0060">
        <w:rPr>
          <w:rFonts w:hint="eastAsia"/>
        </w:rPr>
        <w:t>（4）</w:t>
      </w:r>
      <w:r w:rsidRPr="009F0060">
        <w:rPr>
          <w:rFonts w:hint="eastAsia"/>
        </w:rPr>
        <w:tab/>
        <w:t>数据库：MySQL 8.0</w:t>
      </w:r>
    </w:p>
    <w:p w14:paraId="7FD720CC" w14:textId="77777777" w:rsidR="009F0060" w:rsidRPr="009F0060" w:rsidRDefault="009F0060" w:rsidP="009F0060">
      <w:pPr>
        <w:pStyle w:val="aa"/>
        <w:snapToGrid w:val="0"/>
        <w:spacing w:line="300" w:lineRule="auto"/>
        <w:ind w:left="420"/>
      </w:pPr>
      <w:r w:rsidRPr="009F0060">
        <w:rPr>
          <w:rFonts w:hint="eastAsia"/>
        </w:rPr>
        <w:t>（5）</w:t>
      </w:r>
      <w:r w:rsidRPr="009F0060">
        <w:rPr>
          <w:rFonts w:hint="eastAsia"/>
        </w:rPr>
        <w:tab/>
        <w:t>LLM API：</w:t>
      </w:r>
      <w:proofErr w:type="spellStart"/>
      <w:r w:rsidRPr="009F0060">
        <w:rPr>
          <w:rFonts w:hint="eastAsia"/>
        </w:rPr>
        <w:t>DeepSeek</w:t>
      </w:r>
      <w:proofErr w:type="spellEnd"/>
      <w:r w:rsidRPr="009F0060">
        <w:rPr>
          <w:rFonts w:hint="eastAsia"/>
        </w:rPr>
        <w:t xml:space="preserve"> API（兼容</w:t>
      </w:r>
      <w:proofErr w:type="spellStart"/>
      <w:r w:rsidRPr="009F0060">
        <w:rPr>
          <w:rFonts w:hint="eastAsia"/>
        </w:rPr>
        <w:t>OpenAI</w:t>
      </w:r>
      <w:proofErr w:type="spellEnd"/>
      <w:r w:rsidRPr="009F0060">
        <w:rPr>
          <w:rFonts w:hint="eastAsia"/>
        </w:rPr>
        <w:t>格式）</w:t>
      </w:r>
    </w:p>
    <w:p w14:paraId="7B1234B5" w14:textId="77777777" w:rsidR="009F0060" w:rsidRPr="009F0060" w:rsidRDefault="009F0060" w:rsidP="009F0060">
      <w:pPr>
        <w:pStyle w:val="aa"/>
        <w:snapToGrid w:val="0"/>
        <w:spacing w:line="300" w:lineRule="auto"/>
        <w:ind w:left="420"/>
      </w:pPr>
      <w:r w:rsidRPr="009F0060">
        <w:rPr>
          <w:rFonts w:hint="eastAsia"/>
        </w:rPr>
        <w:t>（6）</w:t>
      </w:r>
      <w:r w:rsidRPr="009F0060">
        <w:rPr>
          <w:rFonts w:hint="eastAsia"/>
        </w:rPr>
        <w:tab/>
        <w:t>前端库：Chart.js（图表），原生Fetch API</w:t>
      </w:r>
    </w:p>
    <w:p w14:paraId="1C652813" w14:textId="047CF4AD" w:rsidR="009F0060" w:rsidRPr="002D5979" w:rsidRDefault="009F0060" w:rsidP="009F0060">
      <w:pPr>
        <w:pStyle w:val="aa"/>
        <w:snapToGrid w:val="0"/>
        <w:spacing w:line="300" w:lineRule="auto"/>
        <w:ind w:left="420"/>
      </w:pPr>
      <w:r w:rsidRPr="009F0060">
        <w:rPr>
          <w:rFonts w:hint="eastAsia"/>
        </w:rPr>
        <w:t>（7）</w:t>
      </w:r>
      <w:r w:rsidRPr="009F0060">
        <w:rPr>
          <w:rFonts w:hint="eastAsia"/>
        </w:rPr>
        <w:tab/>
        <w:t>开发工具：</w:t>
      </w:r>
      <w:proofErr w:type="spellStart"/>
      <w:r w:rsidRPr="009F0060">
        <w:rPr>
          <w:rFonts w:hint="eastAsia"/>
        </w:rPr>
        <w:t>VSCode</w:t>
      </w:r>
      <w:proofErr w:type="spellEnd"/>
      <w:r w:rsidRPr="009F0060">
        <w:rPr>
          <w:rFonts w:hint="eastAsia"/>
        </w:rPr>
        <w:t>，Postman（接口测试），Git（版本控制）</w:t>
      </w:r>
    </w:p>
    <w:p w14:paraId="04481580" w14:textId="6D082FC7" w:rsidR="002D5979" w:rsidRDefault="002D5979" w:rsidP="002D5979">
      <w:pPr>
        <w:pStyle w:val="aa"/>
        <w:snapToGrid w:val="0"/>
        <w:spacing w:line="300" w:lineRule="auto"/>
        <w:ind w:firstLine="420"/>
        <w:rPr>
          <w:b/>
          <w:bCs/>
        </w:rPr>
      </w:pPr>
      <w:r w:rsidRPr="002D5979">
        <w:rPr>
          <w:b/>
          <w:bCs/>
        </w:rPr>
        <w:t>3.4 预期目标</w:t>
      </w:r>
    </w:p>
    <w:p w14:paraId="47D9CE0C" w14:textId="77777777" w:rsidR="009F0060" w:rsidRPr="009F0060" w:rsidRDefault="009F0060" w:rsidP="009F0060">
      <w:pPr>
        <w:pStyle w:val="aa"/>
        <w:snapToGrid w:val="0"/>
        <w:spacing w:line="300" w:lineRule="auto"/>
        <w:ind w:firstLine="420"/>
      </w:pPr>
      <w:r w:rsidRPr="009F0060">
        <w:rPr>
          <w:rFonts w:hint="eastAsia"/>
        </w:rPr>
        <w:t>（1）</w:t>
      </w:r>
      <w:r w:rsidRPr="009F0060">
        <w:rPr>
          <w:rFonts w:hint="eastAsia"/>
        </w:rPr>
        <w:tab/>
        <w:t>完成一个稳定运行的Web系统，符合任务书要求的主要内容和目标。</w:t>
      </w:r>
    </w:p>
    <w:p w14:paraId="09C28605" w14:textId="77777777" w:rsidR="009F0060" w:rsidRPr="009F0060" w:rsidRDefault="009F0060" w:rsidP="009F0060">
      <w:pPr>
        <w:pStyle w:val="aa"/>
        <w:snapToGrid w:val="0"/>
        <w:spacing w:line="300" w:lineRule="auto"/>
        <w:ind w:firstLine="420"/>
      </w:pPr>
      <w:r w:rsidRPr="009F0060">
        <w:rPr>
          <w:rFonts w:hint="eastAsia"/>
        </w:rPr>
        <w:t>（2）</w:t>
      </w:r>
      <w:r w:rsidRPr="009F0060">
        <w:rPr>
          <w:rFonts w:hint="eastAsia"/>
        </w:rPr>
        <w:tab/>
        <w:t>能够通过多局模拟展示智能体策略的进化过程，并直观呈现于网页。</w:t>
      </w:r>
    </w:p>
    <w:p w14:paraId="069C1143" w14:textId="77777777" w:rsidR="009F0060" w:rsidRPr="009F0060" w:rsidRDefault="009F0060" w:rsidP="009F0060">
      <w:pPr>
        <w:pStyle w:val="aa"/>
        <w:snapToGrid w:val="0"/>
        <w:spacing w:line="300" w:lineRule="auto"/>
        <w:ind w:firstLine="420"/>
      </w:pPr>
      <w:r w:rsidRPr="009F0060">
        <w:rPr>
          <w:rFonts w:hint="eastAsia"/>
        </w:rPr>
        <w:t>（3）</w:t>
      </w:r>
      <w:r w:rsidRPr="009F0060">
        <w:rPr>
          <w:rFonts w:hint="eastAsia"/>
        </w:rPr>
        <w:tab/>
        <w:t>静态基线组对比结果可量化（如平均资产、胜率等），</w:t>
      </w:r>
      <w:proofErr w:type="gramStart"/>
      <w:r w:rsidRPr="009F0060">
        <w:rPr>
          <w:rFonts w:hint="eastAsia"/>
        </w:rPr>
        <w:t>验证自进化</w:t>
      </w:r>
      <w:proofErr w:type="gramEnd"/>
      <w:r w:rsidRPr="009F0060">
        <w:rPr>
          <w:rFonts w:hint="eastAsia"/>
        </w:rPr>
        <w:t>机制的有效性。</w:t>
      </w:r>
    </w:p>
    <w:p w14:paraId="6E1DE2DF" w14:textId="2C4EE798" w:rsidR="009F0060" w:rsidRPr="002D5979" w:rsidRDefault="009F0060" w:rsidP="009F0060">
      <w:pPr>
        <w:pStyle w:val="aa"/>
        <w:snapToGrid w:val="0"/>
        <w:spacing w:line="300" w:lineRule="auto"/>
        <w:ind w:firstLine="420"/>
      </w:pPr>
      <w:r w:rsidRPr="009F0060">
        <w:rPr>
          <w:rFonts w:hint="eastAsia"/>
        </w:rPr>
        <w:t>（4）</w:t>
      </w:r>
      <w:r w:rsidRPr="009F0060">
        <w:rPr>
          <w:rFonts w:hint="eastAsia"/>
        </w:rPr>
        <w:tab/>
        <w:t>系统界面友好，操作简便，数据记录完整，可为毕业设计论文提供有力支撑。</w:t>
      </w:r>
    </w:p>
    <w:p w14:paraId="6A1B553B" w14:textId="1CD8A97A" w:rsidR="00DF4966" w:rsidRDefault="00351C93">
      <w:pPr>
        <w:pStyle w:val="aa"/>
        <w:snapToGrid w:val="0"/>
        <w:spacing w:line="300" w:lineRule="auto"/>
        <w:rPr>
          <w:b/>
          <w:sz w:val="24"/>
        </w:rPr>
      </w:pPr>
      <w:r>
        <w:rPr>
          <w:rFonts w:hint="eastAsia"/>
          <w:b/>
          <w:sz w:val="24"/>
        </w:rPr>
        <w:t>四、对进度的具体安排</w:t>
      </w:r>
    </w:p>
    <w:p w14:paraId="7B3C4FF5" w14:textId="77777777" w:rsidR="00DF4966" w:rsidRPr="00EF09B8" w:rsidRDefault="00DF4966" w:rsidP="00DF4966">
      <w:pPr>
        <w:pStyle w:val="aa"/>
        <w:snapToGrid w:val="0"/>
        <w:spacing w:line="300" w:lineRule="auto"/>
        <w:rPr>
          <w:bCs/>
        </w:rPr>
      </w:pPr>
      <w:r>
        <w:rPr>
          <w:rFonts w:hint="eastAsia"/>
          <w:b/>
          <w:sz w:val="24"/>
        </w:rPr>
        <w:t xml:space="preserve"> </w:t>
      </w:r>
      <w:r>
        <w:rPr>
          <w:b/>
          <w:sz w:val="24"/>
        </w:rPr>
        <w:t xml:space="preserve">   </w:t>
      </w:r>
      <w:r w:rsidRPr="00EF09B8">
        <w:rPr>
          <w:bCs/>
        </w:rPr>
        <w:t>本设计周期自 2026 年 2 月 23 日开始，至 2026 年 6 月 12 日完成，共计 16 周。具体计划如下：</w:t>
      </w:r>
    </w:p>
    <w:p w14:paraId="53D4553A" w14:textId="692A6ED9" w:rsidR="00DF4966" w:rsidRPr="00EF09B8" w:rsidRDefault="00DF4966" w:rsidP="00DF4966">
      <w:pPr>
        <w:pStyle w:val="aa"/>
        <w:numPr>
          <w:ilvl w:val="0"/>
          <w:numId w:val="14"/>
        </w:numPr>
        <w:snapToGrid w:val="0"/>
        <w:spacing w:line="300" w:lineRule="auto"/>
        <w:rPr>
          <w:bCs/>
        </w:rPr>
      </w:pPr>
      <w:r w:rsidRPr="00EF09B8">
        <w:rPr>
          <w:bCs/>
        </w:rPr>
        <w:t>第 1 - 2 周：</w:t>
      </w:r>
      <w:r w:rsidR="007736E7" w:rsidRPr="007736E7">
        <w:rPr>
          <w:bCs/>
        </w:rPr>
        <w:t>完善方案设计，撰写开题报告，准备开题答辩。</w:t>
      </w:r>
    </w:p>
    <w:p w14:paraId="13D66937" w14:textId="1B9AA190" w:rsidR="00DF4966" w:rsidRPr="00EF09B8" w:rsidRDefault="00DF4966" w:rsidP="00DF4966">
      <w:pPr>
        <w:pStyle w:val="aa"/>
        <w:numPr>
          <w:ilvl w:val="0"/>
          <w:numId w:val="14"/>
        </w:numPr>
        <w:snapToGrid w:val="0"/>
        <w:spacing w:line="300" w:lineRule="auto"/>
        <w:rPr>
          <w:bCs/>
        </w:rPr>
      </w:pPr>
      <w:r w:rsidRPr="00EF09B8">
        <w:rPr>
          <w:bCs/>
        </w:rPr>
        <w:t>第 3 - 4 周：</w:t>
      </w:r>
      <w:r w:rsidR="007736E7" w:rsidRPr="007736E7">
        <w:rPr>
          <w:bCs/>
        </w:rPr>
        <w:t>搭建开发环境（Python/Flask/MySQL），完成数据库设计，实现基础框架。</w:t>
      </w:r>
    </w:p>
    <w:p w14:paraId="238F1FF9" w14:textId="731A8095" w:rsidR="00DF4966" w:rsidRPr="00EF09B8" w:rsidRDefault="00DF4966" w:rsidP="00DF4966">
      <w:pPr>
        <w:pStyle w:val="aa"/>
        <w:numPr>
          <w:ilvl w:val="0"/>
          <w:numId w:val="14"/>
        </w:numPr>
        <w:snapToGrid w:val="0"/>
        <w:spacing w:line="300" w:lineRule="auto"/>
        <w:rPr>
          <w:bCs/>
        </w:rPr>
      </w:pPr>
      <w:r w:rsidRPr="00EF09B8">
        <w:rPr>
          <w:bCs/>
        </w:rPr>
        <w:t>第 5 - 6 周：</w:t>
      </w:r>
      <w:r w:rsidR="007736E7" w:rsidRPr="007736E7">
        <w:rPr>
          <w:bCs/>
        </w:rPr>
        <w:t>实现核心游戏引擎（市场生成、智能体决策、交易执行），封装LLM调用。</w:t>
      </w:r>
    </w:p>
    <w:p w14:paraId="44CA67C0" w14:textId="1F173E6A" w:rsidR="00DF4966" w:rsidRPr="00EF09B8" w:rsidRDefault="00DF4966" w:rsidP="00DF4966">
      <w:pPr>
        <w:pStyle w:val="aa"/>
        <w:numPr>
          <w:ilvl w:val="0"/>
          <w:numId w:val="14"/>
        </w:numPr>
        <w:snapToGrid w:val="0"/>
        <w:spacing w:line="300" w:lineRule="auto"/>
        <w:rPr>
          <w:bCs/>
        </w:rPr>
      </w:pPr>
      <w:r w:rsidRPr="00EF09B8">
        <w:rPr>
          <w:bCs/>
        </w:rPr>
        <w:t>第 7 - 8 周：</w:t>
      </w:r>
      <w:r w:rsidR="007736E7" w:rsidRPr="007736E7">
        <w:rPr>
          <w:bCs/>
        </w:rPr>
        <w:t>开发前端界面，实现智能体配置、实时显示、手动/自动运行功能。</w:t>
      </w:r>
    </w:p>
    <w:p w14:paraId="23FB17DA" w14:textId="051617CC" w:rsidR="00DF4966" w:rsidRPr="00EF09B8" w:rsidRDefault="00DF4966" w:rsidP="00DF4966">
      <w:pPr>
        <w:pStyle w:val="aa"/>
        <w:numPr>
          <w:ilvl w:val="0"/>
          <w:numId w:val="14"/>
        </w:numPr>
        <w:snapToGrid w:val="0"/>
        <w:spacing w:line="300" w:lineRule="auto"/>
        <w:rPr>
          <w:bCs/>
        </w:rPr>
      </w:pPr>
      <w:r w:rsidRPr="00EF09B8">
        <w:rPr>
          <w:bCs/>
        </w:rPr>
        <w:t>第 9 - 10 周：</w:t>
      </w:r>
      <w:r w:rsidR="007736E7" w:rsidRPr="007736E7">
        <w:rPr>
          <w:bCs/>
        </w:rPr>
        <w:t>整合系统，添加静态基线组、破产淘汰、反思进化模块，进行单元测试。</w:t>
      </w:r>
    </w:p>
    <w:p w14:paraId="72CEDDA2" w14:textId="7FB615F8" w:rsidR="00DF4966" w:rsidRPr="00EF09B8" w:rsidRDefault="00DF4966" w:rsidP="00DF4966">
      <w:pPr>
        <w:pStyle w:val="aa"/>
        <w:numPr>
          <w:ilvl w:val="0"/>
          <w:numId w:val="14"/>
        </w:numPr>
        <w:snapToGrid w:val="0"/>
        <w:spacing w:line="300" w:lineRule="auto"/>
        <w:rPr>
          <w:bCs/>
        </w:rPr>
      </w:pPr>
      <w:r w:rsidRPr="00EF09B8">
        <w:rPr>
          <w:bCs/>
        </w:rPr>
        <w:t>第 11 - 12 周：</w:t>
      </w:r>
      <w:r w:rsidR="007736E7" w:rsidRPr="007736E7">
        <w:rPr>
          <w:bCs/>
        </w:rPr>
        <w:t>系统总体测试，优化性能与界面，开始撰写毕业设计论文。</w:t>
      </w:r>
    </w:p>
    <w:p w14:paraId="05198F15" w14:textId="05083D47" w:rsidR="00DF4966" w:rsidRPr="00EF09B8" w:rsidRDefault="00DF4966" w:rsidP="00DF4966">
      <w:pPr>
        <w:pStyle w:val="aa"/>
        <w:numPr>
          <w:ilvl w:val="0"/>
          <w:numId w:val="14"/>
        </w:numPr>
        <w:snapToGrid w:val="0"/>
        <w:spacing w:line="300" w:lineRule="auto"/>
        <w:rPr>
          <w:bCs/>
        </w:rPr>
      </w:pPr>
      <w:r w:rsidRPr="00EF09B8">
        <w:rPr>
          <w:bCs/>
        </w:rPr>
        <w:t>第 13 - 14 周：</w:t>
      </w:r>
      <w:r w:rsidR="007736E7" w:rsidRPr="007736E7">
        <w:rPr>
          <w:bCs/>
        </w:rPr>
        <w:t>根据测试反馈修改系统，完成论文初稿，准备系统验收。</w:t>
      </w:r>
    </w:p>
    <w:p w14:paraId="01B74F46" w14:textId="3DBD1BFE" w:rsidR="00A563D5" w:rsidRPr="005325BC" w:rsidRDefault="00DF4966" w:rsidP="005325BC">
      <w:pPr>
        <w:pStyle w:val="aa"/>
        <w:numPr>
          <w:ilvl w:val="0"/>
          <w:numId w:val="14"/>
        </w:numPr>
        <w:snapToGrid w:val="0"/>
        <w:spacing w:line="300" w:lineRule="auto"/>
        <w:rPr>
          <w:bCs/>
        </w:rPr>
      </w:pPr>
      <w:r w:rsidRPr="00EF09B8">
        <w:rPr>
          <w:bCs/>
        </w:rPr>
        <w:t>第 15 周：</w:t>
      </w:r>
      <w:r w:rsidR="007736E7" w:rsidRPr="007736E7">
        <w:rPr>
          <w:bCs/>
        </w:rPr>
        <w:t>修改论文，准备毕业答辩。</w:t>
      </w:r>
    </w:p>
    <w:p w14:paraId="79FAAC5F" w14:textId="5F75B5F7" w:rsidR="00A563D5" w:rsidRDefault="00A563D5">
      <w:pPr>
        <w:pStyle w:val="aa"/>
        <w:snapToGrid w:val="0"/>
        <w:spacing w:line="300" w:lineRule="auto"/>
        <w:rPr>
          <w:b/>
          <w:sz w:val="24"/>
        </w:rPr>
      </w:pPr>
      <w:r>
        <w:rPr>
          <w:rFonts w:hint="eastAsia"/>
          <w:b/>
          <w:sz w:val="24"/>
        </w:rPr>
        <w:t>五</w:t>
      </w:r>
      <w:r w:rsidR="00351C93">
        <w:rPr>
          <w:rFonts w:hint="eastAsia"/>
          <w:b/>
          <w:sz w:val="24"/>
        </w:rPr>
        <w:t>、参考文献</w:t>
      </w:r>
    </w:p>
    <w:p w14:paraId="710DBE46" w14:textId="77777777" w:rsidR="009C02C5" w:rsidRPr="00A563D5" w:rsidRDefault="009C02C5" w:rsidP="009C02C5">
      <w:pPr>
        <w:pStyle w:val="aa"/>
        <w:spacing w:line="300" w:lineRule="auto"/>
        <w:rPr>
          <w:bCs/>
        </w:rPr>
      </w:pPr>
      <w:r w:rsidRPr="00A563D5">
        <w:rPr>
          <w:bCs/>
        </w:rPr>
        <w:t xml:space="preserve">[1] Papadakis C, </w:t>
      </w:r>
      <w:proofErr w:type="spellStart"/>
      <w:r w:rsidRPr="00A563D5">
        <w:rPr>
          <w:bCs/>
        </w:rPr>
        <w:t>Dimitriou</w:t>
      </w:r>
      <w:proofErr w:type="spellEnd"/>
      <w:r w:rsidRPr="00A563D5">
        <w:rPr>
          <w:bCs/>
        </w:rPr>
        <w:t xml:space="preserve"> A, </w:t>
      </w:r>
      <w:proofErr w:type="spellStart"/>
      <w:r w:rsidRPr="00A563D5">
        <w:rPr>
          <w:bCs/>
        </w:rPr>
        <w:t>Filandrianos</w:t>
      </w:r>
      <w:proofErr w:type="spellEnd"/>
      <w:r w:rsidRPr="00A563D5">
        <w:rPr>
          <w:bCs/>
        </w:rPr>
        <w:t xml:space="preserve"> G, et al. ATLAS: Adaptive Trading with LLM Agents Through Dynamic Prompt Optimization and Multi-Agent Coordination[J]. </w:t>
      </w:r>
      <w:proofErr w:type="spellStart"/>
      <w:r w:rsidRPr="00A563D5">
        <w:rPr>
          <w:bCs/>
        </w:rPr>
        <w:t>arXiv</w:t>
      </w:r>
      <w:proofErr w:type="spellEnd"/>
      <w:r w:rsidRPr="00A563D5">
        <w:rPr>
          <w:bCs/>
        </w:rPr>
        <w:t xml:space="preserve"> preprint, 2026, arXiv:2510.15949.</w:t>
      </w:r>
    </w:p>
    <w:p w14:paraId="37498522" w14:textId="77777777" w:rsidR="009C02C5" w:rsidRPr="00A563D5" w:rsidRDefault="009C02C5" w:rsidP="009C02C5">
      <w:pPr>
        <w:pStyle w:val="aa"/>
        <w:spacing w:line="300" w:lineRule="auto"/>
        <w:rPr>
          <w:bCs/>
        </w:rPr>
      </w:pPr>
      <w:r w:rsidRPr="00A563D5">
        <w:rPr>
          <w:bCs/>
        </w:rPr>
        <w:t>[2] Yu Y, Li H, Chen Z, et al. FINMEM: A Performance-Enhanced LLM Trading Agent with Layered Memory and Character Design[C]. AAAI Spring Symposium, 2024: 595-597. [3] Shi L, Li J, Wang H, et al. DMNA: A Dual-Mind Negotiation Agent for Strategic Planning and Expressive Optimization[C]. ACL 2025.</w:t>
      </w:r>
    </w:p>
    <w:p w14:paraId="1A852D04" w14:textId="77777777" w:rsidR="009C02C5" w:rsidRPr="00A563D5" w:rsidRDefault="009C02C5" w:rsidP="009C02C5">
      <w:pPr>
        <w:pStyle w:val="aa"/>
        <w:spacing w:line="300" w:lineRule="auto"/>
        <w:rPr>
          <w:bCs/>
        </w:rPr>
      </w:pPr>
      <w:r w:rsidRPr="00A563D5">
        <w:rPr>
          <w:bCs/>
        </w:rPr>
        <w:t xml:space="preserve">[4] Light J, Cai M, Chen W, et al. LLM-Strategist: Learning Strategic Skills by LLMs via Bi-Level Tree Search[J]. </w:t>
      </w:r>
      <w:proofErr w:type="spellStart"/>
      <w:r w:rsidRPr="00A563D5">
        <w:rPr>
          <w:bCs/>
        </w:rPr>
        <w:t>arXiv</w:t>
      </w:r>
      <w:proofErr w:type="spellEnd"/>
      <w:r w:rsidRPr="00A563D5">
        <w:rPr>
          <w:bCs/>
        </w:rPr>
        <w:t xml:space="preserve"> preprint, 2024, arXiv:2408.10635.</w:t>
      </w:r>
    </w:p>
    <w:p w14:paraId="021CA6C2" w14:textId="77777777" w:rsidR="009C02C5" w:rsidRPr="00A563D5" w:rsidRDefault="009C02C5" w:rsidP="009C02C5">
      <w:pPr>
        <w:pStyle w:val="aa"/>
        <w:spacing w:line="300" w:lineRule="auto"/>
        <w:rPr>
          <w:bCs/>
        </w:rPr>
      </w:pPr>
      <w:r w:rsidRPr="00A563D5">
        <w:rPr>
          <w:bCs/>
        </w:rPr>
        <w:t>[5] Guan Z, Kong X, Zhong F, et al. Richelieu: Self-Evolving LLM-Based Agents for AI Diplomacy[C]. Advances in Neural Information Processing Systems, 2024, 37.</w:t>
      </w:r>
    </w:p>
    <w:p w14:paraId="20360BB6" w14:textId="77777777" w:rsidR="009C02C5" w:rsidRPr="00A563D5" w:rsidRDefault="009C02C5" w:rsidP="009C02C5">
      <w:pPr>
        <w:pStyle w:val="aa"/>
        <w:spacing w:line="300" w:lineRule="auto"/>
        <w:rPr>
          <w:bCs/>
        </w:rPr>
      </w:pPr>
      <w:r w:rsidRPr="00A563D5">
        <w:rPr>
          <w:bCs/>
        </w:rPr>
        <w:t xml:space="preserve">[6] </w:t>
      </w:r>
      <w:proofErr w:type="spellStart"/>
      <w:r w:rsidRPr="00A563D5">
        <w:rPr>
          <w:bCs/>
        </w:rPr>
        <w:t>Saha</w:t>
      </w:r>
      <w:proofErr w:type="spellEnd"/>
      <w:r w:rsidRPr="00A563D5">
        <w:rPr>
          <w:bCs/>
        </w:rPr>
        <w:t xml:space="preserve"> P, </w:t>
      </w:r>
      <w:proofErr w:type="spellStart"/>
      <w:r w:rsidRPr="00A563D5">
        <w:rPr>
          <w:bCs/>
        </w:rPr>
        <w:t>Lyu</w:t>
      </w:r>
      <w:proofErr w:type="spellEnd"/>
      <w:r w:rsidRPr="00A563D5">
        <w:rPr>
          <w:bCs/>
        </w:rPr>
        <w:t xml:space="preserve"> J, Saxena A, et al. Large Language Model Agents for Investment Management: Foundations, Benchmarks, and Research Frontiers[C]. ACM International Conference on AI in Finance, 2025.</w:t>
      </w:r>
    </w:p>
    <w:p w14:paraId="1C6CECDE" w14:textId="1BF4FA16" w:rsidR="009C02C5" w:rsidRDefault="009C02C5" w:rsidP="009C02C5">
      <w:pPr>
        <w:pStyle w:val="aa"/>
        <w:snapToGrid w:val="0"/>
        <w:spacing w:line="300" w:lineRule="auto"/>
        <w:rPr>
          <w:bCs/>
          <w:sz w:val="24"/>
        </w:rPr>
      </w:pPr>
      <w:r w:rsidRPr="00A563D5">
        <w:rPr>
          <w:bCs/>
          <w:sz w:val="24"/>
        </w:rPr>
        <w:t xml:space="preserve">[7] Li X, Zeng Y, Xing X, et al. </w:t>
      </w:r>
      <w:proofErr w:type="spellStart"/>
      <w:r w:rsidRPr="00A563D5">
        <w:rPr>
          <w:bCs/>
          <w:sz w:val="24"/>
        </w:rPr>
        <w:t>HedgeAgents</w:t>
      </w:r>
      <w:proofErr w:type="spellEnd"/>
      <w:r w:rsidRPr="00A563D5">
        <w:rPr>
          <w:bCs/>
          <w:sz w:val="24"/>
        </w:rPr>
        <w:t>: A Balanced-aware Multi-agent Financial Trading System[C]. The Web Conference (WWW), 2025.</w:t>
      </w:r>
    </w:p>
    <w:p w14:paraId="202AD405" w14:textId="77777777" w:rsidR="00A563D5" w:rsidRPr="00A563D5" w:rsidRDefault="00A563D5" w:rsidP="009C02C5">
      <w:pPr>
        <w:pStyle w:val="aa"/>
        <w:snapToGrid w:val="0"/>
        <w:spacing w:line="300" w:lineRule="auto"/>
        <w:rPr>
          <w:bCs/>
        </w:rPr>
      </w:pPr>
    </w:p>
    <w:p w14:paraId="4443B9F6" w14:textId="77777777" w:rsidR="00351C93" w:rsidRDefault="00351C93">
      <w:pPr>
        <w:pStyle w:val="aa"/>
        <w:snapToGrid w:val="0"/>
        <w:spacing w:line="300" w:lineRule="auto"/>
        <w:rPr>
          <w:sz w:val="24"/>
        </w:rPr>
      </w:pPr>
      <w:r>
        <w:rPr>
          <w:rFonts w:hint="eastAsia"/>
          <w:b/>
          <w:sz w:val="24"/>
        </w:rPr>
        <w:lastRenderedPageBreak/>
        <w:t>指导教师：</w:t>
      </w:r>
      <w:r>
        <w:rPr>
          <w:rFonts w:hint="eastAsia"/>
          <w:sz w:val="24"/>
        </w:rPr>
        <w:t>（签署意见并签字）</w:t>
      </w:r>
      <w:r>
        <w:rPr>
          <w:sz w:val="24"/>
        </w:rPr>
        <w:t xml:space="preserve">                         </w:t>
      </w:r>
      <w:r>
        <w:t xml:space="preserve">       </w:t>
      </w:r>
      <w:r>
        <w:rPr>
          <w:rFonts w:hint="eastAsia"/>
        </w:rPr>
        <w:t>年</w:t>
      </w:r>
      <w:r>
        <w:t xml:space="preserve">   </w:t>
      </w:r>
      <w:r>
        <w:rPr>
          <w:rFonts w:hint="eastAsia"/>
        </w:rPr>
        <w:t>月</w:t>
      </w:r>
      <w:r>
        <w:t xml:space="preserve">   </w:t>
      </w:r>
      <w:r>
        <w:rPr>
          <w:rFonts w:hint="eastAsia"/>
        </w:rPr>
        <w:t>日</w:t>
      </w:r>
      <w:r>
        <w:t xml:space="preserve"> </w:t>
      </w:r>
    </w:p>
    <w:p w14:paraId="7541E323" w14:textId="77777777" w:rsidR="00351C93" w:rsidRDefault="00351C93">
      <w:pPr>
        <w:pStyle w:val="aa"/>
        <w:snapToGrid w:val="0"/>
        <w:spacing w:line="300" w:lineRule="auto"/>
        <w:rPr>
          <w:sz w:val="24"/>
        </w:rPr>
      </w:pPr>
      <w:r>
        <w:rPr>
          <w:sz w:val="24"/>
        </w:rPr>
        <w:t xml:space="preserve">                                      </w:t>
      </w:r>
    </w:p>
    <w:p w14:paraId="7BB3AE92" w14:textId="77777777" w:rsidR="00351C93" w:rsidRDefault="00351C93">
      <w:pPr>
        <w:pStyle w:val="aa"/>
        <w:snapToGrid w:val="0"/>
        <w:spacing w:line="300" w:lineRule="auto"/>
        <w:rPr>
          <w:sz w:val="24"/>
        </w:rPr>
      </w:pPr>
      <w:r>
        <w:rPr>
          <w:rFonts w:hint="eastAsia"/>
          <w:b/>
          <w:sz w:val="24"/>
        </w:rPr>
        <w:t>督导教师：</w:t>
      </w:r>
      <w:r>
        <w:rPr>
          <w:rFonts w:hint="eastAsia"/>
          <w:sz w:val="24"/>
        </w:rPr>
        <w:t>（签署意见并签字）</w:t>
      </w:r>
      <w:r>
        <w:rPr>
          <w:sz w:val="24"/>
        </w:rPr>
        <w:t xml:space="preserve">        </w:t>
      </w:r>
      <w:r>
        <w:t xml:space="preserve">                           </w:t>
      </w:r>
      <w:r>
        <w:rPr>
          <w:rFonts w:hint="eastAsia"/>
        </w:rPr>
        <w:t>年</w:t>
      </w:r>
      <w:r>
        <w:t xml:space="preserve">   </w:t>
      </w:r>
      <w:r>
        <w:rPr>
          <w:rFonts w:hint="eastAsia"/>
        </w:rPr>
        <w:t>月</w:t>
      </w:r>
      <w:r>
        <w:t xml:space="preserve">   </w:t>
      </w:r>
      <w:r>
        <w:rPr>
          <w:rFonts w:hint="eastAsia"/>
        </w:rPr>
        <w:t>日</w:t>
      </w:r>
      <w:r>
        <w:t xml:space="preserve">                                     </w:t>
      </w:r>
    </w:p>
    <w:p w14:paraId="373D16CB" w14:textId="77777777" w:rsidR="00351C93" w:rsidRDefault="00351C93">
      <w:pPr>
        <w:pStyle w:val="aa"/>
        <w:snapToGrid w:val="0"/>
        <w:spacing w:line="300" w:lineRule="auto"/>
        <w:rPr>
          <w:sz w:val="24"/>
        </w:rPr>
      </w:pPr>
    </w:p>
    <w:p w14:paraId="3DA0380C" w14:textId="77777777" w:rsidR="00351C93" w:rsidRDefault="00351C93">
      <w:r>
        <w:t xml:space="preserve">                      </w:t>
      </w:r>
    </w:p>
    <w:p w14:paraId="4692F715" w14:textId="77777777" w:rsidR="00351C93" w:rsidRDefault="00351C93">
      <w:pPr>
        <w:rPr>
          <w:b/>
        </w:rPr>
      </w:pPr>
      <w:r>
        <w:rPr>
          <w:rFonts w:hint="eastAsia"/>
          <w:b/>
        </w:rPr>
        <w:t>领导小组审查意见：</w:t>
      </w:r>
      <w:r>
        <w:rPr>
          <w:b/>
        </w:rPr>
        <w:t xml:space="preserve">               </w:t>
      </w:r>
    </w:p>
    <w:p w14:paraId="0F1DA87D" w14:textId="77777777" w:rsidR="00351C93" w:rsidRDefault="00351C93">
      <w:pPr>
        <w:snapToGrid w:val="0"/>
        <w:spacing w:line="360" w:lineRule="auto"/>
      </w:pPr>
      <w:r>
        <w:rPr>
          <w:rFonts w:ascii="黑体" w:eastAsia="黑体"/>
        </w:rPr>
        <w:t xml:space="preserve">                                            </w:t>
      </w:r>
      <w:r>
        <w:rPr>
          <w:rFonts w:hint="eastAsia"/>
        </w:rPr>
        <w:t>审查人签字：</w:t>
      </w:r>
      <w:r>
        <w:t xml:space="preserve">         </w:t>
      </w:r>
      <w:r>
        <w:rPr>
          <w:rFonts w:hint="eastAsia"/>
        </w:rPr>
        <w:t>年</w:t>
      </w:r>
      <w:r>
        <w:t xml:space="preserve">  </w:t>
      </w:r>
      <w:r>
        <w:rPr>
          <w:rFonts w:hint="eastAsia"/>
        </w:rPr>
        <w:t>月</w:t>
      </w:r>
      <w:r>
        <w:t xml:space="preserve">   </w:t>
      </w:r>
    </w:p>
    <w:p w14:paraId="54EAF7D3">
      <w:pPr>
        <w:pStyle w:val="13"/>
        <w:pageBreakBefore/>
      </w:pPr>
      <w:bookmarkStart w:id="6" w:name="_Toc5653"/>
      <w:r>
        <w:rPr>
          <w:rFonts w:hint="eastAsia"/>
        </w:rPr>
        <w:t>附件2：主要源代码</w:t>
      </w:r>
      <w:bookmarkEnd w:id="6"/>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以下代码选自期货市场多智能体决策模拟系统真实项目文件，覆盖智能体画像、历史行情数据加载、世界状态建模、LLM 交易决策、收益评分、后端服务、状态广播和前端交易面板等关键功能。</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代码1 智能体画像、期货品种、交易动作与模拟流程实现</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文件：data/agent-world-codemoo/adapter/tradingGameDemo.js（第 1-1616 行，共 1616 行）</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const { ensureWorldState, ensureAvatar } = require('./worldModel');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const LocalDataLoader = require('./localDataLoader');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const DEFAULT_LLM_MODEL = 'deepseek-ai/DeepSeek-V4-Flash';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let localDataLoader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getLocalDataLoader()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(!localDataLoader)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localDataLoader = new LocalDataLoader();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localDataLoader;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const AGENT_IDS = Object.freeze([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'conservative-hedger',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'balanced-strategist',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'aggressive-breakout',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'memory-auditor'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const AGENT_PROFILES = Object.freeze({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'conservative-hedger':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role: '保守型',</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style: '先保本金。至少等待两个信号互相确认后，才逐步增加仓位。',</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commodityBias: 'gold',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model: DEFAULT_LLM_MODEL,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modelChain: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'deepseek-ai/DeepSeek-V4-Flash',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'deepseek-ai/DeepSeek-V3.2',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'deepseek-ai/DeepSeek-V3.1-Terminus',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'Qwen/Qwen3.6-27B'</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color: '#38bdf8'</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'balanced-strategist':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role: '均衡型',</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style: '综合宏观资讯、价格趋势和回撤压力，偏好分批进出。',</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commodityBias: 'crude_oil',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model: DEFAULT_LLM_MODEL,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modelChain: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'deepseek-ai/DeepSeek-V4-Flash',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'deepseek-ai/DeepSeek-V3.2',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'Qwen/Qwen3.6-35B-A3B',</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'deepseek-ai/DeepSeek-V3.1-Terminus'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color: '#4ade80'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'aggressive-breakout':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role: '激进型',</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style: '当动量和资讯共振时提前行动，接受更大的阶段性回撤。',</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commodityBias: 'soybean',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model: DEFAULT_LLM_MODEL,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modelChain: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'deepseek-ai/DeepSeek-V4-Flash',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'Qwen/Qwen3.6-35B-A3B',</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'deepseek-ai/DeepSeek-V3.2',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'deepseek-ai/DeepSeek-V3.1-Terminus'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color: '#f97316'</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'memory-auditor':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role: '记忆审计',</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style: '质疑拥挤交易，检索相似失败案例，并在每一季后修正提示词。',</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commodityBias: 'gold',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model: DEFAULT_LLM_MODEL,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modelChain: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'deepseek-ai/DeepSeek-V4-Flash',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'deepseek-ai/DeepSeek-V3.2',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'moonshotai/Kimi-K2-Instruct-0905',</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'Qwen/Qwen3.6-35B-A3B'</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color: '#eab308'</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const COMMODITIES = Object.freeze([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id: 'gold', name: '黄金', symbol: 'GC', unit: '美元/盎司'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id: 'soybean', name: '大豆', symbol: 'ZS', unit: '美分/蒲式耳'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id: 'crude_oil', name: '原油', symbol: 'CL', unit: '美元/桶'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const STATIONS = Object.freeze([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id: 'news', label: '资讯采集台', x: 4, y: 11, locationId: 'store', activity: '抓取市场新闻'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id: 'memory', label: '记忆档案馆', x: 25, y: 21, locationId: 'library', activity: '检索相似历史案例'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id: 'price', label: '价格趋势墙', x: 24, y: 3, locationId: 'home_ne', activity: '读取价格趋势'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id: 'risk', label: '风险控制室', x: 4, y: 21, locationId: 'home_sw', activity: '检查回撤边界'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id: 'debate', label: '智能体辩论场', x: 14, y: 14, locationId: null, activity: '辩论信号质量'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id: 'trade', label: '交易执行门', x: 11, y: 3, locationId: 'office', activity: '生成交易指令'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const ROUNDS = Object.freeze([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date: '2016-02-11',</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regime: '避险冲击',</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prices: { gold: 1247, soybean: 878, crude_oil: 26.2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news: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'全球股市抛售推动资金流向黄金避险。',</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'美国大豆出口检验量低于上一季节奏。',</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'原油库存上升，需求预测被下调。'</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memory: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'2011 欧债压力：波动率上升后，黄金避险行情延续。',</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'2014 原油供给冲击：库存可信度下降时，过早做多受到惩罚。',</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'2015 谷物过剩：出口节奏偏弱会压制反弹高度。'</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scoreboard: { conservative: 0.8, balanced: 0.3, aggressive: -0.4, auditor: 0.5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date: '2016-09-28',</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regime: 'OPEC减产协议',</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prices: { gold: 1322, soybean: 1035, crude_oil: 47.8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news: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'OPEC达成限产协议，原油价格从低点反弹。',</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'黄金因美联储加息预期升温而承压。',</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'大豆受良好天气和丰收预期压制。'</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memory: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'2008 OPEC减产：价格支撑短暂，需求才是决定性因素。',</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'2013 黄金加息冲击：实际收益率上行压制无息资产。',</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'2012 大豆天气行情：供给端意外才能打破平衡。'</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scoreboard: { conservative: 1.0, balanced: 0.8, aggressive: 1.2, auditor: 0.7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date: '2017-06-15',</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regime: '温和复苏',</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prices: { gold: 1215, soybean: 968, crude_oil: 45.6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news: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'全球经济温和复苏，风险偏好上升。',</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'美联储缓慢加息路径压制黄金。',</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'大豆出口需求稳定，但南美产量恢复。'</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memory: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'2016 黄金底部震荡：低波动环境下缺乏方向性驱动。',</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'2014 大豆供给扩张：南美产量增加持续压制价格。',</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'2015 原油底部震荡：OPEC市场份额战略拖累价格。'</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scoreboard: { conservative: 1.4, balanced: 1.2, aggressive: 1.5, auditor: 1.1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date: '2018-05-09',</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regime: '贸易摩擦',</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prices: { gold: 1313, soybean: 1018, crude_oil: 71.1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news: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'关税消息增加农产品流向的不确定性。',</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'地缘供给风险升温后，油价继续走高。',</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'尽管消息波动加大，黄金仍维持区间震荡。'</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memory: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'2012 干旱行情：供给担忧叠加资金流入时，大豆上涨加速。',</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'2016 原油反弹：备用产能偏紧时，趋势得以延续。',</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'2017 黄金震荡：单靠消息风险不足以突破阻力。'</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scoreboard: { conservative: 1.2, balanced: 1.4, aggressive: 2.1, auditor: 1.0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date: '2018-12-20',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regime: '贸易战升级',</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prices: { gold: 1262, soybean: 916, crude_oil: 44.2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news: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'中美贸易摩擦升级，大豆出口几乎停滞。',</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'原油价格暴跌，OPEC紧急会议讨论减产。',</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'股市大幅波动，黄金未能有效避险。'</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memory: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'2018 大豆贸易战：中国关税直接切断美国出口渠道。',</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'2014-2016 原油崩盘：供给过剩时需求故事失效。',</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'2013 黄金失灵：美元流动性危机中所有资产被抛售。'</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scoreboard: { conservative: 1.8, balanced: 1.1, aggressive: -0.5, auditor: 2.0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date: '2019-08-05',</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regime: '降息周期开启',</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prices: { gold: 1487, soybean: 862, crude_oil: 55.8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news: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'美联储宣布降息，黄金突破关键阻力。',</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'贸易摩擦持续压制大豆出口前景。',</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'原油受制于全球经济增长放缓。'</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memory: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'2016 黄金反弹：降息预期提振避险需求。',</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'2012 大豆反弹：天气炒作叠加出口恢复。',</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'2019 原油疲软：需求担忧压倒供给端支撑。'</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scoreboard: { conservative: 2.4, balanced: 2.2, aggressive: 1.8, auditor: 2.6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date: '2020-01-15',</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regime: '第一阶段协议',</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prices: { gold: 1548, soybean: 935, crude_oil: 58.4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news: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'中美签署第一阶段贸易协议，大豆出口恢复预期。',</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'黄金在贸易缓和后仍保持强势。',</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'原油需求预期改善，但供给充足。'</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memory: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'2018 大豆贸易协议：消息落地后价格反弹有限。',</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'2019 黄金持续走强：地缘不确定性提供支撑。',</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'2016 原油反弹：协议利好需要库存数据确认。'</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scoreboard: { conservative: 2.8, balanced: 2.9, aggressive: 2.5, auditor: 3.0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date: '2020-04-20',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regime: '疫情错位',</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prices: { gold: 1693, soybean: 832, crude_oil: -37.6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news: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'近月原油合约因库容压力崩塌。',</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'各国央行扩大紧急流动性计划。',</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'食品供应链出现物流摩擦，但需求能见度仍然很低。'</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memory: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'2008 流动性冲击：被动抛售会扭曲正常宏观信号。',</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'2015 原油升水结构：合约机制比现货叙事更重要。',</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'2019 大豆反复震荡：物流消息需要价差确认。'</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scoreboard: { conservative: 2.2, balanced: 0.7, aggressive: -1.8, auditor: 2.4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date: '2020-08-07',</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regime: '黄金历史新高',</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prices: { gold: 2063, soybean: 928, crude_oil: 41.5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news: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'黄金首次突破2000美元，创历史新高。',</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'美联储无限量QE推动大宗商品反弹。',</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'大豆出口需求强劲，中国大量采购。'</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memory: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'2011 黄金历史高点：情绪极值往往是反转信号。',</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'2008 QE效应：流动性注入推升所有资产价格。',</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'2012 大豆出口潮：中国需求可以改变供需平衡。'</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scoreboard: { conservative: 3.5, balanced: 3.2, aggressive: 2.8, auditor: 3.6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date: '2021-05-12',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regime: '通胀交易',</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prices: { gold: 1832, soybean: 1498, crude_oil: 65.3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news: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'大宗商品全面上涨，通胀交易盛行。',</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'大豆受天气和出口双重推动。',</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'黄金从高位回落，实际收益率压力增大。'</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memory: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'2011 大宗牛市：通胀预期可以自我强化。',</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'2008 通胀见顶：政策收紧往往终结趋势。',</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'2014 黄金回调：实际收益率回升是核心压力。'</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scoreboard: { conservative: 3.8, balanced: 4.2, aggressive: 4.5, auditor: 3.9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date: '2021-11-08',</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regime: '紧缩预期',</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prices: { gold: 1822, soybean: 1298, crude_oil: 81.2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news: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'美联储开始缩减QE，收紧预期升温。',</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'原油需求恢复推动价格走高。',</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'大豆从高位回落，但仍处历史高位区间。'</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memory: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'2013 缩减恐慌：政策转向往往引发剧烈波动。',</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'2018 原油高位：需求见顶担忧随后出现。',</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'2011 黄金回撤：流动性收紧预期打压价格。'</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scoreboard: { conservative: 4.0, balanced: 4.3, aggressive: 3.9, auditor: 4.2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date: '2022-03-08',</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regime: '供给冲击',</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prices: { gold: 2043, soybean: 1689, crude_oil: 123.7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news: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'能源供给担忧触发大宗商品全面挤压。',</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'粮食安全担忧抬升谷物和油籽风险溢价。',</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'通胀与地缘风险共振，黄金快速拉升。'</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memory: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'2011 黄金急涨：抛物线式避险行情会惩罚追高入场。',</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'2008 原油尖峰：趋势跟随有效，直到波动率翻倍。',</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'2012 大豆稀缺：强基差确认期货强势。'</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scoreboard: { conservative: 2.6, balanced: 3.0, aggressive: 3.7, auditor: 3.2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date: '2022-06-15',</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regime: '激进加息',</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prices: { gold: 1836, soybean: 1485, crude_oil: 118.5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news: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'美联储加息75个基点，美元走强压制黄金。',</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'原油因地缘冲突维持高位震荡。',</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'大豆受天气支撑，但加息压力开始显现。'</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memory: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'2018 加息周期：美元走强是商品最大逆风。',</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'2022 黄金回调：实际收益率快速上升打压价格。',</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'2012 天气行情：供给端炒作往往快于需求破坏。'</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scoreboard: { conservative: 3.2, balanced: 3.5, aggressive: 2.8, auditor: 3.6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date: '2022-11-10',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regime: '通胀见顶',</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prices: { gold: 1768, soybean: 1432, crude_oil: 88.2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news: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'美国CPI低于预期，市场押注加息放缓。',</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'黄金反弹，但上行空间仍然受限。',</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'原油因需求衰退担忧回落。'</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memory: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'2019 降息预期：政策转向初期波动率上升。',</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'2008 需求破坏：通胀见顶后商品往往大幅回落。',</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'2016 黄金底部：实际收益率是关键驱动。'</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scoreboard: { conservative: 3.6, balanced: 3.8, aggressive: 3.2, auditor: 4.0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date: '2023-05-03',</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regime: '银行业危机',</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prices: { gold: 2052, soybean: 1468, crude_oil: 73.5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news: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'美国地区银行危机推动避险需求。',</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'黄金再次测试2000美元上方阻力。',</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'原油受制于经济衰退担忧。'</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memory: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'2008 银行危机：流动性紧张引发全面抛售。',</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'2020 黄金避险：系统性风险中黄金表现优异。',</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'2016 原油低迷：需求故事在危机中失效。'</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scoreboard: { conservative: 4.2, balanced: 3.9, aggressive: 3.5, auditor: 4.5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date: '2023-10-05',</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regime: '高利率更久',</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prices: { gold: 1831, soybean: 1278, crude_oil: 82.3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news: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'实际收益率上行压制无息资产。',</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'需求担忧抵消减产支撑，原油回落。',</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'大豆收获压力遇上出口需求不均衡。'</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memory: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'2018 利率重定价：实际收益率上升时，黄金向下破位。',</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'2022 原油反转：需求预期转弱后，减产支撑失效。',</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'2020 收获压力：大豆反弹需要出口确认。'</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scoreboard: { conservative: 3.3, balanced: 3.4, aggressive: 2.9, auditor: 3.8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date: '2024-04-12',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regime: '地缘风险溢价',</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prices: { gold: 2385, soybean: 1185, crude_oil: 87.6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news: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'中东局势紧张，原油风险溢价上升。',</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'央行购金推动黄金持续走强。',</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'大豆受南美天气和出口竞争影响。'</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memory: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'2022 地缘冲击：事件驱动行情来得快去得也快。',</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'2020 央行购金：官方需求是长期支撑因素。',</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'2018 南美天气：天气炒作窗口期短暂。'</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scoreboard: { conservative: 4.0, balanced: 4.3, aggressive: 4.6, auditor: 4.1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date: '2024-09-18',</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regime: '降息周期重启',</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prices: { gold: 2582, soybean: 1025, crude_oil: 71.2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news: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'美联储启动降息，黄金创历史新高。',</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'大豆因供给充足和需求疲软走弱。',</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'原油因OPEC增产和经济放缓承压。'</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memory: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'2019 降息效应：实际收益率下降提振黄金。',</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'2016 大豆弱势：供给过剩需要天气冲击扭转。',</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'2020 原油需求：经济放缓预期压制价格。'</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scoreboard: { conservative: 4.5, balanced: 4.6, aggressive: 4.2, auditor: 4.8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date: '2025-01-17',</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regime: '软着陆争论',</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prices: { gold: 2716, soybean: 1042, crude_oil: 78.5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news: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'黄金在多月机构买盘后进入整理。',</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'供应预估仍较宽松，大豆走势偏弱。',</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'宏观需求与航运风险相互拉扯，原油维持区间。'</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memory: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'2020 黄金整理：回撤守住前高后，趋势仍然延续。',</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'2016 大豆筑底：偏弱供给故事需要天气冲击才能反转。',</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'2023 原油区间：实物平衡转松后，地缘风险溢价消退。'</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scoreboard: { conservative: 4.1, balanced: 4.2, aggressive: 3.5, auditor: 4.4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date: '2025-04-22',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regime: '关税冲击',</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prices: { gold: 3125, soybean: 965, crude_oil: 62.8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news: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'全球关税政策不确定性引发市场动荡。',</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'黄金因避险需求飙升至3000美元上方。',</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'大豆出口受关税影响，需求前景恶化。'</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memory: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'2018 关税冲击：贸易壁垒改变全球供应链。',</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'2020 避险飙升：系统性风险中资金涌入黄金。',</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'2019 大豆困境：出口渠道受阻压制价格。'</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scoreboard: { conservative: 4.8, balanced: 4.5, aggressive: 3.8, auditor: 5.0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date: '2025-07-15',</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regime: ' supply 重构',</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prices: { gold: 3285, soybean: 1125, crude_oil: 75.3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news: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'全球供应链重构加速，大宗商品需求格局变化。',</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'黄金央行购金持续，新兴市场去美元化趋势。',</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'大豆出口恢复，南美产量不及预期。'</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memory: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'2021 供应链瓶颈：需求转移推升区域溢价。',</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'2024 央行购金：官方需求成为价格底线。',</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'2012 南美天气：产量意外支撑全球价格。'</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scoreboard: { conservative: 5.2, balanced: 4.9, aggressive: 4.5, auditor: 5.3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date: '2025-10-08',</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regime: '能源转型',</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prices: { gold: 3156, soybean: 1085, crude_oil: 68.5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news: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'新能源替代预期压制长期原油需求前景。',</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'生物柴油政策提振大豆需求。',</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'黄金高位震荡，市场等待下一催化。'</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memory: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'2020 能源转型：结构性需求变化是长期趋势。',</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'2022 生物燃料：政策驱动可以改变供需平衡。',</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'2023 黄金整理：缺乏催化时价格回归区间。'</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scoreboard: { conservative: 5.4, balanced: 5.1, aggressive: 4.7, auditor: 5.5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date: '2026-01-12',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regime: '新年开局',</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prices: { gold: 3425, soybean: 1158, crude_oil: 82.1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news: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'新年机构资金重新配置，黄金获大量流入。',</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'大豆天气炒作窗口开启，市场关注产区情况。',</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'OPEC+延长减产协议，原油获得支撑。'</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memory: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'2021 年初配置：资金流动可以驱动趋势形成。',</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'2012 天气行情：供给端意外往往在一季度发酵。',</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'2016 OPEC减产：供给管理短期内有效支撑价格。'</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scoreboard: { conservative: 5.6, balanced: 5.4, aggressive: 5.0, auditor: 5.7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const ACTIONS_BY_AGENT = Object.freeze({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'conservative-hedger': ['BUY', 'BUY', 'HOLD', 'SELL', 'SELL', 'HOLD', 'HOLD', 'SELL', 'BUY', 'HOLD', 'SELL', 'BUY', 'SELL', 'HOLD', 'BUY', 'HOLD', 'BUY', 'BUY', 'HOLD', 'HOLD', 'BUY', 'HOLD', 'SELL', 'BUY', 'HOLD', 'BUY', 'HOLD', 'SELL', 'BUY', 'HOLD', 'BUY', 'SELL', 'HOLD', 'BUY', 'HOLD', 'HOLD'],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'balanced-strategist': ['HOLD', 'BUY', 'HOLD', 'BUY', 'SELL', 'BUY', 'HOLD', 'SELL', 'BUY', 'BUY', 'SELL', 'BUY', 'SELL', 'HOLD', 'BUY', 'SELL', 'BUY', 'BUY', 'HOLD', 'SELL', 'HOLD', 'BUY', 'SELL', 'BUY', 'SELL', 'BUY', 'HOLD', 'SELL', 'BUY', 'HOLD', 'BUY', 'SELL', 'HOLD', 'BUY', 'SELL', 'HOLD'],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'aggressive-breakout': ['BUY', 'BUY', 'HOLD', 'HOLD', 'SELL', 'BUY', 'BUY', 'SELL', 'HOLD', 'BUY', 'SELL', 'HOLD', 'SELL', 'BUY', 'BUY', 'SELL', 'BUY', 'BUY', 'SELL', 'SELL', 'BUY', 'HOLD', 'SELL', 'BUY', 'SELL', 'BUY', 'BUY', 'SELL', 'HOLD', 'BUY', 'BUY', 'SELL', 'HOLD', 'BUY', 'SELL', 'HOLD'],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'memory-auditor': ['HOLD', 'HOLD', 'HOLD', 'HOLD', 'SELL', 'HOLD', 'HOLD', 'SELL', 'HOLD', 'HOLD', 'SELL', 'SELL', 'HOLD', 'HOLD', 'BUY', 'HOLD', 'BUY', 'HOLD', 'HOLD', 'HOLD', 'HOLD', 'HOLD', 'SELL', 'HOLD', 'HOLD', 'BUY', 'HOLD', 'SELL', 'HOLD', 'HOLD', 'BUY', 'HOLD', 'HOLD', 'HOLD', 'HOLD', 'HOLD']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const TOOL_BY_STATION = Object.freeze({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news: { name: '资讯抓取', icon: 'N'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memory: { name: '记忆检索', icon: 'M'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price: { name: '趋势读取', icon: 'P'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risk: { name: '风险校验', icon: 'R'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debate: { name: '智能体辩论', icon: 'D'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trade: { name: '交易指令', icon: 'T'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const STATION_OFFSET_BY_AGENT = Object.freeze({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'conservative-hedger':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'balanced-strategist': 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'aggressive-breakout': 1,</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'memory-auditor': 3</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const EXPOSURE_SCALE_BY_AGENT = Object.freeze({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'conservative-hedger': 0.65,</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'balanced-strategist': 0.9,</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'aggressive-breakout': 1.25,</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'memory-auditor': 0.75</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const TRAINING_TRADE_COUNT = 3;</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clampRoundIndex(roundIndex)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numeric = Number.isFinite(roundIndex) ? Math.floor(roundIndex) :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wrapped = numeric % ROUNDS.length;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wrapped &lt; 0 ? wrapped + ROUNDS.length : wrapped;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rethemeWorld(world)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names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store: '资讯采集台',</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library: '记忆档案馆',</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home_ne: '价格趋势墙',</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home_sw: '风险控制室',</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office: '交易执行门',</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cafe: '策略休息区',</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home_nw: '研究工作室'</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(!Array.isArray(world?.locations)) return;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for (const location of world.locations)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(names[location.id]) location.name = names[location.id];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actionLabel(action)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action === 'BUY' ? '买入' : action === 'SELL' ? '卖出' : '观望';</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normalizeAction(action)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raw = String(action || '').trim().toUpperCase();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raw === 'BUY' || raw === 'SELL' || raw === 'HOLD' ? raw : 'HOLD';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clampConfidence(value)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numeric = Number(value);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(!Number.isFinite(numeric)) return 55;</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Math.max(1, Math.min(99, Math.round(numeric)));</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buildDecision({ agentId, round, roundIndex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profile = AGENT_PROFILES[agentId];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action = ACTIONS_BY_AGENT[agentId][roundIndex % ROUNDS.length];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commodity = COMMODITIES.find(item =&gt; item.id === profile.commodityBias) || COMMODITIES[0];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price = round.prices[commodity.id];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confidence = Math.max(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42,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Math.min(92, 58 + roundIndex * 5 + (action === 'HOLD' ? -6 : 7))</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exposure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action === 'BUY' ? '+1 做多'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action === 'SELL' ? '-1 减仓/反手'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'空仓观察';</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action,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actionLabel: actionLabel(action),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commodity: commodity.id,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symbol: commodity.symbol,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price,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confidence,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source: 'simulated',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exposure,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reason: `${actionLabel(action)} ${commodity.name}（${commodity.symbol}）：价格 ${price}，结合“${round.regime}”资讯、历史相似案例和${profile.role}风险规则后给出该动作。`,</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evidence: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round.news[roundIndex % round.news.length],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`${commodity.name}趋势检查点：${price} ${commodity.unit}`,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round.memory[(roundIndex + 1) % round.memory.length]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buildMemory({ agentId, round, roundIndex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profile = AGENT_PROFILES[agentId];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archive: profile.commodityBias,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retrieved: round.memory.map((text, index) =&gt;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id: `${agentId}-m${roundIndex}-${index}`,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date: ROUNDS[Math.max(0, roundIndex - index)]?.date || round.date,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weight: Number((0.86 - index * 0.13).toFixed(2)),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text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lesson: `${profile.role}将“${round.regime}”与历史记忆“${round.memory[0]}”进行类比`</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buildStrategy({ agentId, roundIndex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profile = AGENT_PROFILES[agentId];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season = Math.floor(roundIndex / 3) + 1;</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patchNotes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`第 ${season} 季：提高与当前市场阶段相似的历史案例权重`,</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profile.role === '激进型'</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'波动冲击后限制加仓次数'</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'改变仓位前必须得到记忆模块确认'</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promptVersion: season,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style: profile.style,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patchNotes,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nextMutation: roundIndex % 3 === 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'本轮验证结束后重写信号权重'</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'继续收集证据，暂不改写提示词'</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stationFor(agentId, roundIndex)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agentOffset = STATION_OFFSET_BY_AGENT[agentId] ??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STATIONS[(roundIndex + agentOffset) % STATIONS.length];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roundWithLocalPrices(round, loader)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prices = { ...round.prices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realPrices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let realCount =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(loader?.isLoaded?.())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for (const commodity of COMMODITIES)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price = loader.getPriceAtDate(commodity.id, round.date);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(Number.isFinite(price))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prices[commodity.id] = Number(price);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realPrices[commodity.id] = Number(price);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realCount += 1;</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...round,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prices,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dataSource: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realCount === COMMODITIES.length ? 'local-real'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realCount &gt; 0 ? 'mixed-real-scenario'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'scenario',</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realPrices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getHistoricalRounds()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loader = getLocalDataLoader();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ROUNDS.map(round =&gt; roundWithLocalPrices(round, loader));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catch (error)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console.warn('[trading-demo] historical data unavailable:', error.message);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ROUNDS.map(round =&gt; ({ ...round, prices: { ...round.prices }, dataSource: 'scenario', realPrices: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clampScore(value)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Number(Math.max(-18, Math.min(22, value)).toFixed(2));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calculateTradeScore({ action, currentPrice, nextPrice, exposureScale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(!Number.isFinite(currentPrice) || !Number.isFinite(nextPrice)) return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priceMovePct = ((nextPrice - currentPrice) / Math.max(1, Math.abs(currentPrice))) * 100;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(action === 'HOLD')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clampScore(Math.abs(priceMovePct) &lt; 3 ? 0.6 : -Math.abs(priceMovePct) * 0.08);</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direction = action === 'SELL' ? -1 : 1;</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clampScore(direction * priceMovePct * exposureScale);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recommendationFor({ totalScore, testScore, maxDrawdown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(testScore &gt;= 4 &amp;&amp; totalScore &gt; 2 &amp;&amp; maxDrawdown &lt;= 18)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status: 'adopt',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label: '采纳',</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text: '测试段仍能贡献收益，下一轮提高该策略采样概率。'</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(totalScore &lt; -4 || maxDrawdown &gt; 18)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status: 'remove',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label: '淘汰',</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text: '累计表现中收益/回撤不达标，下一轮降低权重或移除。'</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status: 'watch',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label: '观察',</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text: '表现尚可但测试段优势不够稳定，保留并继续修正 prompt。'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average(values)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nums = values.filter(Number.isFinite);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(!nums.length) return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nums.reduce((sum, value) =&gt; sum + value, 0) / nums.length;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buildAgentActionDistribution(trades)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distribution = { BUY: 0, SELL: 0, HOLD: 0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for (const trade of trades)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(Object.prototype.hasOwnProperty.call(distribution, trade.action))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distribution[trade.action] += 1;</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distribution;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buildFailurePoints(trades)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trades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.filter(trade =&gt; Number(trade.scoreDelta || 0) &lt;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.slice()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.sort((a, b) =&gt; Number(a.scoreDelta || 0) - Number(b.scoreDelta ||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.slice(0, 3)</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.map(trade =&gt;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round: Number(trade.index || 0) + 1,</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date: trade.date,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exitDate: trade.exitDate,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regime: trade.regime,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action: trade.action,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actionLabel: trade.actionLabel || actionLabel(trade.action),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symbol: trade.symbol,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scoreDelta: Number(Number(trade.scoreDelta || 0).toFixed(2)),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entry: trade.entry,</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exit: trade.exit,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reason: `第 ${Number(trade.index || 0) + 1} 轮 ${trade.actionLabel || actionLabel(trade.action)} ${trade.symbol} 后记 ${Number(trade.scoreDelta || 0).toFixed(2)} 分。`</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buildFailureSummary({ role, trades, failures, worstTrade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(!trades.length) return `${role} 尚未形成可评分交易，等待更多轮次。`;</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(!failures.length) return `${role} 当前没有亏损交易，重点观察后续轮次的稳定性。`;</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`${role} 累计 ${failures.length}/${trades.length} 轮失分，最大失分来自第 ${Number(worstTrade.index || 0) + 1} 轮 ${worstTrade.actionLabel || actionLabel(worstTrade.action)} ${worstTrade.symbol}。`;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buildRepairPlan({ item, failures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plans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(failures.length &gt; 0) plans.push('把最大失分回合加入记忆检索，遇到相似价格结构时先降权。');</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(Number(item.maxDrawdown || 0) &gt; 8) plans.push('降低连续同向开仓权重，先控制回撤再追求收益。');</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(Number(item.testScore || 0) &lt; Number(item.trainingScore || 0)) plans.push('提高测试段样本权重，避免只适配前段行情。');</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(!plans.length) plans.push('保留当前策略骨架，继续累计样本后再调整 prompt。');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plans.slice(0, 2).join('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buildAgentBreakdown(item)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trades = Array.isArray(item.trades) ? item.trades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failures = trades.filter(trade =&gt; Number(trade.scoreDelta || 0) &lt;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wins = trades.filter(trade =&gt; Number(trade.scoreDelta || 0) &gt;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worstTrade = failures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.slice()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.sort((a, b) =&gt; Number(a.scoreDelta || 0) - Number(b.scoreDelta || 0))[0]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bestTrade = trades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.slice()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.sort((a, b) =&gt; Number(b.scoreDelta || 0) - Number(a.scoreDelta || 0))[0]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agentId: item.agentId,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role: item.role,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style: item.style,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symbol: item.symbol,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totalScore: Number(item.totalScore ||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rawScore: Number(item.rawScore ?? item.totalScore ??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trainingScore: Number(item.trainingScore ||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testScore: Number(item.testScore ||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maxDrawdown: Number(item.maxDrawdown ||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hitRate: Number(item.hitRate ||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tradeCount: trades.length,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winCount: wins.length,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lossCount: failures.length,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failureRate: trades.length ? Number(((failures.length / trades.length) * 100).toFixed(1)) :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actionDistribution: buildAgentActionDistribution(trades),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recommendation: item.recommendation?.status || 'watch',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recommendationLabel: item.recommendation?.label || '观察',</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recommendationText: item.recommendation?.text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bestTrade: bestTrade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round: Number(bestTrade.index || 0) + 1,</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actionLabel: bestTrade.actionLabel || actionLabel(bestTrade.action),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symbol: bestTrade.symbol,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scoreDelta: Number(Number(bestTrade.scoreDelta || 0).toFixed(2))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worstTrade: worstTrade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round: Number(worstTrade.index || 0) + 1,</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actionLabel: worstTrade.actionLabel || actionLabel(worstTrade.action),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symbol: worstTrade.symbol,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scoreDelta: Number(Number(worstTrade.scoreDelta || 0).toFixed(2))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failurePoints: buildFailurePoints(trades),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failureSummary: buildFailureSummary({ role: item.role, trades, failures, worstTrade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repairPlan: buildRepairPlan({ item, failures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buildEvaluationAnalysis({ rankings, completedTradeCount, rounds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ranked = Array.isArray(rankings) ? rankings.slice()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best = ranked[0]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worst = ranked[ranked.length - 1]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allTrades = ranked.flatMap(item =&gt; Array.isArray(item.trades) ? item.trades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actionDistribution = { BUY: 0, SELL: 0, HOLD: 0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for (const trade of allTrades)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(Object.prototype.hasOwnProperty.call(actionDistribution, trade.action))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actionDistribution[trade.action] += 1;</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topTrades = Array.isArray(best?.trades) ? best.trades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topEquityCurve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date: rounds[0]?.date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value: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phase: 'start',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label: '起点'</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...topTrades.map(trade =&gt;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date: trade.exitDate || trade.date,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value: Number(Number(trade.equity || 0).toFixed(2)),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phase: trade.phase,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action: trade.action,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scoreDelta: Number(Number(trade.scoreDelta || 0).toFixed(2))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trainingLeaders = ranked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.slice()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.sort((a, b) =&gt; Number(b.trainingScore || 0) - Number(a.trainingScore ||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testLeaders = ranked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.slice()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.sort((a, b) =&gt; Number(b.testScore || 0) - Number(a.testScore ||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averageHitRate = Number(average(ranked.map(item =&gt; Number(item.hitRate))).toFixed(1));</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averageDrawdown = Number(average(ranked.map(item =&gt; Number(item.maxDrawdown))).toFixed(2));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alphaSpread = Number((Number(best?.totalScore || 0) - Number(worst?.totalScore || 0)).toFixed(2));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bestTrain = trainingLeaders[0] || best;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bestTest = testLeaders[0] || best;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worstDrawdown = ranked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.slice()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.sort((a, b) =&gt; Number(b.maxDrawdown || 0) - Number(a.maxDrawdown || 0))[0] || worst;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conclusions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(best)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conclusions.push(`${best.role}当前综合得分最高，适合作为下一轮策略采样的主候选。`);</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(bestTrain &amp;&amp; bestTest)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conclusions.push(`训练段优势来自${bestTrain.role}，测试段表现最好的是${bestTest.role}，用于判断策略是否泛化。`);</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(worstDrawdown)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conclusions.push(`${worstDrawdown.role}最大回撤为 ${Number(worstDrawdown.maxDrawdown || 0).toFixed(2)}，是后续 prompt 修正的主要风险样本。`);</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sampleCount: completedTradeCount,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completedRoundCount: completedTradeCount,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totalScenarioRounds: Math.max(0, rounds.length - 1),</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totalAgentDecisions: allTrades.length,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trainingTrades: Math.min(completedTradeCount, TRAINING_TRADE_COUNT),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testTrades: Math.max(0, completedTradeCount - TRAINING_TRADE_COUNT),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agentCount: ranked.length,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scope: `累计统计至第 ${completedTradeCount} 轮，共 ${allTrades.length} 条智能体交易决策。`,</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bestAgentId: best?.agentId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bestRole: best?.role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worstAgentId: worst?.agentId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worstRole: worst?.role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averageHitRate,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averageDrawdown,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alphaSpread,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actionDistribution,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scoreBars: ranked.map(item =&gt;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agentId: item.agentId,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role: item.role,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symbol: item.symbol,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totalScore: Number(item.totalScore ||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trainingScore: Number(item.trainingScore ||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testScore: Number(item.testScore ||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maxDrawdown: Number(item.maxDrawdown ||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hitRate: Number(item.hitRate ||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tradeCount: Array.isArray(item.trades) ? item.trades.length :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lossCount: Array.isArray(item.trades) ? item.trades.filter(trade =&gt; Number(trade.scoreDelta || 0) &lt; 0).length :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recommendation: item.recommendation?.status || 'watch'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agentBreakdowns: ranked.map(buildAgentBreakdown),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topEquityCurve,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conclusions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scoreAgent({ agentId, rounds, completedTradeCount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profile = AGENT_PROFILES[agentId];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commodity = COMMODITIES.find(item =&gt; item.id === profile.commodityBias) || COMMODITIES[0];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exposureScale = EXPOSURE_SCALE_BY_AGENT[agentId] || 1;</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trades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let equity =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let peak =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let maxDrawdown =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for (let i = 0; i &lt; completedTradeCount; i += 1)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current = rounds[i];</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next = rounds[i + 1];</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(!current || !next) continue;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action = ACTIONS_BY_AGENT[agentId][i % ROUNDS.length];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currentPrice = Number(current.prices?.[commodity.id]);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nextPrice = Number(next.prices?.[commodity.id]);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delta = calculateTradeScore({ action, currentPrice, nextPrice, exposureScale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equity = Number((equity + delta).toFixed(2));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peak = Math.max(peak, equity);</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maxDrawdown = Math.max(maxDrawdown, Number((peak - equity).toFixed(2)));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trades.push({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index: i,</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phase: i &lt; TRAINING_TRADE_COUNT ? 'training' : 'test',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date: current.date,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exitDate: next.date,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regime: current.regime,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action,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actionLabel: actionLabel(action),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symbol: commodity.symbol,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commodity: commodity.id,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entry: currentPrice,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exit: nextPrice,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scoreDelta: delta,</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equity</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trainingScore = trades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.filter(item =&gt; item.phase === 'training')</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.reduce((sum, item) =&gt; sum + item.scoreDelta,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testScore = trades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.filter(item =&gt; item.phase === 'test')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.reduce((sum, item) =&gt; sum + item.scoreDelta,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totalScore = trades.reduce((sum, item) =&gt; sum + item.scoreDelta,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evaluatedTrades = trades.length || 1;</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hitRate = trades.filter(item =&gt; item.scoreDelta &gt; 0).length / evaluatedTrades;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recommendation = recommendationFor({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totalScore,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testScore,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maxDrawdown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agentId,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role: profile.role,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style: profile.style,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symbol: commodity.symbol,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commodity: commodity.id,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totalScore: Number(totalScore.toFixed(2)),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trainingScore: Number(trainingScore.toFixed(2)),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testScore: Number(testScore.toFixed(2)),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maxDrawdown: Number(maxDrawdown.toFixed(2)),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hitRate: Number((hitRate * 100).toFixed(1)),</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trades,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lastTrade: trades[trades.length - 1]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recommendation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Build evaluation based on actual LLM decisions stored in agent.decision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buildLlmEvaluation({ worldState, rounds, roundIndex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completedTradeCount = Math.max(1, Math.min(roundIndex + 1, rounds.length - 1));</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ledger = Array.isArray(worldState.meta?.trading?.llmDecisionLedger)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worldState.meta.trading.llmDecisionLedger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ledgerByRound = new Map();</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for (const entry of ledger)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(!entry || !entry.agentId || !Number.isFinite(Number(entry.roundIndex))) continue;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ledgerByRound.set(`${entry.agentId}:${Number(entry.roundIndex)}`, entry);</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rankings = AGENT_IDS.map(agentId =&gt;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profile = AGENT_PROFILES[agentId];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defaultCommodity = COMMODITIES.find(item =&gt; item.id === profile.commodityBias) || COMMODITIES[0];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exposureScale = EXPOSURE_SCALE_BY_AGENT[agentId] || 1;</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trades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let equity =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let peak =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let maxDrawdown =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for (let i = 0; i &lt; completedTradeCount; i += 1)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current = rounds[i];</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next = rounds[i + 1];</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ledgerEntry = ledgerByRound.get(`${agentId}:${i}`);</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(!current || !next || !ledgerEntry) continue;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commodity = COMMODITIES.find(item =&gt;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item.id === ledgerEntry.commodity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item.symbol === ledgerEntry.commodity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item.symbol === ledgerEntry.symbol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 defaultCommodity;</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action = normalizeAction(ledgerEntry.action);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currentPrice = Number(current.prices?.[commodity.id]);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nextPrice = Number(next.prices?.[commodity.id]);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(!Number.isFinite(currentPrice) || !Number.isFinite(nextPrice)) continue;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delta = calculateTradeScore({ action, currentPrice, nextPrice, exposureScale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equity = Number((equity + delta).toFixed(2));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peak = Math.max(peak, equity);</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maxDrawdown = Math.max(maxDrawdown, Number((peak - equity).toFixed(2)));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trades.push({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index: i,</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phase: i &lt; TRAINING_TRADE_COUNT ? 'training' : 'test',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date: current.date,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exitDate: next.date,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regime: current.regime,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action,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actionLabel: actionLabel(action),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symbol: commodity.symbol,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commodity: commodity.id,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entry: currentPrice,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exit: nextPrice,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scoreDelta: delta,</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equity,</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confidence: ledgerEntry.confidence,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source: 'llm'</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trainingScore = trades.filter(item =&gt; item.phase === 'training').reduce((sum, item) =&gt; sum + item.scoreDelta,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testScore = trades.filter(item =&gt; item.phase === 'test').reduce((sum, item) =&gt; sum + item.scoreDelta,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totalScore = trades.reduce((sum, item) =&gt; sum + item.scoreDelta,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evaluatedTrades = trades.length || 1;</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hitRate = trades.filter(item =&gt; item.scoreDelta &gt; 0).length / evaluatedTrades;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recommendation = recommendationFor({ totalScore, testScore, maxDrawdown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agentId,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role: profile.role,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style: profile.style,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symbol: trades[trades.length - 1]?.symbol || defaultCommodity.symbol,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commodity: trades[trades.length - 1]?.commodity || defaultCommodity.id,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totalScore: Number(totalScore.toFixed(2)),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trainingScore: Number(trainingScore.toFixed(2)),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testScore: Number(testScore.toFixed(2)),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maxDrawdown: Number(maxDrawdown.toFixed(2)),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hitRate: Number((hitRate * 100).toFixed(1)),</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trades,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lastTrade: trades[trades.length - 1]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recommendation,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rawScore: totalScore,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rawTrainingScore: trainingScore,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rawTestScore: testScore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}).sort((a, b) =&gt; b.totalScore - a.totalScore);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Normalize scores (subtract mean)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meanTotal = rankings.reduce((sum, item) =&gt; sum + item.totalScore, 0) / rankings.length;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meanTraining = rankings.reduce((sum, item) =&gt; sum + item.trainingScore, 0) / rankings.length;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meanTest = rankings.reduce((sum, item) =&gt; sum + item.testScore, 0) / rankings.length;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rankings.forEach(item =&gt;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item.totalScore = Number((item.totalScore - meanTotal).toFixed(2));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item.trainingScore = Number((item.trainingScore - meanTraining).toFixed(2));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item.testScore = Number((item.testScore - meanTest).toFixed(2));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rankings.sort((a, b) =&gt; b.totalScore - a.totalScore);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Update recommendations based on new rankings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rankings.forEach((item, index) =&gt;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(index === 0)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item.recommendation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status: 'adopt',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label: '采纳',</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text: '模型累计决策中排名第一，建议采纳该策略。'</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else if (index === rankings.length - 1 || item.maxDrawdown &gt; 18)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item.recommendation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status: 'remove',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label: '淘汰',</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text: '模型累计决策中收益/回撤不达标。'</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else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item.recommendation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status: 'watch',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label: '观察',</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text: '模型表现尚可但需要更多回合验证。'</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byAgent: Object.fromEntries(rankings.map(item =&gt; [item.agentId, item])),</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rankings,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method: '基于模型真实决策的累计评分',</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dataSource: '模型累计决策',</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trainingWindow: `${rounds[0]?.date || '--'} → ${rounds[Math.min(TRAINING_TRADE_COUNT, rounds.length - 1)]?.date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testWindow: `${rounds[Math.min(TRAINING_TRADE_COUNT, rounds.length - 1)]?.date || '--'} → ${rounds[rounds.length - 1]?.date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analysis: buildEvaluationAnalysis({ rankings, completedTradeCount, rounds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pool: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adopt: rankings.filter(item =&gt; item.recommendation.status === 'adopt').length,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watch: rankings.filter(item =&gt; item.recommendation.status === 'watch').length,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remove: rankings.filter(item =&gt; item.recommendation.status === 'remove').length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buildEvaluation({ rounds, roundIndex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completedTradeCount = Math.max(1, Math.min(roundIndex + 1, rounds.length - 1));</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rankings = AGENT_IDS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.map(agentId =&gt; scoreAgent({ agentId, rounds, completedTradeCount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.sort((a, b) =&gt; b.totalScore - a.totalScore);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meanTotal = rankings.reduce((sum, item) =&gt; sum + item.totalScore, 0) / rankings.length;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meanTraining = rankings.reduce((sum, item) =&gt; sum + item.trainingScore, 0) / rankings.length;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meanTest = rankings.reduce((sum, item) =&gt; sum + item.testScore, 0) / rankings.length;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rankings.forEach(item =&gt;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item.rawScore = item.totalScore;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item.rawTrainingScore = item.trainingScore;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item.rawTestScore = item.testScore;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item.totalScore = Number((item.totalScore - meanTotal).toFixed(2));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item.trainingScore = Number((item.trainingScore - meanTraining).toFixed(2));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item.testScore = Number((item.testScore - meanTest).toFixed(2));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rankings.sort((a, b) =&gt; b.totalScore - a.totalScore);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rankings.forEach((item, index) =&gt;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(index === 0)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item.recommendation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status: 'adopt',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label: '采纳',</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text: '当前累计排名第一，下一轮提高该策略采样概率。'</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else if (index === rankings.length - 1 || item.maxDrawdown &gt; 18)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item.recommendation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status: 'remove',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label: '淘汰',</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text: '收益/回撤排名靠后，下一轮降低权重或移除该策略。'</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else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item.recommendation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status: 'watch',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label: '观察',</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text: '保留策略但不加权，继续通过记忆和 prompt 补丁修正。'</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byAgent = Object.fromEntries(rankings.map(item =&gt; [item.agentId, item]));</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dataSource = rounds.some(round =&gt; round.dataSource === 'local-real' || round.dataSource === 'mixed-real-scenario')</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'真实价格曲线'</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'内置情景价格';</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method: '累计评分：价格曲线固定，智能体的买入/卖出/观望时间点决定收益；面板显示相对策略池的 alpha 分，训练段用于修正策略，测试段用于验证泛化。',</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dataSource,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completedTradeCount,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trainingWindow: `${rounds[0]?.date || '--'} → ${rounds[Math.min(TRAINING_TRADE_COUNT, rounds.length - 1)]?.date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testWindow: `${rounds[Math.min(TRAINING_TRADE_COUNT, rounds.length - 1)]?.date || '--'} → ${rounds[rounds.length - 1]?.date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rankings,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byAgent,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analysis: buildEvaluationAnalysis({ rankings, completedTradeCount, rounds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pool: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adopt: rankings.filter(item =&gt; item.recommendation.status === 'adopt').length,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watch: rankings.filter(item =&gt; item.recommendation.status === 'watch').length,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remove: rankings.filter(item =&gt; item.recommendation.status === 'remove').length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applyTradingGameRound({ worldState, roundIndex = 0, nowMs = Date.now(), skipPresetScoring = false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ensureWorldState(worldState);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rethemeWorld(worldState.world);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idx = clampRoundIndex(roundIndex);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historicalRounds = getHistoricalRounds();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round = historicalRounds[idx];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previousLlmLedger = Array.isArray(worldState.meta?.trading?.llmDecisionLedger)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worldState.meta.trading.llmDecisionLedger.slice()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baselineEvaluation = buildEvaluation({ rounds: historicalRounds, roundIndex: idx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evaluation = skipPresetScoring</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...baselineEvaluation,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method: 'LLM真实决策生成中：先显示累计策略基线统计；模型返回后自动覆盖为真实模型决策评分。',</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dataSource: `${baselineEvaluation.dataSource} · LLM待返回`</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baselineEvaluation;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timeline = historicalRounds.slice(0, idx + 1).map((entry, entryIndex) =&gt;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index: entryIndex,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date: entry.date,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regime: entry.regime,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event: entry.news[0],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score: entry.scoreboard,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dataSource: entry.dataSource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worldState.meta.trading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mode: 'futures-agent-simulation',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currentRound: idx,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currentDate: round.date,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regime: round.regime,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commodities: COMMODITIES,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prices: round.prices,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news: round.news,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dataSource: round.dataSource,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priceSource: evaluation.dataSource,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evaluation,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timeline,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llmDecisionLedger: previousLlmLedger,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llm: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enabled: false,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provider: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model: DEFAULT_LLM_MODEL,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status: 'simulated'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updatedAt: new Date(nowMs).toISOString()</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worldState.meta.claude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enabled: false,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sessionsObserved: AGENT_IDS.length,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lastSnapshotAt: new Date(nowMs).toISOString()</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for (const agentId of AGENT_IDS)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profile = AGENT_PROFILES[agentId];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station = stationFor(agentId, idx);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decision = skipPresetScoring ? null : buildDecision({ agentId, round, roundIndex: idx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memory = buildMemory({ agentId, round, roundIndex: idx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strategy = buildStrategy({ agentId, roundIndex: idx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scoreSummary = evaluation ? evaluation.byAgent[agentId]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agent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id: agentId,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sessionId: agentId,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name: profile.role,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role: profile.role,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zone: station.id,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activity: '决策中',</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status: 'Working',</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lastEventAt: new Date(nowMs).toISOString(),</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model: profile.model,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repoLabel: '期货实验室',</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repoRoot: '/期货智能体模拟系统',</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cwd: `/期货智能体模拟系统/${profile.role}`,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gitBranch: `提示词-v${strategy.promptVersion}`,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hasTranscript: false,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tool: decision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...TOOL_BY_STATION[station.id],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inputPreview: `${decision.symbol} ${round.date}`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 TOOL_BY_STATION[station.id],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decision,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memory,</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strategy,</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score: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total: scoreSummary?.totalScore ??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training: scoreSummary?.trainingScore ??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test: scoreSummary?.testScore ??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drawdown: scoreSummary?.maxDrawdown ??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hitRate: scoreSummary?.hitRate ??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recommendation: scoreSummary?.recommendation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cost: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usd: Number((0.002 + idx * 0.0007 + AGENT_IDS.indexOf(agentId) * 0.0003).toFixed(4)),</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input: 900 + idx * 120,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output: 360 + idx * 80,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cacheWrite: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cacheRead: 120 + idx * 20,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messageCount: idx + 2,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model: profile.model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lastAssistantSnippet: decision ? `${decision.reason} 记忆模块提示：${memory.retrieved[0].text}` : `等待LLM决策... 记忆模块提示：${memory.retrieved[0].text}`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worldState.agents[agentId] = agent;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avatar = ensureAvatar(worldState, agentId,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preferredPosition: { x: station.x, y: station.y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avatar.displayName = profile.role;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avatar.state = 'working';</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avatar.status = 'Working';</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avatar.moving = true;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avatar.hatHue = Math.abs(profile.color.split('').reduce((sum, ch) =&gt; sum + ch.charCodeAt(0), 0)) % 360;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avatar.toolIcon = TOOL_BY_STATION[station.id].icon;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avatar.model = profile.model;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avatar.buildingLabel = station.label;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avatar.buildingKey = station.locationId || station.id;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avatar.gitBranch = agent.gitBranch;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avatar.repoLabel = agent.repoLabel;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avatar.destination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x: station.x,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y: station.y,</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stationId: station.id,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locationId: station.locationId,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locationName: station.label,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stationLabel: station.label,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stationKind: station.id === 'debate' ? 'rest' : 'work',</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stationActivity: station.activity,</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intent: { kind: station.id === 'trade' ? 'at_desk' : 'at_leisure'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avatar.intent = avatar.destination.intent;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avatar.bubbleText = decision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`${decision.actionLabel} ${decision.symbol} · ${decision.confidence}%`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`等待LLM决策 ${profile.commodityBias.toUpperCase()}`;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avatar.lastUpdatedAt = new Date(nowMs).toISOString();</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worldState;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commodityForDecision(profile, decision)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requested = decision?.commodity;</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COMMODITIES.find(item =&gt; item.id === requested || item.symbol === requested)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COMMODITIES.find(item =&gt; item.id === profile.commodityBias)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COMMODITIES[0];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applyLlmDecisionToAgent({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worldState,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agentId,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llmDecision,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round,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nowMs = Date.now(),</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model,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provider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agent = worldState.agents?.[agentId];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avatar = worldState.avatars?.[agentId];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profile = AGENT_PROFILES[agentId];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(!agent || !avatar || !profile || !llmDecision) return false;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action = normalizeAction(llmDecision.action);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commodity = commodityForDecision(profile, llmDecision);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price = round.prices[commodity.id];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confidence = clampConfidence(llmDecision.confidence);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evidence = Array.isArray(llmDecision.evidence) &amp;&amp; llmDecision.evidence.length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llmDecision.evidence.map(item =&gt; String(item)).slice(0, 5)</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agent.decision.evidence;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reason = String(llmDecision.reason || '').trim()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`${actionLabel(action)} ${commodity.name}：真实模型结合资讯、价格走势和记忆后给出该动作。`;</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resolvedModel = llmDecision.model || model || agent.model || DEFAULT_LLM_MODEL;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resolvedProvider = llmDecision.provider || provider || 'llm';</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agent.model = resolvedModel;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agent.decision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...agent.decision,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action,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actionLabel: actionLabel(action),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commodity: commodity.id,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symbol: commodity.symbol,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price,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confidence,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source: 'llm',</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provider: resolvedProvider,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model: resolvedModel,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reason,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evidence,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usage: llmDecision.usage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attempts: Array.isArray(llmDecision.attempts) ? llmDecision.attempts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agent.memory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...agent.memory,</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lesson: String(llmDecision.memoryLesson || '').trim() || agent.memory.lesson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(Array.isArray(llmDecision.strategyPatchNotes) &amp;&amp; llmDecision.strategyPatchNotes.length &gt; 0)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agent.strategy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...agent.strategy,</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patchNotes: llmDecision.strategyPatchNotes.map(item =&gt; String(item)).slice(0, 5)</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(llmDecision.usage)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agent.cost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...agent.cost,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input: Number(llmDecision.usage.promptTokens || agent.cost?.input ||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output: Number(llmDecision.usage.completionTokens || agent.cost?.output ||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messageCount: (agent.cost?.messageCount || 0) + 1,</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model: agent.model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agent.lastEventAt = new Date(nowMs).toISOString();</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agent.lastAssistantSnippet = `${reason} 记忆模块提示：${agent.memory.lesson}`;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avatar.model = resolvedModel;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avatar.gitBranch = agent.gitBranch;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avatar.bubbleText = `${agent.decision.actionLabel} ${agent.decision.symbol} · ${confidence}%`;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avatar.lastUpdatedAt = new Date(nowMs).toISOString();</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true;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recordLlmDecision({ worldState, agentId, roundIndex, round, nowMs = Date.now()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agent = worldState.agents?.[agentId];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(!agent?.decision || agent.decision.source !== 'llm') return;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(!worldState.meta) worldState.meta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(!worldState.meta.trading) worldState.meta.trading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ledger = Array.isArray(worldState.meta.trading.llmDecisionLedger)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worldState.meta.trading.llmDecisionLedger.filter(entry =&gt;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!(entry.agentId === agentId &amp;&amp; Number(entry.roundIndex) === Number(roundIndex))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ledger.push({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agentId,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roundIndex,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date: round?.date || agent.decision.date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action: agent.decision.action,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actionLabel: agent.decision.actionLabel || actionLabel(agent.decision.action),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commodity: agent.decision.commodity,</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symbol: agent.decision.symbol,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confidence: agent.decision.confidence,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model: agent.decision.model,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provider: agent.decision.provider,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reason: agent.decision.reason,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recordedAt: new Date(nowMs).toISOString()</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ledger.sort((a, b) =&gt; Number(a.roundIndex) - Number(b.roundIndex) || String(a.agentId).localeCompare(String(b.agentId)));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worldState.meta.trading.llmDecisionLedger = ledger;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async function updateTradingGameWithLlm({</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worldState,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roundIndex =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llmClient,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nowMs = Date.now(),</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onProgress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(!llmClient || typeof llmClient.decide !== 'function')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 updated: 0, failed: 0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idx = clampRoundIndex(roundIndex);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historicalRounds = getHistoricalRounds();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round = historicalRounds[idx];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failures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let updated =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provider = llmClient.provider || 'llm';</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model = llmClient.model || DEFAULT_LLM_MODEL;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timeoutMs = !llmClient.handlesTimeouts &amp;&amp; Number.isFinite(Number(llmClient.timeoutMs))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Number(llmClient.timeoutMs)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async function decideWithOptionalTimeout(input)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promise = llmClient.decide(input);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(!timeoutMs || timeoutMs &lt;= 0) return promise;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let timeout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await Promise.race([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promise,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new Promise((_, reject) =&gt;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timeout = setTimeout(() =&gt;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reject(new Error(`LLM decision timed out after ${timeoutMs}ms.`));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timeoutMs);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finally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(timeout) clearTimeout(timeout);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(worldState.meta?.trading)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worldState.meta.trading.llm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enabled: true,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provider,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model,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status: 'running',</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updatedAt: new Date(nowMs).toISOString()</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for (const agentId of AGENT_IDS)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agent = worldState.agents?.[agentId];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profile = AGENT_PROFILES[agentId];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(!agent || !profile) continue;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llmDecision = await decideWithOptionalTimeout({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agentId,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profile,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round,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roundIndex: idx,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commodities: COMMODITIES,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simulatedDecision: agent.decision,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memory: agent.memory,</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strategy: agent.strategy</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(applyLlmDecisionToAgent({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worldState,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agentId,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llmDecision,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round,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nowMs,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model,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provider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recordLlmDecision({ worldState, agentId, roundIndex: idx, round, nowMs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updated += 1;</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(typeof onProgress === 'function') onProgress({ agentId, updated, failed: failures.length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catch (err)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failures.push({ agentId, message: err.message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(typeof onProgress === 'function') onProgress({ agentId, updated, failed: failures.length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After LLM decisions, recalculate scores based on actual LLM decisions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(updated &gt; 0 &amp;&amp; worldState.meta?.trading)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idx = clampRoundIndex(roundIndex);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historicalRounds = getHistoricalRounds();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round = historicalRounds[idx];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Build evaluation based on LLM decisions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llmEvaluation = buildLlmEvaluation({ worldState, rounds: historicalRounds, roundIndex: idx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worldState.meta.trading.evaluation = llmEvaluation;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worldState.meta.trading.priceSource = '模型累计决策';</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worldState.meta.trading.llm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enabled: true,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provider,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model,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status: failures.length === 0 ? 'live' : updated &gt; 0 ? 'partial' : 'error',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updatedAt: new Date(nowMs).toISOString(),</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errors: failures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worldState.meta.trading.updatedAt = new Date(nowMs).toISOString();</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Update agent scores with LLM-based evaluation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for (const agentId of AGENT_IDS)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agent = worldState.agents?.[agentId];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scoreSummary = llmEvaluation.byAgent[agentId];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(agent &amp;&amp; scoreSummary)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agent.score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total: scoreSummary.totalScore,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training: scoreSummary.trainingScore,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test: scoreSummary.testScore,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drawdown: scoreSummary.maxDrawdown,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hitRate: scoreSummary.hitRate,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recommendation: scoreSummary.recommendation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else if (worldState.meta?.trading)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worldState.meta.trading.llm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enabled: true,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provider,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model,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status: failures.length === 0 ? 'live' : updated &gt; 0 ? 'partial' : 'error',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updatedAt: new Date(nowMs).toISOString(),</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errors: failures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worldState.meta.trading.updatedAt = new Date(nowMs).toISOString();</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 updated, failed: failures.length, failures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createTradingGameDemo({</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worldState,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broadcastState,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tickMs = 4500,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now = () =&gt; Date.now(),</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llmClient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onLlmError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let roundIndex =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let timer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let inFlight = false;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let running = false;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function scheduleNextTick()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(!running) return;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(timer) clearTimeout(timer);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timer = setTimeout(tick, tickMs);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(timer.unref) timer.unref();</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function tick()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(llmClient &amp;&amp; inFlight)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scheduleNextTick();</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currentRound = roundIndex;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Skip preset scoring when LLM is enabled - we'll score after LLM decisions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applyTradingGameRound({ worldState, roundIndex: currentRound, nowMs: now(), skipPresetScoring: Boolean(llmClient)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roundIndex = (roundIndex + 1) % ROUNDS.length;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(llmClient &amp;&amp; !inFlight)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inFlight = true;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(worldState.meta?.trading)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worldState.meta.trading.llm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enabled: true,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provider: llmClient.provider || 'llm',</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model: llmClient.model || DEFAULT_LLM_MODEL,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status: 'running',</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updatedAt: new Date(now()).toISOString()</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(typeof broadcastState === 'function') broadcastState();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updateTradingGameWithLlm({</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worldState,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roundIndex: currentRound,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llmClient,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nowMs: now(),</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onProgress: () =&gt;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(typeof broadcastState === 'function') broadcastState();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}).then(() =&gt;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(typeof broadcastState === 'function') broadcastState();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}).catch(err =&gt;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(worldState.meta?.trading)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worldState.meta.trading.llm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enabled: true,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provider: llmClient.provider || 'llm',</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model: llmClient.model || DEFAULT_LLM_MODEL,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status: 'error',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error: err.message,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updatedAt: new Date(now()).toISOString()</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(typeof onLlmError === 'function') onLlmError(err);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}).finally(() =&gt;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inFlight = false;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scheduleNextTick();</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else if (typeof broadcastState === 'function')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broadcastState();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scheduleNextTick();</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start()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(running) return;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running = true;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tick();</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stop()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running = false;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(!timer) return;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clearTimeout(timer);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timer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tick</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module.exports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AGENT_IDS,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AGENT_PROFILES,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COMMODITIES,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ROUNDS,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STATIONS,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DEFAULT_LLM_MODEL,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getHistoricalRounds,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buildEvaluation,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applyTradingGameRound,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updateTradingGameWithLlm,</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createTradingGameDemo</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代码2 本地历史行情数据加载、清洗与日期匹配实现</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文件：data/agent-world-codemoo/adapter/localDataLoader.js（第 1-266 行，共 266 行）</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本地历史数据加载器</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从本地 JSON 文件加载真实的历史商品期货数据</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优点:</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 无需 API Key</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 无请求限制</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 快速响应</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 离线可用</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const fs = require('fs');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const path = require('path');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class LocalDataLoader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constructor(dataFilePath = null)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this.dataFilePath = dataFilePath || path.join(__dirname, '../data/commodities-historical.json');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this.data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this.loadData();</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加载本地数据文件</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loadData()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rawData = fs.readFileSync(this.dataFilePath, 'utf8');</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this.data = JSON.parse(rawData);</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console.log('[LocalDataLoader] 历史数据加载成功');</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console.log(`[LocalDataLoader] 数据源: Gold (${this.data.metadata.sources.gold}), Oil (${this.data.metadata.sources.crude_oil}), Soybean (${this.data.metadata.sources.soybean})`);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console.log(`[LocalDataLoader] 最后更新: ${this.data.metadata.lastUpdated}`);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catch (error)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console.error('[LocalDataLoader] 加载数据失败:', error.message);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this.data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重新加载数据</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reload()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this.loadData();</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获取商品的最新价格</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@param {string} commodityId - 商品 ID (GOLD, CRUDE_OIL, SOYBEAN)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@returns {number|null} 最新价格</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getLatestPrice(commodityId)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normalizedId = commodityId.toUpperCase();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commodity = this.data?.commodities?.[normalizedId];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(!commodity)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console.error(`[LocalDataLoader] 未找到商品数据: ${commodityId}`);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(!commodity.data || commodity.data.length === 0)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返回最后一条记录的价格</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latest = commodity.data[commodity.data.length - 1];</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latest.price;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获取商品在特定日期的价格</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@param {string} commodityId - 商品 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@param {string} date - 日期 (YYYY-MM-DD)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@returns {number|null} 价格</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getPriceAtDate(commodityId, date)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normalizedId = commodityId.toUpperCase();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commodity = this.data?.commodities?.[normalizedId];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(!commodity)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record = commodity.data.find(item =&gt; item.date === date);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(record)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record.price;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如果找不到精确日期,找最接近的日期</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this.getClosestPrice(commodityId, date);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获取最接近指定日期的价格</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@param {string} commodityId - 商品 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@param {string} targetDate - 目标日期</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@returns {number|null} 价格</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getClosestPrice(commodityId, targetDate)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normalizedId = commodityId.toUpperCase();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commodity = this.data?.commodities?.[normalizedId];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(!commodity)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target = new Date(targetDate);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let closest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let minDiff = Infinity;</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for (const record of commodity.data)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recordDate = new Date(record.date);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diff = Math.abs(recordDate - target);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(diff &lt; minDiff)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minDiff = diff;</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closest = record;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closest ? closest.price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获取历史价格数据</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@param {string} commodityId - 商品 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@param {number} count - 获取数据点数量 (从最新开始)</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@returns {Array} 历史价格数组 [{date, price},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getHistoricalPrices(commodityId, count = 10)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normalizedId = commodityId.toUpperCase();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commodity = this.data?.commodities?.[normalizedId];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(!commodity)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data = commodity.data.slice(-count); // 获取最后 N 条记录</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data.map(item =&gt;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date: item.date,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price: item.price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获取日期范围内的价格数据</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@param {string} commodityId - 商品 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@param {string} startDate - 开始日期 (YYYY-MM-DD)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@param {string} endDate - 结束日期 (YYYY-MM-DD)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@returns {Array} 价格数据数组</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getPriceRange(commodityId, startDate, endDate)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normalizedId = commodityId.toUpperCase();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commodity = this.data?.commodities?.[normalizedId];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(!commodity)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start = new Date(startDate);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end = new Date(endDate);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commodity.data</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.filter(item =&gt;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date = new Date(item.date);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date &gt;= start &amp;&amp; date &lt;= end;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.map(item =&gt;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date: item.date,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price: item.price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批量获取多个商品的最新价格</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@param {Array&lt;string&gt;} commodityIds - 商品 ID 数组</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@returns {Object} {commodityId: price,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getBatchPrices(commodityIds)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results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for (const commodityId of commodityIds)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results[commodityId] = this.getLatestPrice(commodityId);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results;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获取所有可用的商品列表</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@returns {Array} 商品信息数组</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getAvailableCommodities()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(!this.data?.commodities)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Object.keys(this.data.commodities).map(key =&gt;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id: key,</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symbol: this.data.commodities[key].symbol,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name: this.data.commodities[key].name,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dataPoints: this.data.commodities[key].data.length,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firstDate: this.data.commodities[key].data[0]?.date,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lastDate: this.data.commodities[key].data[this.data.commodities[key].data.length - 1]?.date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获取数据统计信息</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@param {string} commodityId - 商品 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@returns {Object} 统计信息</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getStatistics(commodityId)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normalizedId = commodityId.toUpperCase();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commodity = this.data?.commodities?.[normalizedId];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(!commodity)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prices = commodity.data.map(item =&gt; item.price);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min = Math.min(...prices);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max = Math.max(...prices);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avg = prices.reduce((sum, p) =&gt; sum + p, 0) / prices.length;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latest = prices[prices.length - 1];</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first = prices[0];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change = latest - first;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changePercent = (change / first) * 100;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symbol: commodity.symbol,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name: commodity.name,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unit: this.data.metadata.units[commodityId.toLowerCase()] || 'USD',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dataPoints: prices.length,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firstDate: commodity.data[0].date,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lastDate: commodity.data[commodity.data.length - 1].date,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firstPrice: first,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latestPrice: latest,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minPrice: min,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maxPrice: max,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avgPrice: Math.round(avg * 100) / 100,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totalChange: Math.round(change * 100) / 100,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totalChangePercent: Math.round(changePercent * 100) / 100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获取元数据</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@returns {Object} 元数据</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getMetadata()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this.data?.metadata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检查数据是否已加载</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@returns {boolean}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isLoaded()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this.data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module.exports = LocalDataLoader;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代码3 后端服务入口、接口路由与交易模拟调度实现</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文件：data/agent-world-codemoo/server/index.js（第 1-900 行，共 900 行）</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Load environment variables from .env file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require('dotenv').config();</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const express = require('express');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const fs = require('fs');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const http = require('http');</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const path = require('path');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const WebSocket = require('ws');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const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createWorldModel,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createVillageGrid,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LOCATION_DEFS,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OUTDOOR_STATIONS,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WORLD_WIDTH,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WORLD_HEIGHT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 require('../adapter/worldModel');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const { generateTrees } = require('../adapter/treeGenerator');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const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loadOrSeed,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saveLayout,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buildSeedLayout,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validateLayout,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DEFAULT_LAYOUT_PATH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 require('./worldLayout');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const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EventValidationError,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processIncomingEvents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 require('./eventsPipeline');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const { createClaudeSnapshotter } = require('./claudeSnapshotter');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const { createPermissionStore } = require('./permissionStore');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const { createBuildingAssignments } = require('./buildingAssignments');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const { applySnapshotToWorld } = require('../adapter/claudeAdapter');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const { createTradingGameDemo } = require('../adapter/tradingGameDemo');</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const { createSiliconFlowTradingClient } = require('./tradingLlmClient');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const { createStateDiffBroadcast } = require('./stateDiffBroadcast');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const { createPtyManager } = require('./ptyServer');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const { createAssetManager } = require('./assetManager');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const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DEFAULT_WS_TICKET_MAX_ENTRIES,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DEFAULT_WS_TICKET_TTL_MS,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WsTicketIssueError,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createWsTicketStore,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getWsTicketFromUrl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 require('./wsTicketStore');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const DEFAULT_JSON_BODY_LIMIT = '256kb';</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const DEFAULT_RATE_LIMIT_WINDOW_MS = 60_000;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const DEFAULT_RATE_LIMIT_MAX_REQUESTS = 120;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const DEFAULT_MAX_EVENT_BATCH_SIZE = 100;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const DEFAULT_MAX_STATE_AGENTS = 500;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const DEFAULT_MAX_STATE_RUNS = 2_000;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const DEFAULT_MAX_STATE_TASKS = 10_000;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class RequestGuardError extends Error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constructor(statusCode, message, details =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super(message);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this.name = 'RequestGuardError';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this.statusCode = statusCode;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this.details = details;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toPositiveInteger(value, fallbackValue)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numeric = Number(value);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Number.isInteger(numeric) &amp;&amp; numeric &gt; 0 ? numeric : fallbackValue;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parseBearerToken(authorizationValue)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(typeof authorizationValue !== 'string')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[scheme, token] = authorizationValue.trim().split(/\s+/, 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(!scheme || !token)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(!/^Bearer$/i.test(scheme))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token.trim()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normalizeApiToken(tokenValue)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(typeof tokenValue !== 'string')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normalized = tokenValue.trim();</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normalized.length &gt; 0 ? normalized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normalizeCorsAllowedOrigins(rawOrigins)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(Array.isArray(rawOrigins))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rawOrigins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.map(value =&gt; (typeof value === 'string' ? value.trim()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.filter(Boolean);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(typeof rawOrigins === 'string')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rawOrigins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.split(',')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.map(value =&gt; value.trim())</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.filter(Boolean);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addVaryHeader(res, headerName)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previous = res.getHeader('Vary');</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(!previous)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res.setHeader('Vary', headerName);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nextValues = new Set(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String(previous)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.split(',')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.map(value =&gt; value.trim())</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.filter(Boolean)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nextValues.add(headerName);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res.setHeader('Vary', Array.from(nextValues).join(',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evaluateCorsOrigin(req, securityOptions)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rawOrigin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typeof req.headers?.origin === 'string' ? req.headers.origin.trim()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(!rawOrigin)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 hasOrigin: false, allowed: true, origin: null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host = typeof req.headers?.host === 'string' ? req.headers.host.trim()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Behind a reverse proxy (FRP, nginx, cloudflare…) the socket protocol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can be http while the user-facing origin is https. Trust the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X-Forwarded-Proto header to decide same-origin.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forwardedProto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typeof req.headers?.['x-forwarded-proto'] === 'string'</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req.headers['x-forwarded-proto'].split(',')[0].trim()</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protocol = forwardedProto || req.protocol || 'http';</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requestOrigin = host ? `${protocol}://${host}`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Also accept the flipped-protocol variant so we don't block when the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proxy forwards without setting x-forwarded-proto at all.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flippedOrigin = host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`${protocol === 'https' ? 'http' : 'https'}://${host}`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sameOrigin = Boolean(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(requestOrigin &amp;&amp; rawOrigin === requestOrigin)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(flippedOrigin &amp;&amp; rawOrigin === flippedOrigin)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allowlisted = securityOptions.corsAllowedOrigins.includes(rawOrigin);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hasOrigin: true,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allowed: sameOrigin || allowlisted,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origin: rawOrigin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function resolveSecurityOptions(options =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security = options.security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authEnabled = security.enabled !== false;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apiToken = normalizeApiToken(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security.apiToken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process.env.FUTURES_AGENT_API_TOKEN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process.env.AGENT_WORLD_API_TOKEN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(authEnabled &amp;&amp; !apiToken)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throw new Error(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'FUTURES_AGENT_API_TOKEN is required unless createServer({ security: { enabled: false } }) is set.'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authEnabled,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apiToken,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maxEventBatchSize: toPositiveInteger(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security.maxEventBatchSize ?? process.env.AGENT_WORLD_MAX_EVENT_BATCH_SIZE,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DEFAULT_MAX_EVENT_BATCH_SIZE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rateLimitWindowMs: toPositiveInteger(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security.rateLimitWindowMs ?? process.env.AGENT_WORLD_RATE_LIMIT_WINDOW_MS,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DEFAULT_RATE_LIMIT_WINDOW_MS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maxRequestsPerWindow: toPositiveInteger(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security.maxRequestsPerWindow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process.env.AGENT_WORLD_RATE_LIMIT_MAX_REQUESTS,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DEFAULT_RATE_LIMIT_MAX_REQUESTS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stateLimits: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maxAgents: toPositiveInteger(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security.maxStateAgents ?? process.env.AGENT_WORLD_MAX_STATE_AGENTS,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DEFAULT_MAX_STATE_AGENTS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maxRuns: toPositiveInteger(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security.maxStateRuns ?? process.env.AGENT_WORLD_MAX_STATE_RUNS,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DEFAULT_MAX_STATE_RUNS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maxTasks: toPositiveInteger(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security.maxStateTasks ?? process.env.AGENT_WORLD_MAX_STATE_TASKS,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DEFAULT_MAX_STATE_TASKS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wsTicketTtlMs: toPositiveInteger(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security.wsTicketTtlMs ?? process.env.AGENT_WORLD_WS_TICKET_TTL_MS,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DEFAULT_WS_TICKET_TTL_MS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maxWsTicketEntries: toPositiveInteger(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security.maxWsTicketEntries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process.env.AGENT_WORLD_MAX_WS_TICKET_ENTRIES,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DEFAULT_WS_TICKET_MAX_ENTRIES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corsAllowedOrigins: normalizeCorsAllowedOrigins(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security.corsAllowedOrigins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process.env.AGENT_WORLD_CORS_ALLOWED_ORIGINS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createFixedWindowRateLimiter(windowMs, maxRequests)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buckets = new Map();</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function consume(key)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now = Date.now();</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let bucket = buckets.get(key);</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(!bucket || now - bucket.windowStart &gt;= windowMs)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bucket = { windowStart: now, count: 0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(bucket.count &gt;= maxRequests)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retryAfterMs = Math.max(0, windowMs - (now - bucket.windowStart));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buckets.set(key, bucket);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allowed: false,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retryAfterSec: Math.max(1, Math.ceil(retryAfterMs / 1000))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bucket.count += 1;</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buckets.set(key, bucket);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(buckets.size &gt; 10_000)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for (const [bucketKey, entry] of buckets.entries())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(now - entry.windowStart &gt;= windowMs)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buckets.delete(bucketKey);</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 allowed: true, retryAfterSec: 0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validateRequestAuth(requestLike, securityOptions)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(!securityOptions.authEnabled)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 ok: true, subject: 'auth-disabled'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bearerToken = parseBearerToken(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requestLike?.headers?.authorization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resolvedToken = bearerToken;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(!resolvedToken)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ok: false,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statusCode: 401,</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message: 'Authentication required.',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details: [{ code: 'AUTH_REQUIRED', error: 'Bearer token is required.'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(resolvedToken !== securityOptions.apiToken)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ok: false,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statusCode: 403,</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message: 'Forbidden.',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details: [{ code: 'INVALID_TOKEN', error: 'Invalid authentication token.'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 ok: true, subject: 'api-token'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enforceStateCapacity(worldState, stateLimits)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agentCount = Object.keys(worldState.agents || {}).length;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runCount = Object.keys(worldState.runs || {}).length;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taskCount = Object.values(worldState.agents || {}).reduce(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(sum, agent) =&gt;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sum + (Array.isArray(agent?.tasks) ? agent.tasks.length :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details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(agentCount &gt; stateLimits.maxAgents)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details.push({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code: 'STATE_AGENTS_LIMIT_EXCEEDED',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limit: stateLimits.maxAgents,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current: agentCount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(runCount &gt; stateLimits.maxRuns)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details.push({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code: 'STATE_RUNS_LIMIT_EXCEEDED',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limit: stateLimits.maxRuns,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current: runCount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(taskCount &gt; stateLimits.maxTasks)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details.push({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code: 'STATE_TASKS_LIMIT_EXCEEDED',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limit: stateLimits.maxTasks,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current: taskCount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(details.length &gt; 0)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throw new RequestGuardError(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429,</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'World state capacity exceeded. Incoming events were rejected.',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details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cleanupWorldState(worldState, stateLimits)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runs = Object.values(worldState.runs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(runs.length &gt; stateLimits.maxRuns * 0.9)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Sort by updatedAt or completedAt and remove oldest 10%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runs.sort((a, b) =&gt;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timeA = a.updatedAt || a.completedAt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timeB = b.updatedAt || b.completedAt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timeA.localeCompare(timeB);</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toRemove = runs.slice(0, Math.ceil(stateLimits.maxRuns * 0.2));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removedIds = new Set();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toRemove.forEach(run =&gt;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removedIds.add(run.id);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delete worldState.runs[run.id];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Clear stale currentRunId references from agents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(removedIds.size &gt; 0)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Object.values(worldState.agents || {}).forEach(agent =&gt;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(agent.currentRunId &amp;&amp; removedIds.has(agent.currentRunId))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agent.currentRunId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Cleanup old tasks for each agent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Object.values(worldState.agents || {}).forEach(agent =&gt;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(Array.isArray(agent.tasks) &amp;&amp; agent.tasks.length &gt; 100)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agent.tasks.sort((a, b) =&gt;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timeA = a.updatedAt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timeB = b.updatedAt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timeA.localeCompare(timeB);</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agent.tasks = agent.tasks.slice(-50);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isAllowedUpgradeOrigin(request, securityOptions)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cors = evaluateCorsOrigin(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headers: request?.headers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protocol: request?.socket?.encrypted ? 'https' : 'http'</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securityOptions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hasOrigin: cors.hasOrigin,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allowed: cors.allowed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createWorldState(layout = null)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world: createWorldModel(layout),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agents: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avatars: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zones: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runs: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meta: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claude: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enabled: false,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sessionsObserved: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lastSnapshotAt: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Seed world-layout.json on first run. Preference order: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1. data/world-layout.default.json — the curated baseline shipped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with the repo. Every fresh clone lands on the same hand-arranged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world without looking half-procedural.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2. Procedural fallback from LOCATION_DEFS + OUTDOOR_STATIONS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generateTrees() in case the baseline file is missing.</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seedWorldLayout()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baselinePath = path.join(__dirname, '..', 'data', 'world-layout.default.json');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(fs.existsSync(baselinePath))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JSON.parse(fs.readFileSync(baselinePath, 'utf8'));</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catch (err)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console.warn('[seed] failed to read baseline layout, falling back to procedural', err.message);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tiles = createVillageGrid(WORLD_WIDTH, WORLD_HEIGHT);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locations = LOCATION_DEFS.map(loc =&gt;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x: loc.x, y: loc.y, w: loc.w, h: loc.h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trees = generateTrees(WORLD_WIDTH, WORLD_HEIGHT, locations, tiles);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buildSeedLayout({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locationDefs: LOCATION_DEFS,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outdoorStations: OUTDOOR_STATIONS,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trees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sendError(res, statusCode, message, details)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body = { error: message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(Array.isArray(details) &amp;&amp; details.length &gt; 0)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body.details = details;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res.status(statusCode).json(body);</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rejectUpgrade(socket, statusCode, statusText, retryAfterSec)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retryAfterHeader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typeof retryAfterSec === 'number' &amp;&amp; retryAfterSec &gt;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`Retry-After: ${retryAfterSec}\r\n`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socket.write(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`HTTP/1.1 ${statusCode} ${statusText}\r\nConnection: close\r\n${retryAfterHeader}\r\n`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socket.destroy();</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createServer(options =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processIncomingEventsFn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typeof options.processIncomingEvents === 'function'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options.processIncomingEvents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processIncomingEvents;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securityOptions = resolveSecurityOptions(options);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consumeRateLimit = createFixedWindowRateLimiter(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securityOptions.rateLimitWindowMs,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securityOptions.maxRequestsPerWindow</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app = express();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Trust reverse proxy (FRP / nginx / cloudflare) so req.protocol reflects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X-Forwarded-Proto and req.ip reflects X-Forwarded-For. Required for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external-tunnel deployments to compute same-origin correctly.</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app.set('trust proxy', true);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server = http.createServer(app);</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wss = new WebSocket.Server({ noServer: true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Separate WS server for PTY streams so we can apply different framing.</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ptyWss = new WebSocket.Server({ noServer: true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ptyManager = createPtyManager({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Pass a getter fn so the manager always sees the current snapshotter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reference (it's assigned later in this function).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claudeSnapshotter: () =&gt; claudeSnapshotter,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idleTimeoutMs: options.ptyIdleTimeoutMs || undefined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Load persisted world layout (or seed from code defaults on first run).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`options.worldLayoutPath` lets tests point at an isolated file.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layoutPath = options.worldLayoutPath || DEFAULT_LAYOUT_PATH;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worldLayoutContainer = { current: loadOrSeed(seedWorldLayout, layoutPath)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worldState = createWorldState(worldLayoutContainer.current);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wsTicketStoreFactory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typeof options.createWsTicketStore === 'function'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options.createWsTicketStore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createWsTicketStore;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wsTicketStore = wsTicketStoreFactory({</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ttlMs: securityOptions.wsTicketTtlMs,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maxEntries: securityOptions.maxWsTicketEntries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function _sendToAll(payload)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wss.clients.forEach(client =&gt;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(client.readyState === WebSocket.OPEN)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client.send(payload);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catch (error)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console.error('WebSocket broadcast failed:', error.message);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Pending-permissions store — receives PreToolUse hook POSTs and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pushes pending requests over WS for the browser to Allow/Deny.</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permissionStore = createPermissionStore({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timeoutMs: Number(process.env.AGENT_WORLD_PERMISSION_TIMEOUT_MS) || 90_000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permissionStore.events.on('permission-request', (ev) =&gt;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_sendToAll(JSON.stringify({ type: 'permission-request', data: ev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permissionStore.events.on('permission-resolved', (ev) =&gt;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_sendToAll(JSON.stringify({ type: 'permission-resolved', data: ev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diffBroadcaster = createStateDiffBroadcast({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debounceMs: options.broadcastDebounceMs || 50,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sendFull: _sendToAll,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sendPatch: _sendToAll,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Diffing is safe once the frontend applies merge-patches. Until that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lands (Phase 7 — see /patch handler), keep full snapshots on each flush.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emitFull: options.broadcastEmitFull !== undefined ? options.broadcastEmitFull : true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Broadcast the current world state to all connected clients.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Debounced via stateDiffBroadcast.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function broadcastState()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diffBroadcaster.schedule(worldState);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function guardAndRateLimitHttp(scope)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(req, res, next) =&gt;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auth = validateRequestAuth(req, securityOptions);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(!auth.ok)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sendError(res, auth.statusCode, auth.message, auth.details);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req.authSubject = auth.subject;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rateKey = `${scope}:${req.ip || req.socket.remoteAddress || 'unknown'}:${auth.subject}`;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rateLimitResult = consumeRateLimit(rateKey);</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(!rateLimitResult.allowed)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res.setHeader('Retry-After', String(rateLimitResult.retryAfterSec));</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sendError(res, 429, 'Too many requests.',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code: 'RATE_LIMITED', error: 'Rate limit exceeded.'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next();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Optional local CLI session visualizer: read local sessions and project them</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into the same world model used by the trading demo.</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claudeEnabled = options.claudeSync?.enabled !== false;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let claudeSnapshotter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let buildingAssignments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let tradingDemo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(claudeEnabled)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dataDirOverride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process.env.FUTURES_AGENT_DATA_DIR || process.env.AGENT_WORLD_DATA_DIR;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defaultAssignmentsPath = dataDirOverride &amp;&amp; dataDirOverride.trim()</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path.join(dataDirOverride.trim(), 'repoAssignments.json')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path.join(path.resolve(__dirname, '..'), 'data', 'repoAssignments.json');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assignmentsPath = options.claudeSync?.assignmentsPath || defaultAssignmentsPath;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buildingAssignments = createBuildingAssignments(assignmentsPath);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claudeSnapshotter = createClaudeSnapshotter({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tickMs: options.claudeSync?.tickMs || 1000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claudeSnapshotter.on('snapshot', snap =&gt;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 activeBuildingKeys } = applySnapshotToWorld({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snapshot: snap,</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worldState,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buildings: buildingAssignments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buildingAssignments.tick({</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activeBuildingKeys,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tickMs: options.claudeSync?.tickMs || 1000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worldState.meta.claude.enabled = true;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worldState.meta.claude.sessionsObserved = snap.sessions.length;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worldState.meta.claude.lastSnapshotAt = new Date(snap.takenAtMs).toISOString();</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Persist assignments every 30s.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nowMs = Date.now();</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(!claudeSnapshotter._lastPersistMs || nowMs - claudeSnapshotter._lastPersistMs &gt; 30_000)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try { buildingAssignments.persist(); } catch { /* non-fatal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claudeSnapshotter._lastPersistMs = nowMs;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broadcastState();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catch (err)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console.error('[claude-sync] apply failed:', err.message);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claudeSnapshotter.on('error', err =&gt;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console.error('[claude-sync] snapshotter error:', err.message);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claudeSnapshotter.start();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console.log('[claude-sync] started — reading ~/.claude/sessions + hook events');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tradingDemoEnabled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options.tradingDemo?.enabled === true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process.env.FUTURES_AGENT_TRADING_DEMO === '1'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process.env.AGENT_WORLD_TRADING_DEMO === '1';</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(tradingDemoEnabled)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let tradingLlmClient = options.tradingDemo?.llmClient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llmApiKey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options.tradingDemo?.llmApiKey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process.env.SILICONFLOW_API_KEY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process.env.FUTURES_AGENT_LLM_API_KEY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process.env.AGENT_WORLD_LLM_API_KEY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process.env.DEEPSEEK_API_KEY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llmEnabled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options.tradingDemo?.llmEnabled !== false &amp;&amp;</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options.tradingDemo?.llmEnabled === true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process.env.FUTURES_AGENT_TRADING_LLM === '1'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process.env.AGENT_WORLD_TRADING_LLM === '1'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Boolean(llmApiKey)</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(!tradingLlmClient &amp;&amp; llmEnabled &amp;&amp; llmApiKey)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tradingLlmClient = createSiliconFlowTradingClient({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apiKey: llmApiKey,</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model: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options.tradingDemo?.llmModel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process.env.FUTURES_AGENT_LLM_MODEL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process.env.AGENT_WORLD_LLM_MODEL,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models: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options.tradingDemo?.llmModels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process.env.FUTURES_AGENT_LLM_MODELS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process.env.AGENT_WORLD_LLM_MODELS,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baseUrl: options.tradingDemo?.llmBaseUrl || process.env.SILICONFLOW_BASE_URL,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timeoutMs: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options.tradingDemo?.llmTimeoutMs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Number(process.env.FUTURES_AGENT_LLM_TIMEOUT_MS)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Number(process.env.AGENT_WORLD_LLM_TIMEOUT_MS)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undefined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tradingDemo = createTradingGameDemo({</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worldState,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broadcastState,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tickMs: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options.tradingDemo?.tickMs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Number(process.env.FUTURES_AGENT_TRADING_TICK_MS)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Number(process.env.AGENT_WORLD_TRADING_TICK_MS)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(tradingLlmClient ? 90_000 : 4500),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now: options.tradingDemo?.now,</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llmClient: tradingLlmClient,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onLlmError: err =&gt;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console.error('[trading-llm] decision failed:', err.message);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tradingDemo.start();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console.log(</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tradingLlmClient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'[trading-demo] started — DeepSeek decisions enabled'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'[trading-demo] started — simulated futures strategy agents'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app.use(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express.json({ limit: options.jsonBodyLimit || DEFAULT_JSON_BODY_LIMIT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app.use((req, res, next) =&gt;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cors = evaluateCorsOrigin(req, securityOptions);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(cors.hasOrigin)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addVaryHeader(res, 'Origin');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(!cors.allowed)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sendError(res, 403, 'Forbidden.',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code: 'CORS_ORIGIN_FORBIDDEN',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error: 'Origin is not allowed by CORS policy.'</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res.setHeader('Access-Control-Allow-Origin', cors.origin);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res.setHeader('Access-Control-Allow-Methods', 'GET,POST,PUT,OPTIONS');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res.setHeader('Access-Control-Allow-Headers', 'authorization,content-type');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res.setHeader('Access-Control-Max-Age', '600');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(req.method === 'OPTIONS')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res.status(204).end();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next();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projectRoot = path.resolve(__dirname,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Soft-404 for the asset manifest so pages render cleanly without sprite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sheets. The WorldMap falls back to programmatic drawing when empty.</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app.get('/assets/local-sprites/agent-world/asset-manifest.json', (req, res, next) =&gt;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full = path.join(projectRoot, 'assets', 'local-sprites', 'agent-world', 'asset-manifest.json');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fs.access(full, fs.constants.R_OK, (err) =&gt;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(err)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res.setHeader('Cache-Control', 'no-store');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res.status(200).json({ version: 1, sheets: [], sprites: [], groups: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next();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app.use('/assets', express.static(path.join(projectRoot, 'assets')));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vendorFiles = new Map([</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['/vendor/xterm.css', path.join(projectRoot, 'node_modules', '@xterm', 'xterm', 'css', 'xterm.css')],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['/vendor/xterm.mjs', path.join(projectRoot, 'node_modules', '@xterm', 'xterm', 'lib', 'xterm.mjs')],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['/vendor/addon-fit.mjs', path.join(projectRoot, 'node_modules', '@xterm', 'addon-fit', 'lib', 'addon-fit.mjs')]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app.get(Array.from(vendorFiles.keys()), (req, res, next) =&gt;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vendorFile = vendorFiles.get(req.path);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(!vendorFile)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next();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res.setHeader('Cache-Control', 'no-store, no-cache, must-revalidate, max-age=0');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res.sendFile(vendorFile, err =&gt;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(err) next(err);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assetManager = createAssetManager({ projectRoot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Serve index.html with injected runtime config (auth token)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frontendDir = path.join(projectRoot, 'frontend');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function frontendMtime(filename)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fs.statSync(path.join(frontendDir, filename)).mtimeMs |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catch (_)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Date.now();</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function serveHtmlWithRuntime(res, filename, scriptFile)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filePath = path.join(frontendDir, filename);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fs.readFile(filePath, 'utf8', (err, html) =&gt;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(err)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res.status(500).send(`Failed to load ${filename}`);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runtimeConfig = JSON.stringify({</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authToken: securityOptions.apiToken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Append mtime-based cache-buster to the script src.</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v = frontendMtime(scriptFile);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injectedHtml = html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.replace(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`&lt;script src="${scriptFile}" type="module"&gt;&lt;/script&gt;`,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`&lt;script&gt;window.__AGENT_WORLD_RUNTIME__=${runtimeConfig};&lt;/script&gt;\n    &lt;script src="${scriptFile}?v=${v}" type="module"&gt;&lt;/script&gt;`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Never cache the HTML itself.</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res.setHeader('Cache-Control', 'no-store');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res.type('html').send(injectedHtml);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app.get('/', (req, res) =&gt;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serveHtmlWithRuntime(res, 'index.html', 'main.js');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app.get('/assets-manager', (req, res) =&gt;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serveHtmlWithRuntime(res, 'assetsManager.html', 'assetsManager.js');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Force no-cache on frontend JS/HTML so edits propagate to browsers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without manual hard-refresh. Static assets (images/PNG) still cache.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app.use(express.static(frontendDir,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etag: false,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lastModified: false,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cacheControl: false,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setHeaders(res, filePath)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(/\.(?:m?js|html)$/i.test(filePath))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res.setHeader('Cache-Control', 'no-store, no-cache, must-revalidate, max-age=0');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res.setHeader('Pragma', 'no-cache');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res.setHeader('Expires',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app.post('/events', guardAndRateLimitHttp('events'), (req, res, next) =&gt;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incomingCount = Array.isArray(req.body) ? req.body.length : 1;</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(incomingCount &gt; securityOptions.maxEventBatchSize)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throw new RequestGuardError(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413,</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'Event batch exceeds the configured limit.',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code: 'EVENT_BATCH_LIMIT_EXCEEDED',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limit: securityOptions.maxEventBatchSize,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current: incomingCount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appliedEvents = processIncomingEventsFn(req.body, worldState,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afterEachApply: () =&gt;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cleanupWorldState(worldState, securityOptions.stateLimits);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enforceStateCapacity(worldState, securityOptions.stateLimits);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broadcastState();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res.status(200).json({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status: 'ok',</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processed: appliedEvents.length,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events: appliedEvents.map(event =&gt;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eventType: event.eventType,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agentId: event.agentId,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taskId: event.taskId,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runId: event.runId,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timestamp: event.timestamp</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catch (err)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(err instanceof EventValidationError)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sendError(res, err.statusCode, err.message, err.details);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(err instanceof RequestGuardError)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sendError(res, err.statusCode, err.message, err.details);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next(err);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app.get('/state', guardAndRateLimitHttp('state'), (req, res) =&gt;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res.status(200).json({ status: 'ok', data: worldState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app.get('/health', (req, res) =&gt;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res.status(200).json({ status: 'ok'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Aggregated health snapshot for optional local session sync.</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app.get('/healthz', (req, res) =&gt;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snap = claudeSnapshotter?.lastSessions;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sessionsObserved = snap ? snap.size :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memMB = Math.round(process.memoryUsage().rss / 1024 / 1024);</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res.status(200).json({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status: 'ok',</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sessionsObserved,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buildingsActive: buildingAssignments?._state?.buildings?.length ||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tentsActive: buildingAssignments?._state?.tents?.length ||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lastSnapshotAt: worldState.meta?.claude?.lastSnapshotAt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memMB,</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uptimeSec: Math.round(process.uptime())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List live local sessions (quick overview for the frontend).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app.get('/api/sessions', guardAndRateLimitHttp('sessions'), (req, res) =&gt;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snap = claudeSnapshotter?.lastSessions;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(!snap)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res.status(200).json({ status: 'ok', sessions: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sessions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for (const [id, s] of snap)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sessions.push({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sessionId: 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pid: s.pid,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status: s.status,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cwd: s.cwd,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repoRoot: s.repoRoot,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name: s.name,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lastHookEvent: s.lastHookEvent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res.status(200).json({ status: 'ok', sessions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Per-session detail: includes transcript preview (last msg, tool, model).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app.get('/api/sessions/:sessionId', guardAndRateLimitHttp('sessions'), async (req, res) =&gt;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snap = claudeSnapshotter?.lastSessions;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session = snap?.get(req.params.sessionId);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(!session)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sendError(res, 404, 'Session not found.');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let preview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(session.transcriptPath)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 getTail } = require('./transcriptPreview');</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preview = await getTail(session.transcriptPath);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catch (err)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console.warn('[sessions] transcript preview failed:', err.message);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costTotals = claudeSnapshotter?.costTracker?.get?.(session.sessionId)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res.status(200).json({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status: 'ok',</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代码4 LLM 交易决策客户端、提示词与结构化输出处理实现</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文件：data/agent-world-codemoo/server/tradingLlmClient.js（第 1-194 行，共 194 行）</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const DEFAULT_MODEL = 'deepseek-ai/DeepSeek-V4-Flash';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const DEFAULT_MODEL_CHAIN = Object.freeze([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'deepseek-ai/DeepSeek-V4-Flash',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'deepseek-ai/DeepSeek-V3.2',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'deepseek-ai/DeepSeek-V3.1-Terminus',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'Qwen/Qwen3.6-35B-A3B'</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const DEFAULT_BASE_URL = 'https://api.siliconflow.cn/v1';</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const DEFAULT_TIMEOUT_MS = 45_000;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clampConfidence(value)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numeric = Number(value);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(!Number.isFinite(numeric)) return 55;</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Math.max(1, Math.min(99, Math.round(numeric)));</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normalizeAction(value)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raw = String(value || '').trim().toUpperCase();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(raw === 'BUY' || raw === 'SELL' || raw === 'HOLD') return raw;</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(/买|做多|加仓/.test(raw)) return 'BUY';</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(/卖|做空|减仓|反手/.test(raw)) return 'SELL';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'HOLD';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extractJsonObject(text)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(!text || typeof text !== 'string') return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JSON.parse(text);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catch (_)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match = text.match(/\{[\s\S]*\}/);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(!match) throw new Error('Model response did not contain JSON.');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JSON.parse(match[0]);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normalizeList(value)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(Array.isArray(value))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value.map(item =&gt; String(item || '').trim()).filter(Boolean).slice(0, 5);</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(typeof value === 'string' &amp;&amp; value.trim()) return [value.trim()];</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normalizeUsage(usage)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promptTokens: Number(usage?.prompt_tokens || usage?.promptTokens ||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completionTokens: Number(usage?.completion_tokens || usage?.completionTokens ||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totalTokens: Number(usage?.total_tokens || usage?.totalTokens ||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normalizeModelList(value, fallback)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source = Array.isArray(value) ? value : [value];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list = source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.flatMap(item =&gt; typeof item === 'string' ? item.split(',')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.map(item =&gt; item.trim())</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.filter(Boolean);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unique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for (const model of list.length ? list : fallback)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(model &amp;&amp; !unique.includes(model)) unique.push(model);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unique.length ? unique : [DEFAULT_MODEL];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buildMessages({ agentId, profile, round, simulatedDecision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system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'你是一个期货长线交易智能体，只能按交易日做决策。',</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'你必须基于给定的历史价格、市场资讯、检索记忆和智能体风格输出结构化 JSON。',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'不要编造未给出的外部数据。动作只能是 BUY、SELL、HOLD。',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'输出必须是一个 JSON 对象，不要 Markdown，不要解释 JSON 外的内容。'</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].join('\n');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user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task: '为一个交易日生成期货交易决策',</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agent: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id: agentId,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role: profile?.role,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style: profile?.style,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commodityBias: profile?.commodityBias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tradingDay: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date: round?.date,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regime: round?.regime,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prices: round?.prices,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news: round?.news,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retrievedMemory: round?.memory</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baselineDecision: simulatedDecision,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requiredJsonSchema: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action: 'BUY | SELL | HOLD',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confidence: '1-99 integer',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reason: '中文，1-2 句，说明资讯、价格走势和记忆如何影响动作',</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evidence: ['中文证据点 1', '中文证据点 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strategyPatchNotes: ['本轮学习后要修正的 prompt/策略规则'],</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memoryLesson: '本轮写入长期记忆的一句话'</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role: 'system', content: system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role: 'user', content: JSON.stringify(user, null, 2)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createSiliconFlowTradingClient({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apiKey,</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model = DEFAULT_MODEL,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models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baseUrl = DEFAULT_BASE_URL,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timeoutMs = DEFAULT_TIMEOUT_MS,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fetchImpl = globalThis.fetch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(!apiKey) throw new Error('SiliconFlow API key is required.');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(typeof fetchImpl !== 'function') throw new Error('fetch runtime is required.');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defaultModels = normalizeModelList(models || model, DEFAULT_MODEL_CHAIN);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async function requestDecision(input, selectedModel)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controller = new AbortController();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timeout = setTimeout(() =&gt; controller.abort(), timeoutMs);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response = await fetchImpl(`${baseUrl.replace(/\/+$/, '')}/chat/completions`,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method: 'POST',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headers: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authorization: `Bearer ${apiKey}`,</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'content-type': 'application/json'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signal: controller.signal,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body: JSON.stringify({</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model: selectedModel,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messages: buildMessages(input),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temperature: 0.2,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max_tokens: 900,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response_format: { type: 'json_object'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payload = await response.json().catch(() =&gt;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(!response.ok)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message = payload?.error?.message || payload?.message || `HTTP ${response.status}`;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throw new Error(`SiliconFlow request failed: ${message}`);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content = payload?.choices?.[0]?.message?.content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parsed = extractJsonObject(content);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action: normalizeAction(parsed.action),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confidence: clampConfidence(parsed.confidence),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reason: String(parsed.reason || '').trim(),</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evidence: normalizeList(parsed.evidence),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strategyPatchNotes: normalizeList(parsed.strategyPatchNotes || parsed.patchNotes),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memoryLesson: String(parsed.memoryLesson || '').trim(),</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usage: normalizeUsage(payload.usage),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model: selectedModel,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provider: 'siliconflow'</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finally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clearTimeout(timeout);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async function decide(input)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candidateModels = normalizeModelList(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input?.profile?.modelChain || input?.profile?.models || defaultModels,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defaultModels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attempts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for (const selectedModel of candidateModels)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decision = await requestDecision(input, selectedModel);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attempts.push({ model: selectedModel, ok: true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 ...decision, attempts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catch (err)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attempts.push({ model: selectedModel, ok: false, error: err.message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error = new Error(`All SiliconFlow trading models failed: ${attempts.map(item =&gt; `${item.model}: ${item.error}`).join(';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error.attempts = attempts;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throw error;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provider: 'siliconflow',</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model: defaultModels[0],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models: defaultModels,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timeoutMs,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handlesTimeouts: true,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decide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module.exports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DEFAULT_MODEL,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DEFAULT_MODEL_CHAIN,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createSiliconFlowTradingClient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代码5 WebSocket 状态增量广播与前端同步实现</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文件：data/agent-world-codemoo/server/stateDiffBroadcast.js（第 1-117 行，共 117 行）</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Debounced broadcaster. Any call to `schedule()` within the debounce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window coalesces into a single outbound message. Optionally produces a</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RFC 7396 JSON Merge Patch vs. the last-emitted snapshot so active clients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can reconstruct state by applying patches.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const DEFAULT_DEBOUNCE_MS = 50;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isObject(v)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v &amp;&amp; typeof v === 'object' &amp;&amp; !Array.isArray(v);</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RFC 7396 JSON Merge Patch: recursive merge. null values on the patch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delete the key in the target.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mergePatch(target, patch)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(!isObject(patch)) return patch;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(!isObject(target)) target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for (const key of Object.keys(patch))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p = patch[key];</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(p === null) delete target[key];</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else if (isObject(p)) target[key] = mergePatch(target[key], p);</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else target[key] = p;</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target;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Produce a merge patch that, applied to `prev`, yields `next`.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Limitation: arrays are not diffed; if arrays differ we include the whole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replacement. That's fine for our state shape (most arrays are small).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producePatch(prev, next)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(!isObject(prev) || !isObject(next))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(prev === next) return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next;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patch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keys = new Set([...Object.keys(prev), ...Object.keys(next)]);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for (const k of keys)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a = prev[k];</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b = next[k];</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(a === b) continue;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(b === undefined) { patch[k] = null; continue;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(a === undefined) { patch[k] = b; continue;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(isObject(a) &amp;&amp; isObject(b))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sub = producePatch(a, b);</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(Object.keys(sub).length &gt; 0) patch[k] = sub;</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else if (Array.isArray(a) &amp;&amp; Array.isArray(b))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(a.length !== b.length || a.some((v, i) =&gt; v !== b[i])) patch[k] = b;</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else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patch[k] = b;</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patch;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Shallow clone first two levels — enough to diff typical world state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without paying a structured-clone cost each tick. For deeply-mutated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sub-objects (avatars[id]), we clone deeply so producePatch sees stable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comparison targets.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snapshotForDiff(state)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JSON.parse(JSON.stringify(state));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createStateDiffBroadcast({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debounceMs = DEFAULT_DEBOUNCE_MS,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sendFull,           // (payloadStr) =&gt; broadcast to all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sendPatch,          // (payloadStr) =&gt; broadcast to all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emitFull = false    // force full-state on every flush (diff disabled)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let lastSnapshot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let timer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let pendingState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function flush()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timer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state = pendingState;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pendingState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(!state) return;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(emitFull || !lastSnapshot)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payload = JSON.stringify({ type: 'state', data: state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sendFull?.(payload);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lastSnapshot = snapshotForDiff(state);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nextSnap = snapshotForDiff(state);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patch = producePatch(lastSnapshot, nextSnap);</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(Object.keys(patch).length === 0) return;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payload = JSON.stringify({ type: 'patch', patch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sendPatch?.(payload);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lastSnapshot = nextSnap;</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return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schedule(state)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pendingState = state;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(timer) return;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timer = setTimeout(flush, debounceMs);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(timer.unref) timer.unref();</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Emit a full snapshot immediately (used on a new WS connection).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emitFullNow(state, sendToClient)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snap = snapshotForDiff(state);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payload = JSON.stringify({ type: 'state', data: state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sendToClient(payload);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lastSnapshot = snap;</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flush,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_debugLastSnapshot() { return lastSnapshot;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module.exports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createStateDiffBroadcast,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mergePatch,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producePatch,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DEFAULT_DEBOUNCE_MS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代码6 前端应用启动与状态订阅关键逻辑</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文件：data/agent-world-codemoo/frontend/appBootstrap.mjs（第 1-105 行，共 105 行）</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import { createConnectionConfig } from './connectionConfig.mjs';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export function createFrontendApp({</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i18n,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windowLike,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documentLike,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locationLike,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fetchImpl,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WebSocketImpl,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WorldMapClass,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WorldEditorClass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SessionDetailPanelClass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TerminalTuiViewClass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AgentRosterClass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HelpOverlayClass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HistoryBufferClass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EventLogClass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TimelineScrubberClass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AssetsStatusBannerClass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WorldBudgetBadgeClass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PermissionToastClass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TradingHudClass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LanguageSwitcherClass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connectionConfigOptions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connectionConfigFactory = createConnectionConfig</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resolvedWindow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windowLike || (typeof window !== 'undefined' ? window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resolvedDocument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documentLike || (typeof document !== 'undefined' ? document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resolvedLocation = locationLike || resolvedWindow?.location;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resolvedFetch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fetchImpl || (typeof fetch === 'function' ? fetch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ResolvedWebSocket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WebSocketImpl || (typeof WebSocket !== 'undefined' ? WebSocket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(!resolvedWindow || !resolvedDocument || !resolvedLocation)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throw new Error('Browser globals are required to bootstrap frontend app.');</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(!resolvedFetch || !ResolvedWebSocket)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throw new Error('fetch/WebSocket runtime is required to bootstrap frontend app.');</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(!WorldMapClass)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throw new Error('WorldMap runtime class is required to bootstrap frontend app.');</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 authToken, assetRoot, apiBaseUrl, wsBaseUrl, wsUrl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connectionConfigFactory(resolvedLocation, connectionConfigOptions);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resolvedWsBaseUrl = wsBaseUrl || wsUrl;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root = resolvedDocument.getElementById('root');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statusBadge = resolvedDocument.getElementById('connection-status');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(!root)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throw new Error('#root element is required.');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worldMap = new WorldMapClass(root, { assetRoot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(typeof worldMap.start === 'function')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worldMap.start();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World editor — optional. Mounts its own DOM panel + toggle button.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Only instantiate in browser context (needs document.body).</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let worldEditor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(WorldEditorClass &amp;&amp; resolvedDocument.body)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worldEditor = new WorldEditorClass({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worldMap,</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apiBaseUrl,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authToken,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i18n,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fetchImpl: resolvedFetch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Terminal-style conversation viewer — full-screen overlay that polls the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transcript and renders it as a scrollable TUI. Opened from the session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detail panel or via the T keyboard shortcut while a sprite is selected.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let tuiView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(TerminalTuiViewClass &amp;&amp; resolvedDocument.body)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tuiView = new TerminalTuiViewClass({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apiBaseUrl,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authToken,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fetchImpl: resolvedFetch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Session detail panel — DOM sidebar showing the clicked agent's live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Claude session state (git branch, PR, last message, tools, focus button).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let sessionDetailPanel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(SessionDetailPanelClass &amp;&amp; resolvedDocument.body)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sessionDetailPanel = new SessionDetailPanelClass({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worldMap,</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apiBaseUrl,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authToken,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fetchImpl: resolvedFetch,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i18n,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tuiView</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Agent roster — DOM list of live sessions. Clickable rows dispatch</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 'agent-selected' to drive the same flow as clicking a sprite.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let agentRoster = null;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(AgentRosterClass &amp;&amp; resolvedDocument.body)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代码7 交易决策面板与指标展示关键逻辑</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文件：data/agent-world-codemoo/frontend/components/TradingHud.js（第 1-450 行，共 450 行）</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const HUD_VERSION = 3;</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const TRADING_SNAPSHOT_KEY = 'futures-agent-simulation.trading-summary.v1';</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function injectStyles(doc)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if (doc.getElementById('trading-hud-styles')) return;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const style = doc.createElement('style');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style.id = 'trading-hud-styles';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style.textContent =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#trading-hud,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#strategy-scoreboard,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#prediction-report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position: fixed;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overflow: auto;</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z-index: 9;</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color: #e7f4ff;</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font: 11px/1.45 Menlo, Monaco, Consolas, monospace;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border-radius: 10px;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backdrop-filter: blur(10px);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#trading-hud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left: 12px;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top: 88px;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background: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linear-gradient(180deg, rgba(10, 20, 28, 0.94), rgba(7, 13, 18, 0.88)),</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radial-gradient(circle at 15% 0%, rgba(56, 189, 248, 0.20), transparent 38%);</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border: 1px solid rgba(125, 211, 252, 0.32);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box-shadow: 0 16px 40px rgba(0, 0, 0, 0.42);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#strategy-scoreboard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right: 12px;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top: 88px;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background: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linear-gradient(180deg, rgba(14, 17, 24, 0.96), rgba(8, 11, 16, 0.90)),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radial-gradient(circle at 92% 4%, rgba(251, 191, 36, 0.16), transparent 34%),</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radial-gradient(circle at 8% 100%, rgba(74, 222, 128, 0.13), transparent 38%);</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border: 1px solid rgba(251, 191, 36, 0.28);</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box-shadow: 0 18px 42px rgba(0, 0, 0, 0.46);</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#trading-hud,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#strategy-scoreboard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width: min(392px, calc(100vw - 24px));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max-height: calc(100vh - 180px);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#prediction-report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left: 50%;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top: 50%;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bottom: auto;</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transform: translate(-50%, -50%);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width: min(1360px, calc(100vw - 48px));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height: min(820px, calc(100vh - 48px));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max-height: calc(100vh - 48px);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z-index: 18;</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background: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linear-gradient(180deg, rgba(10, 18, 25, 0.97), rgba(6, 10, 15, 0.92)),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radial-gradient(circle at 0% 0%, rgba(56, 189, 248, 0.14), transparent 32%),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radial-gradient(circle at 100% 100%, rgba(74, 222, 128, 0.12), transparent 30%);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border: 1px solid rgba(125, 211, 252, 0.24);</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border-radius: 12px;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box-shadow:</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0 0 0 9999px rgba(2, 6, 23, 0.48),</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0 28px 80px rgba(0, 0, 0, 0.62);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#trading-hud[data-empty="1"],</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#strategy-scoreboard[data-empty="1"],</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#prediction-report[data-empty="1"] { display: none;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#prediction-report[data-collapsed="1"]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left: auto;</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right: 18px;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top: auto;</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bottom: 16px;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transform: none;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width: min(420px, calc(100vw - 24px));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height: auto;</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max-height: 56px;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overflow: hidden;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box-shadow: 0 18px 44px rgba(0, 0, 0, 0.48);</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body[data-trading-report-open="1"] #trading-hud,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body[data-trading-report-open="1"] #strategy-scoreboard,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body[data-trading-report-open="1"] #event-log,</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body[data-trading-report-open="1"] #timeline-scrubber,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body[data-trading-report-open="1"] #agent-roster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opacity: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pointer-events: none;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transition: opacity 0.14s ease;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body[data-trading-report-open="1"] #prediction-report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opacity: 1;</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pointer-events: auto;</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#trading-hud .th-head,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#strategy-scoreboard .sb-head,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#prediction-report .pr-head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padding: 11px 13px 9px;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border-bottom: 1px solid rgba(148, 163, 184, 0.18);</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background: rgba(15, 23, 42, 0.42);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#prediction-report .pr-head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padding: 18px 22px 15px;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position: sticky;</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top: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z-index: 1;</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background: rgba(8, 14, 22, 0.92);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backdrop-filter: blur(12px);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#trading-hud .th-title,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#strategy-scoreboard .sb-title,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#prediction-report .pr-title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display: flex;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justify-content: space-between;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align-items: baseline;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gap: 10px;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margin-bottom: 5px;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#trading-hud .th-title strong,</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#strategy-scoreboard .sb-title strong,</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#prediction-report .pr-title strong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color: #f8fafc;</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font-size: 13px;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letter-spacing: 0.04em;</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text-transform: uppercase;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#prediction-report .pr-title strong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font-size: 18px;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letter-spacing: 0.08em;</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#trading-hud .th-date,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#strategy-scoreboard .sb-source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color: #fbbf24;</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font-variant-numeric: tabular-nums;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white-space: nowrap;</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#trading-hud .th-regime,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#strategy-scoreboard .sb-subtitle,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#prediction-report .pr-subtitle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color: #9fb5c8;</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font-size: 10px;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#prediction-report .pr-subtitle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font-size: 12px;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#trading-hud .th-flow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display: grid;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grid-template-columns: repeat(5, minmax(0, 1fr));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gap: 5px;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padding: 10px 12px;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border-bottom: 1px solid rgba(148, 163, 184, 0.14);</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#trading-hud .th-step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padding: 6px 5px;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border-radius: 7px;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background: rgba(15, 23, 42, 0.64);</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border: 1px solid rgba(148, 163, 184, 0.16);</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min-width: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#trading-hud .th-step b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display: block;</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color: #38bdf8;</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font-size: 9px;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margin-bottom: 2px;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#trading-hud .th-step span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display: block;</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color: #dbeafe;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font-size: 9px;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white-space: nowrap;</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overflow: hidden;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text-overflow: ellipsis;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#trading-hud .th-section,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#strategy-scoreboard .sb-section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padding: 10px 12px;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border-bottom: 1px solid rgba(148, 163, 184, 0.12);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#trading-hud .th-label,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#strategy-scoreboard .sb-label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color: #7dd3fc;</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text-transform: uppercase;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letter-spacing: 0.06em;</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font-size: 10px;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font-weight: 700;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margin-bottom: 7px;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#trading-hud .th-prices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display: grid;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grid-template-columns: repeat(3, 1fr);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gap: 6px;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#trading-hud .th-price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border-radius: 7px;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background: rgba(2, 6, 23, 0.48);</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border: 1px solid rgba(148, 163, 184, 0.16);</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padding: 7px;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#trading-hud .th-symbol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color: #fbbf24;</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font-weight: 700;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margin-bottom: 3px;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#trading-hud .th-value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color: #f8fafc;</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font-size: 13px;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font-variant-numeric: tabular-nums;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#trading-hud .th-news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display: flex;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flex-direction: column;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gap: 6px;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#trading-hud .th-news-item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padding: 7px 8px;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border-radius: 7px;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background: rgba(14, 165, 233, 0.08);</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border-left: 2px solid rgba(251, 191, 36, 0.78);</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color: #cbd5e1;</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#strategy-scoreboard .sb-windows,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#strategy-scoreboard .sb-pool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display: grid;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grid-template-columns: 1fr 1fr;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gap: 7px;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#strategy-scoreboard .sb-window,</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#strategy-scoreboard .sb-pool-card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border-radius: 7px;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background: rgba(2, 6, 23, 0.45);</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border: 1px solid rgba(148, 163, 184, 0.14);</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padding: 7px;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#strategy-scoreboard .sb-window b,</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#strategy-scoreboard .sb-pool-card b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display: block;</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color: #f8fafc;</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font-size: 12px;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margin-bottom: 2px;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#strategy-scoreboard .sb-window span,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#strategy-scoreboard .sb-pool-card span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color: #94a3b8;</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font-size: 10px;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#strategy-scoreboard .sb-ranks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display: flex;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flex-direction: column;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gap: 8px;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#strategy-scoreboard .sb-agent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border-radius: 9px;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background: rgba(15, 23, 42, 0.62);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border: 1px solid rgba(148, 163, 184, 0.16);</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padding: 9px;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#strategy-scoreboard .sb-agent[data-rec="adopt"]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border-color: rgba(74, 222, 128, 0.42);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box-shadow: inset 3px 0 0 rgba(74, 222, 128, 0.82);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#strategy-scoreboard .sb-agent[data-rec="watch"]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border-color: rgba(251, 191, 36, 0.36);</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box-shadow: inset 3px 0 0 rgba(251, 191, 36, 0.80);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#strategy-scoreboard .sb-agent[data-rec="remove"]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border-color: rgba(248, 113, 113, 0.40);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box-shadow: inset 3px 0 0 rgba(248, 113, 113, 0.82);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#strategy-scoreboard .sb-agent-head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display: flex;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align-items: center;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justify-content: space-between;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gap: 8px;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margin-bottom: 7px;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#strategy-scoreboard .sb-agent-name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color: #f8fafc;</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font-weight: 700;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font-size: 12px;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#strategy-scoreboard .sb-rank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color: #38bdf8;</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margin-right: 5px;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#strategy-scoreboard .sb-badge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border-radius: 999px;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padding: 2px 7px;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font-size: 10px;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font-weight: 700;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white-space: nowrap;</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#strategy-scoreboard .sb-badge.adopt { color: #052e16; background: #86efac;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#strategy-scoreboard .sb-badge.watch { color: #422006; background: #fde68a;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#strategy-scoreboard .sb-badge.remove { color: #450a0a; background: #fca5a5;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#strategy-scoreboard .sb-metrics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display: grid;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grid-template-columns: repeat(4, 1fr);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gap: 5px;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margin-bottom: 7px;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#strategy-scoreboard .sb-metric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min-width: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border-radius: 6px;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background: rgba(2, 6, 23, 0.42);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padding: 6px 5px;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#strategy-scoreboard .sb-metric span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display: block;</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color: #94a3b8;</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font-size: 9px;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white-space: nowrap;</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overflow: hidden;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text-overflow: ellipsis;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#strategy-scoreboard .sb-metric b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display: block;</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color: #f8fafc;</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font-size: 11px;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font-variant-numeric: tabular-nums;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margin-top: 2px;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#strategy-scoreboard .sb-note,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#strategy-scoreboard .sb-trade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color: #cbd5e1;</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font-size: 10px;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#strategy-scoreboard .sb-trade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margin-top: 5px;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color: #93c5fd;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#prediction-report .pr-toggle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border: 1px solid rgba(125, 211, 252, 0.26);</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border-radius: 999px;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color: #dbeafe;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background: rgba(15, 23, 42, 0.65);</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padding: 6px 12px;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font: inherit;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font-size: 12px;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cursor: pointer;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white-space: nowrap;</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#prediction-report .pr-toggle:hover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border-color: rgba(125, 211, 252, 0.62);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background: rgba(30, 41, 59, 0.78);</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#prediction-report .pr-report-shell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padding: 18px 20px 22px;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#prediction-report .pr-grid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display: grid;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grid-template-columns: minmax(260px, 0.82fr) minmax(430px, 1.18fr) minmax(320px, 0.92fr);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gap: 14px;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align-items: start;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padding: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#prediction-report .pr-card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min-width: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border-radius: 9px;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background: rgba(2, 6, 23, 0.42);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border: 1px solid rgba(148, 163, 184, 0.14);</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padding: 14px;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#prediction-report .pr-card-title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color: #7dd3fc;</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font-size: 11px;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font-weight: 800;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letter-spacing: 0.06em;</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text-transform: uppercase;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margin-bottom: 11px;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#prediction-report .pr-kpis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display: grid;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grid-template-columns: 1fr 1fr;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gap: 9px;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#prediction-report .pr-kpi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border-radius: 8px;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background: rgba(15, 23, 42, 0.62);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padding: 11px;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min-width: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#prediction-report .pr-kpi span,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#prediction-report .pr-action-label,</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#prediction-report .pr-axis-note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display: block;</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color: #94a3b8;</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font-size: 10px;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#prediction-report .pr-kpi b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display: block;</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color: #f8fafc;</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font-size: 20px;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font-variant-numeric: tabular-nums;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margin-top: 4px;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white-space: nowrap;</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overflow: hidden;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text-overflow: ellipsis;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#prediction-report .pr-bars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display: flex;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flex-direction: column;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gap: 10px;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#prediction-report .pr-bar-row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display: grid;</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grid-template-columns: 74px 1fr 64px;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gap: 10px;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align-items: center;</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#prediction-report .pr-bar-name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color: #e2e8f0;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font-weight: 700;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font-size: 12px;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white-space: nowrap;</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overflow: hidden;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text-overflow: ellipsis;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#prediction-report .pr-bar-track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position: relative;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height: 26px;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border-radius: 999px;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background: rgba(15, 23, 42, 0.82);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overflow: hidden;</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border: 1px solid rgba(148, 163, 184, 0.12);</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#prediction-report .pr-bar-track::before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content: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position: absolute;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left: 50%;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top: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bottom: 0;</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width: 1px;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background: rgba(226, 232, 240, 0.28);</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#prediction-report .pr-bar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position: absolute;</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top: 4px;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height: 8px;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min-width: 2px;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border-radius: 999px;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#prediction-report .pr-bar.train { background: #38bdf8;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#prediction-report .pr-bar.test { top: 14px; background: #fbbf24;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#prediction-report .pr-bar.pos { left: 50%;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#prediction-report .pr-bar.neg { right: 50%;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#prediction-report .pr-bar-score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color: #cbd5e1;</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text-align: right;</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font-variant-numeric: tabular-nums;</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white-space: nowrap;</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font-size: 12px;</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#prediction-report .pr-legend {</w:t>
      </w:r>
    </w:p>
    <w:p w14:paraId="7F5B1CF3">
      <w:pPr>
        <w:widowControl/>
        <w:shd w:val="clear" w:color="auto" w:fill="FFFFFF"/>
        <w:spacing w:line="228" w:lineRule="atLeast"/>
        <w:jc w:val="left"/>
        <w:rPr>
          <w:rFonts w:hint="eastAsia" w:ascii="Consolas" w:hAnsi="Consolas" w:eastAsia="Consolas" w:cs="Consolas"/>
          <w:color w:val="auto"/>
          <w:sz w:val="15"/>
          <w:szCs w:val="15"/>
          <w:shd w:val="clear" w:color="auto" w:fill="FFFFFF"/>
          <w:lang w:bidi="ar"/>
        </w:rPr>
      </w:pPr>
      <w:r>
        <w:rPr>
          <w:rFonts w:hint="eastAsia" w:ascii="Times New Roman" w:hAnsi="Times New Roman" w:eastAsia="Consolas" w:cs="Consolas"/>
          <w:color w:val="auto"/>
          <w:sz w:val="16"/>
          <w:szCs w:val="15"/>
          <w:shd w:val="clear" w:color="auto" w:fill="FFFFFF"/>
          <w:lang w:bidi="ar"/>
        </w:rPr>
        <w:t xml:space="preserve">      display: flex;</w:t>
      </w:r>
    </w:p>
    <w:p w14:paraId="6CC36ACF">
      <w:pPr>
        <w:pStyle w:val="13"/>
        <w:pageBreakBefore/>
      </w:pPr>
      <w:bookmarkStart w:id="7" w:name="_Toc12923"/>
      <w:r>
        <w:rPr>
          <w:rFonts w:hint="eastAsia"/>
        </w:rPr>
        <w:t>附件</w:t>
      </w:r>
      <w:r>
        <w:t>3</w:t>
      </w:r>
      <w:r>
        <w:rPr>
          <w:rFonts w:hint="eastAsia"/>
        </w:rPr>
        <w:t>：外文文献译文</w:t>
      </w:r>
      <w:bookmarkEnd w:id="7"/>
    </w:p>
    <w:p w14:paraId="1FE582D5">
      <w:r>
        <w:t>TradingAgents：多智能体大语言模型金融交易框架</w:t>
      </w:r>
    </w:p>
    <w:p w14:paraId="1FE582D5">
      <w:r>
        <w:t>近年来，基于大语言模型的自治智能体在复杂任务求解中发展迅速。金融市场具有多变量、高噪声、强时序和高风险等特征，市场价格同时受到基本面、新闻舆情、技术指标、宏观环境和投资者行为影响，单一模型往往难以完整解释交易决策过程。TradingAgents 一文提出将交易公司中的分工协作机制引入大语言模型智能体系统，通过多个具有明确职责的智能体共同完成信息收集、分析辩论、交易执行和风险审查，为金融交易智能体研究提供了较完整的框架参考。</w:t>
      </w:r>
    </w:p>
    <w:p w14:paraId="1FE582D5">
      <w:r>
        <w:t>论文指出，当前金融领域的大语言模型应用主要集中在两类方向：一类是把模型作为金融助手，用于问答、摘要、情绪识别和信息检索；另一类是把模型作为交易代理，让模型读取新闻、财报、行情数据后直接给出买入、卖出或持有建议。这些研究已经证明大语言模型能够理解金融文本并生成具有解释性的判断，但很多系统仍停留在单智能体或松散协作层面，缺少接近真实交易机构的组织结构。</w:t>
      </w:r>
    </w:p>
    <w:p w14:paraId="1FE582D5">
      <w:r>
        <w:t>作者认为，已有语言智能体交易系统存在两个关键不足。第一，组织建模不够真实，许多系统只关注某一项预测任务，没有体现专业交易团队内部的岗位分工、观点冲突和风险审批流程。第二，通信接口效率不高，若完全依赖长对话历史或非结构化信息池，随着轮次增加，早期细节容易丢失，状态也可能被噪声污染。金融交易属于长链条决策任务，信息失真会直接影响最终交易动作。</w:t>
      </w:r>
    </w:p>
    <w:p w14:paraId="1FE582D5">
      <w:pPr>
        <w:jc w:val="center"/>
      </w:pPr>
      <w:r>
        <w:drawing>
          <wp:inline xmlns:a="http://schemas.openxmlformats.org/drawingml/2006/main" xmlns:pic="http://schemas.openxmlformats.org/drawingml/2006/picture">
            <wp:extent cx="4752000" cy="2343747"/>
            <wp:docPr id="18" name="Picture 18"/>
            <wp:cNvGraphicFramePr>
              <a:graphicFrameLocks noChangeAspect="1"/>
            </wp:cNvGraphicFramePr>
            <a:graphic>
              <a:graphicData uri="http://schemas.openxmlformats.org/drawingml/2006/picture">
                <pic:pic>
                  <pic:nvPicPr>
                    <pic:cNvPr id="0" name="tradingagents_fig1_framework.png"/>
                    <pic:cNvPicPr/>
                  </pic:nvPicPr>
                  <pic:blipFill>
                    <a:blip r:embed="rId31"/>
                    <a:stretch>
                      <a:fillRect/>
                    </a:stretch>
                  </pic:blipFill>
                  <pic:spPr>
                    <a:xfrm>
                      <a:off x="0" y="0"/>
                      <a:ext cx="4752000" cy="2343747"/>
                    </a:xfrm>
                    <a:prstGeom prst="rect"/>
                  </pic:spPr>
                </pic:pic>
              </a:graphicData>
            </a:graphic>
          </wp:inline>
        </w:drawing>
      </w:r>
    </w:p>
    <w:p w14:paraId="1FE582D5">
      <w:pPr>
        <w:jc w:val="center"/>
      </w:pPr>
      <w:r>
        <w:t>图1 TradingAgents 总体框架组织</w:t>
      </w:r>
    </w:p>
    <w:p w14:paraId="1FE582D5">
      <w:r>
        <w:t>TradingAgents 的核心思路是模拟专业交易团队。系统设置基本面分析师、情绪分析师、新闻分析师、技术分析师、研究员、交易员、风险管理成员和基金经理等角色。不同智能体拥有不同工具、信息来源和目标：分析师负责收集并总结市场信息，研究团队从看多和看空两个角度进行辩论，交易员综合证据形成交易提案，风险管理团队评估敞口和回撤风险，基金经理负责最终审批和执行。</w:t>
      </w:r>
    </w:p>
    <w:p w14:paraId="1FE582D5">
      <w:r>
        <w:t>这种结构的意义在于把复杂交易任务拆分为多个相对清晰的子任务。基本面分析师关注公司财务、估值、盈利能力和经营质量；情绪分析师关注社交媒体和市场情绪；新闻分析师关注宏观事件、行业动态和突发新闻；技术分析师关注价格走势、成交量、移动均线、RSI、MACD 等技术指标。多个分析结果被整合后，系统能够获得比单一路径更完整的市场画像。</w:t>
      </w:r>
    </w:p>
    <w:p w14:paraId="1FE582D5">
      <w:r>
        <w:t>研究团队采用辩论机制对分析结果进行二次评估。看多研究员强调潜在收益、增长机会和有利信号，看空研究员强调估值压力、风险事件和不利市场条件。辩论机制能够迫使系统从相反立场审查证据，减少单一方向推理造成的偏差。对于金融交易而言，持仓建议往往需要同时考虑收益机会和失败风险，辩论式协作比单次输出更容易暴露隐藏问题。</w:t>
      </w:r>
    </w:p>
    <w:p w14:paraId="1FE582D5">
      <w:r>
        <w:t>交易员智能体负责把分析师和研究员输出转化为明确交易动作。论文中的交易员并非简单选择一个标签，而是会读取分析报告、辩论摘要和历史市场数据，形成包含理由、证据和操作建议的交易提案。该提案随后进入风险管理流程，风险团队会从激进、中性和保守等角度重新审查交易是否符合当前市场环境和风险承受范围。</w:t>
      </w:r>
    </w:p>
    <w:p w14:paraId="1FE582D5">
      <w:r>
        <w:t>风险管理团队是 TradingAgents 区别于普通多智能体讨论系统的重要环节。风险成员并不直接追求收益最大化，而是关注敞口是否过高、回撤是否可控、市场不确定性是否已经充分反映。基金经理在收到交易提案和风险审查后进行最终审批。这一流程使交易动作经过“信息收集—观点辩论—交易合成—风险复核—执行审批”的完整链条，更接近真实投资机构的决策过程。</w:t>
      </w:r>
    </w:p>
    <w:p w14:paraId="1FE582D5">
      <w:r>
        <w:t>论文还强调结构化通信的重要性。多智能体系统如果只通过自然语言聊天传递状态，很容易出现内容遗漏、重复解释和上下文膨胀。TradingAgents 使用结构化报告记录每个阶段的关键输出，同时保留自然语言辩论的灵活性。结构化报告用于明确角色状态、任务边界和证据摘要，自然语言用于观点交锋和解释推理，两者结合后可以兼顾可控性与表达能力。</w:t>
      </w:r>
    </w:p>
    <w:p w14:paraId="1FE582D5">
      <w:r>
        <w:t>在通信流程上，分析师团队首先从外部数据源获得信息并生成专门报告。研究团队查询这些报告后进行多轮看多与看空辩论，形成双方理由和结论。交易员读取研究结果后生成交易方案。风险管理团队围绕交易方案继续讨论，提出保守、均衡或激进的风险意见。基金经理综合各方输出作出最终执行决策。每一阶段都有明确输入和输出，便于追溯系统为何产生某个交易动作。</w:t>
      </w:r>
    </w:p>
    <w:p w14:paraId="1FE582D5">
      <w:r>
        <w:t>论文采用 ReAct 提示框架组织智能体推理，使角色能够在“思考—行动—观察”的循环中调用工具并更新判断。对于技术分析师而言，工具调用可以用于计算指标；对于新闻和情绪分析师而言，工具调用可以用于检索外部信息；对于研究员和风险管理成员而言，工具调用结果会成为辩论证据。ReAct 框架使智能体行为更像一个可观察的工作流程，而不是一次性生成答案。</w:t>
      </w:r>
    </w:p>
    <w:p w14:paraId="1FE582D5">
      <w:r>
        <w:t>作者在实验部分使用历史金融数据进行回测，并将 TradingAgents 与多种基线策略比较。评价指标包括累计收益、年化收益、夏普比率和最大回撤。累计收益用于观察策略最终盈利能力，年化收益用于比较不同周期下收益水平，夏普比率衡量单位风险收益，最大回撤反映不利行情中账户价值从峰值到低谷的最大下降幅度。多指标评价可以避免只看最终收益而忽略风险的问题。</w:t>
      </w:r>
    </w:p>
    <w:p w14:paraId="1FE582D5">
      <w:r>
        <w:t>实验结果显示，TradingAgents 在多个股票案例中取得了较好的累计收益和风险调整表现。论文尤其强调，框架的优势来自多源信息整合、角色化辩论和风险控制环节的协同作用。单一规则策略可能在某些阶段稳定，但难以利用新闻和情绪等非结构化信息；单一语言模型交易员能够生成解释，但容易缺少多角度审查。多智能体组织结构提升了交易判断的完整性。</w:t>
      </w:r>
    </w:p>
    <w:p w14:paraId="1FE582D5">
      <w:r>
        <w:t>在 AAPL 案例中，TradingAgents 的累计收益曲线明显高于若干规则策略基线，说明多智能体框架能够在连续市场环境中保持较强收益表现。论文也提示，高收益必须结合回撤和夏普比率一起分析。如果策略收益高但最大回撤过大，真实执行时仍可能不可接受。因此，TradingAgents 将收益指标和风险指标同时纳入实验评价。</w:t>
      </w:r>
    </w:p>
    <w:p w14:paraId="1FE582D5">
      <w:r>
        <w:t>论文的相关工作部分把金融大语言模型研究分为金融助手、交易智能体和 alpha 因子挖掘三类。金融助手主要面向摘要、问答和分类任务；交易智能体直接给出交易动作；alpha 因子挖掘则让大语言模型参与策略特征或因子生成。TradingAgents 位于交易智能体方向，但吸收了金融助手的信息处理能力和多智能体协同机制，使系统从“模型回答问题”扩展为“团队完成决策”。</w:t>
      </w:r>
    </w:p>
    <w:p w14:paraId="1FE582D5">
      <w:r>
        <w:t>与 FinMem、FinAgent 等强调记忆和反思的研究相比，TradingAgents 更突出组织结构和岗位流程。FinMem 关注分层记忆如何帮助智能体保存长期市场经验，TradingAgents 关注不同角色如何协作并审查彼此观点。二者对本文课题都有启发：期货市场多智能体系统既需要记录历史行情与失败样本，也需要通过不同风格智能体体现观点差异和风险偏好。</w:t>
      </w:r>
    </w:p>
    <w:p w14:paraId="1FE582D5">
      <w:r>
        <w:t>TradingAgents 论文中的分析师团队对本文系统设计具有直接参考价值。本文系统同样需要让智能体读取历史价格、生成交易理由，并把不同主体的判断呈现在界面中。虽然毕业设计规模无法接入论文中列举的所有外部数据源，但可以将真实期货行情、模拟市场事件和历史收益结果组织成结构化输入，让保守型、均衡型、激进型和记忆审计型智能体分别作出判断。</w:t>
      </w:r>
    </w:p>
    <w:p w14:paraId="1FE582D5">
      <w:r>
        <w:t>研究团队的看多和看空辩论机制也可映射到本文系统的策略比较逻辑。期货市场波动较大，同一段行情既可能被解释为趋势延续，也可能被解释为高位回落风险。系统如果只展示一个最终动作，评阅者难以理解智能体如何权衡利弊。因此，在论文和附录代码中保留多智能体动作分布、失败案例、采纳建议和策略说明，有助于体现决策过程。</w:t>
      </w:r>
    </w:p>
    <w:p w14:paraId="1FE582D5">
      <w:r>
        <w:t>风险管理流程对本文系统尤为重要。期货交易具有杠杆属性，回撤和风险暴露比普通股票投资更敏感。TradingAgents 将激进、中性和保守风险观点纳入最终审批，说明交易智能体必须把风险控制放在决策链条后段进行复核。本文系统设置训练得分、测试得分、胜率、最大回撤和动作分布指标，目的同样是防止策略只追求短期收益。</w:t>
      </w:r>
    </w:p>
    <w:p w14:paraId="1FE582D5">
      <w:r>
        <w:t>结构化通信思想也与本文工程实现相吻合。项目中后端会把交易结果、智能体状态和评分指标组织成可序列化状态，再通过 WebSocket 增量广播给前端。前端交易面板读取这些结构化字段进行渲染，而不是从长文本中临时解析结果。这样的实现方式能够降低状态同步错误，也方便论文附录展示关键代码。</w:t>
      </w:r>
    </w:p>
    <w:p w14:paraId="1FE582D5">
      <w:r>
        <w:t>论文提到的“电话效应”对于多轮智能体系统非常典型。若一个智能体把市场信息口头转述给下一个智能体，几轮之后原始事实可能被简化、遗漏或改写。本文系统在工程上保留原始历史行情、交易动作和评分结果，并通过明确字段传递给界面和评估模块，可以减少这种信息漂移。</w:t>
      </w:r>
    </w:p>
    <w:p w14:paraId="1FE582D5">
      <w:r>
        <w:t>TradingAgents 的实验设计也提醒本文应区分训练表现和测试表现。策略在训练阶段得分较高，并不意味着在后续行情中仍能稳定。本文系统将训练得分、测试得分和失败样本分开展示，评阅者可以观察智能体是否只适配前段行情，或是否能够在新的市场片段中保持稳定表现。</w:t>
      </w:r>
    </w:p>
    <w:p w14:paraId="1FE582D5">
      <w:r>
        <w:t>从系统架构角度看，TradingAgents 可以拆解为数据层、智能体层、辩论层、风险层和执行层。本文期货模拟系统虽然不是完整金融交易平台，但也包含本地行情数据加载、智能体决策生成、策略评价、状态广播和前端可视化等模块。附录中选取的完整代码文件覆盖这些模块，能够支撑论文中关于系统实现的描述。</w:t>
      </w:r>
    </w:p>
    <w:p w14:paraId="1FE582D5">
      <w:r>
        <w:t>论文中的角色分工还说明，智能体设定需要和工具能力相匹配。技术分析师需要能够读取价格和指标，新闻分析师需要能够处理文本事件，风险管理成员需要能够读取收益和回撤指标。本文系统中不同智能体虽然共享部分代码路径，但在提示词、风险偏好、动作倾向和评价解释上进行区分，使其在同一市场状态下产生不同判断。</w:t>
      </w:r>
    </w:p>
    <w:p w14:paraId="1FE582D5">
      <w:r>
        <w:t>作者使用累计收益曲线展示 TradingAgents 与基线策略的差异，这种可视化方式适合说明策略表现随时间变化的过程。本文系统前端也需要把交易得分、动作分布和回测结果以图表或面板方式呈现，使用户能够快速看出哪类智能体表现稳定、哪类智能体容易在某些行情中失败。</w:t>
      </w:r>
    </w:p>
    <w:p w14:paraId="1FE582D5">
      <w:r>
        <w:t>论文的最大回撤指标对期货市场模拟具有较强借鉴意义。期货策略可能在短期内获得较高收益，但若回撤过深，实际应用价值会显著降低。本文系统将最大回撤作为策略评分的一部分，并在论文中说明风险控制逻辑，可以使系统评价更加严谨。</w:t>
      </w:r>
    </w:p>
    <w:p w14:paraId="1FE582D5">
      <w:r>
        <w:t>在可解释性方面，TradingAgents 通过分析报告、辩论记录和风险审查让每一次交易建议都有证据来源。本文系统也应避免只输出“买入”“卖出”“观望”这类结果，而要同步展示智能体理由、市场依据和历史表现。附录代码中的 LLM 决策客户端、交易面板和状态广播模块正是支撑这些功能的核心部分。</w:t>
      </w:r>
    </w:p>
    <w:p w14:paraId="1FE582D5">
      <w:r>
        <w:t>论文结论认为，多智能体大语言模型框架能够在金融交易任务中提升收益、风险控制和解释性。作者同时指出，未来工作可继续扩展真实交易部署、角色种类和多模态金融数据源。对于本科毕业设计而言，本文系统定位为模拟与教学性质的期货市场决策平台，不直接用于真实交易，因此更重视架构完整、流程可视和指标可解释。</w:t>
      </w:r>
    </w:p>
    <w:p w14:paraId="1FE582D5">
      <w:r>
        <w:t>TradingAgents 对本文课题的启示主要体现在四个方面。第一，金融交易智能体需要明确角色分工，不能把所有任务压给单一模型。第二，交易决策需要多源证据，价格、新闻、技术指标和历史收益都应进入判断链条。第三，风险管理应作为独立流程，而不是在最终结果中附带说明。第四，系统输出需要结构化保存，便于前端展示和后续评估。</w:t>
      </w:r>
    </w:p>
    <w:p w14:paraId="1FE582D5">
      <w:r>
        <w:t>结合本文“基于自进化 LLM 的期货市场多智能体决策模拟系统”题目，TradingAgents 可作为外文文献基础。本文系统吸收其多角色协作、结构化通信、风险评估和回测指标思想，并根据毕业设计条件进行简化：使用本地历史行情数据替代复杂外部数据源，使用多个交易风格智能体替代完整投资机构岗位，使用训练/测试得分、胜率、最大回撤和动作分布展示策略演化效果。</w:t>
      </w:r>
    </w:p>
    <w:p w14:paraId="1FE582D5">
      <w:r>
        <w:t>总体来看，TradingAgents 的价值在于把大语言模型放入可协作、可审查、可评估的金融交易组织中。它说明金融智能体系统的重点不仅是模型能否生成回答，还包括角色如何分工、信息如何流动、观点如何冲突、风险如何复核、结果如何量化。本文附录选用该文作为外文资料，能够较好支撑论文中关于多智能体期货决策模拟、策略评价和系统实现的论述。</w:t>
      </w:r>
    </w:p>
    <w:p w14:paraId="1FE582D5">
      <w:r>
        <w:t>进一步看论文的系统角色设定，TradingAgents 并未把所有智能体视作同质节点，而是要求每个角色具有名称、目标、约束、可用工具和上下文范围。这样的设计使系统可以明确回答“谁负责分析价格”“谁负责分析新闻”“谁负责审查风险”等问题。对于论文写作而言，角色边界清楚可以减少功能描述含混，也能让附录代码中的模块对应关系更容易说明。</w:t>
      </w:r>
    </w:p>
    <w:p w14:paraId="1FE582D5">
      <w:r>
        <w:t>分析师团队的四类角色体现了金融信息的多源性。基本面数据反映资产或公司长期质量，新闻数据反映事件冲击，社交媒体数据反映群体情绪，技术指标反映价格行为。单个交易智能体若直接面对所有信息，很容易在上下文中混合不同证据。将信息入口分给不同分析师后，每个角色可以先完成局部摘要，再由研究团队综合判断。</w:t>
      </w:r>
    </w:p>
    <w:p w14:paraId="1FE582D5">
      <w:r>
        <w:t>论文中的基本面分析师会关注公司财务状况、盈利质量、估值水平和内部交易等信息。虽然本文研究对象是期货而非股票，但基本面思想仍可迁移到期货市场，例如供需变化、宏观经济、库存水平和政策事件都可以作为基本面信号。本文系统在毕业设计范围内主要使用历史行情数据，但论文正文可以说明后续可扩展到宏观和行业数据。</w:t>
      </w:r>
    </w:p>
    <w:p w14:paraId="1FE582D5">
      <w:r>
        <w:t>情绪分析师用于处理社交媒体、市场讨论和情绪分数。金融市场中价格并不只由基本面决定，投资者预期和情绪波动也会影响短期走势。期货市场同样存在新闻驱动和情绪驱动行情，例如原油受地缘政治消息影响，黄金受避险情绪影响。TradingAgents 的情绪角色说明，多智能体系统可以把这些非结构化信号纳入模拟流程。</w:t>
      </w:r>
    </w:p>
    <w:p w14:paraId="1FE582D5">
      <w:r>
        <w:t>新闻分析师关注政府公告、宏观事件、产业变化和公司新闻。论文将新闻信息作为独立角色处理，是因为新闻通常具有突发性和解释性。相比价格指标，新闻文本更需要大语言模型进行阅读、筛选和总结。本文系统若后续增加实时新闻输入，可以沿用类似设计，让新闻智能体生成事件摘要，再交给交易智能体评估影响方向。</w:t>
      </w:r>
    </w:p>
    <w:p w14:paraId="1FE582D5">
      <w:r>
        <w:t>技术分析师负责计算和解释技术指标，例如 MACD、RSI、布林带和成交量变化。技术指标的优势是结构清晰、易于量化，也便于与历史行情数据结合。本文系统目前以本地历史行情为主要数据源，技术分析逻辑与系统实现关系最直接，附录中保留行情加载、评分计算和前端展示代码，能够说明系统如何将价格序列转化为可观察策略结果。</w:t>
      </w:r>
    </w:p>
    <w:p w14:paraId="1FE582D5">
      <w:r>
        <w:t>研究团队的看多、看空结构体现了一种可解释的对抗性评估。看多方从增长、趋势和利好证据出发，看空方从风险、估值和不确定性出发。二者的辩论可以形成更稳健的判断，因为最终交易员需要同时处理支持交易和反对交易的证据。本文系统中的多个交易风格智能体也可以理解为一种简化的观点对照机制。</w:t>
      </w:r>
    </w:p>
    <w:p w14:paraId="1FE582D5">
      <w:r>
        <w:t>论文中的交易员角色承担“合成”功能。分析师和研究员给出的内容可能彼此矛盾，交易员需要把这些信息整理成可执行决策。这个角色对应本文系统中的交易动作生成逻辑，即从市场状态、智能体偏好和历史结果中生成买入、卖出或观望等动作，并保存理由和评分。</w:t>
      </w:r>
    </w:p>
    <w:p w14:paraId="1FE582D5">
      <w:pPr>
        <w:jc w:val="center"/>
      </w:pPr>
      <w:r>
        <w:drawing>
          <wp:inline xmlns:a="http://schemas.openxmlformats.org/drawingml/2006/main" xmlns:pic="http://schemas.openxmlformats.org/drawingml/2006/picture">
            <wp:extent cx="4752000" cy="3103347"/>
            <wp:docPr id="19" name="Picture 19"/>
            <wp:cNvGraphicFramePr>
              <a:graphicFrameLocks noChangeAspect="1"/>
            </wp:cNvGraphicFramePr>
            <a:graphic>
              <a:graphicData uri="http://schemas.openxmlformats.org/drawingml/2006/picture">
                <pic:pic>
                  <pic:nvPicPr>
                    <pic:cNvPr id="0" name="tradingagents_fig2_analyst_team.png"/>
                    <pic:cNvPicPr/>
                  </pic:nvPicPr>
                  <pic:blipFill>
                    <a:blip r:embed="rId32"/>
                    <a:stretch>
                      <a:fillRect/>
                    </a:stretch>
                  </pic:blipFill>
                  <pic:spPr>
                    <a:xfrm>
                      <a:off x="0" y="0"/>
                      <a:ext cx="4752000" cy="3103347"/>
                    </a:xfrm>
                    <a:prstGeom prst="rect"/>
                  </pic:spPr>
                </pic:pic>
              </a:graphicData>
            </a:graphic>
          </wp:inline>
        </w:drawing>
      </w:r>
    </w:p>
    <w:p w14:paraId="1FE582D5">
      <w:pPr>
        <w:jc w:val="center"/>
      </w:pPr>
      <w:r>
        <w:t>图2 TradingAgents 分析师团队结构</w:t>
      </w:r>
    </w:p>
    <w:p w14:paraId="1FE582D5">
      <w:r>
        <w:t>风险管理团队对交易提案进行复核，尤其关注收益与风险之间的平衡。论文把风险团队分为不同风险取向，使系统可以从激进、中性和保守角度审视同一提案。这种设计适合金融系统，因为高收益策略可能隐藏大回撤，低回撤策略也可能错过机会。本文系统中的保守型、均衡型和激进型智能体与此思想存在对应关系。</w:t>
      </w:r>
    </w:p>
    <w:p w14:paraId="1FE582D5">
      <w:r>
        <w:t>基金经理角色提供最后审批，避免系统在分析阶段直接执行交易。这个步骤看似简单，但它使交易流程具有层次感：前端信息、研究观点、交易建议和风险复核都必须汇总后才能形成最终动作。本文系统虽然用于模拟展示，也应在论文中体现“决策生成”和“策略评价”两个阶段，防止系统功能被理解为单纯页面展示。</w:t>
      </w:r>
    </w:p>
    <w:p w14:paraId="1FE582D5">
      <w:r>
        <w:t>在实验设置方面，论文使用历史数据回测，而不是只进行静态案例分析。历史回测能够观察策略在连续时间序列中的表现，也能揭示策略是否在某些阶段失效。本文系统同样使用本地历史行情进行模拟，保留训练段和测试段结果，这与 TradingAgents 的实验思想一致。</w:t>
      </w:r>
    </w:p>
    <w:p w14:paraId="1FE582D5">
      <w:r>
        <w:t>累计收益是论文中的核心指标之一。它表示策略在测试期间资产价值相对初始值的增长情况，直观展示策略是否能够赚钱。但金融策略评价不能停留在累计收益，因为不同策略承担的风险不同。本文系统把收益分数与胜率、回撤等指标共同展示，可以避免单一指标造成误导。</w:t>
      </w:r>
    </w:p>
    <w:p w14:paraId="1FE582D5">
      <w:r>
        <w:t>夏普比率用于衡量风险调整后的收益，它将超额收益与波动风险联系起来。TradingAgents 通过夏普比率说明框架不仅追求收益，还关注单位风险带来的回报。本文系统虽然可用简化评分代替完整金融指标，但在论文中说明风险调整思想，可以增强系统评价部分的专业性。</w:t>
      </w:r>
    </w:p>
    <w:p w14:paraId="1FE582D5">
      <w:r>
        <w:t>最大回撤反映从历史峰值到低谷的最大损失幅度，是风险控制中非常重要的指标。对于期货策略而言，最大回撤尤其关键，因为杠杆会放大损失。TradingAgents 将最大回撤纳入实验指标，说明多智能体决策系统必须接受严格风险检验。本文系统保留最大回撤字段，是合理且必要的设计。</w:t>
      </w:r>
    </w:p>
    <w:p w14:paraId="1FE582D5">
      <w:r>
        <w:t>论文在补充材料中还展示了详细交易历史和不同股票上的累计收益曲线。这些内容说明，交易智能体的评估需要观察多资产、多阶段和多指标表现，不能只截取单一成功案例。本文毕业设计可在有限范围内选择代表性期货品种和历史片段，用界面截图和附录代码展示系统具备连续模拟能力。</w:t>
      </w:r>
    </w:p>
    <w:p w14:paraId="1FE582D5">
      <w:r>
        <w:t>TradingAgents 的开源实现也说明，论文提出的框架并非只停留在概念层面。该项目公开了可运行的多智能体交易系统，支持不同模型、工具调用和回测流程。这一点对本文附录很重要：附录选用的外文资料有真实系统背景，能够与本文项目代码相互印证。</w:t>
      </w:r>
    </w:p>
    <w:p w14:paraId="1FE582D5">
      <w:r>
        <w:t>从软件工程角度看，多智能体金融系统需要解决状态管理问题。不同角色在不同阶段产生的报告、评分、动作和风险意见都需要被保存和传递。若状态结构混乱，前端展示、回测统计和后续复盘都会出现困难。本文项目中的世界模型、后端服务和状态广播代码正是为了解决这类工程问题。</w:t>
      </w:r>
    </w:p>
    <w:p w14:paraId="1FE582D5">
      <w:r>
        <w:t>论文中关于结构化报告的思想可以对应到本文系统的数据对象设计。交易模拟过程中，智能体名称、交易品种、动作、理由、得分、回撤和建议都应作为明确字段保存。这样一来，前端可以稳定渲染结果，论文也可以清楚描述每个字段的来源和作用。</w:t>
      </w:r>
    </w:p>
    <w:p w14:paraId="1FE582D5">
      <w:r>
        <w:t>TradingAgents 还体现了“人类交易机构流程模拟”的思想。它没有让模型凭空判断市场，而是把模型放入一个类似交易公司的流程里，让每个角色按职责工作。本文课题中的“多智能体决策模拟”同样不是单纯调用 LLM，而是通过角色、状态、评价和可视化构成一个完整模拟系统。</w:t>
      </w:r>
    </w:p>
    <w:p w14:paraId="1FE582D5">
      <w:r>
        <w:t>论文对本文附录代码范围也有启发。若只放少量片段，无法体现系统从数据输入到交易展示的完整链条。附录应保留主要源代码，覆盖行情加载、交易规则、LLM 客户端、后端接口、状态广播、前端交易面板和地图可视化等内容。这样评阅者即使不运行项目，也能从附录看出系统实现规模。</w:t>
      </w:r>
    </w:p>
    <w:p w14:paraId="1FE582D5">
      <w:r>
        <w:t>TradingAgents 的限制也需要客观看待。论文中的实验主要针对股票市场，且回测周期、模型调用成本和外部数据质量都会影响最终表现。本文系统研究期货市场模拟，不能直接声称复现该论文全部结论，而应把它作为框架参考，结合毕业设计项目完成适度实现。</w:t>
      </w:r>
    </w:p>
    <w:p w14:paraId="1FE582D5">
      <w:r>
        <w:t>在应用边界方面，金融交易智能体不能被简单等同于真实投资建议。大语言模型可能出现幻觉，历史回测也不能保证未来收益。TradingAgents 尽管展示了较好实验结果，仍强调未来需要进一步部署和扩展。本文系统定位为教学与模拟平台，论文中应明确系统用于辅助理解多智能体决策过程，而非真实交易工具。</w:t>
      </w:r>
    </w:p>
    <w:p w14:paraId="1FE582D5">
      <w:r>
        <w:t>从论文写作角度看，选择 TradingAgents 作为外文资料比选择篇幅较短的综述更合适。它不仅介绍了背景和相关工作，还给出了角色结构、通信协议、实验指标、结果图和补充案例。外文译文可以围绕这些内容展开，附录原文也有足够页数支撑格式要求。</w:t>
      </w:r>
    </w:p>
    <w:p w14:paraId="1FE582D5">
      <w:r>
        <w:t>将该文与本文系统对照，可以形成清晰的技术路线：先用本地历史行情构建市场状态，再让不同风格智能体读取状态并生成交易动作，随后由评分模块计算训练和测试表现，最后通过前端面板展示智能体差异与策略建议。这个路线与 TradingAgents 的“分析—研究—交易—风险—执行”流程相呼应。</w:t>
      </w:r>
    </w:p>
    <w:p w14:paraId="1FE582D5">
      <w:r>
        <w:t>在后续改进方向上，本文系统可以参考 TradingAgents 增加更完整的数据源和角色流程。例如，可以新增新闻分析智能体、宏观分析智能体和风险审批智能体，也可以把失败样本写入长期记忆，使系统在多轮模拟中逐渐修正策略。这样能够进一步体现“自进化 LLM”的题目特征。</w:t>
      </w:r>
    </w:p>
    <w:p w14:paraId="1FE582D5">
      <w:r>
        <w:t>综上，TradingAgents 提供了一个较成熟的多智能体金融交易框架范例。它通过角色专业化解决信息处理问题，通过辩论机制提升判断稳健性，通过结构化通信减少状态丢失，通过风险管理控制策略波动，通过回测指标验证系统效果。本文系统在实现规模上较小，但核心思想与其高度一致，因此适合作为本附录的外文文献来源。</w:t>
      </w:r>
    </w:p>
    <w:p w14:paraId="1FE582D5">
      <w:r>
        <w:t>论文第三章对角色专业化进行了系统说明。作者认为，金融交易任务的复杂性来自多种信号同时作用，真实交易公司通常不会让一个人完成全部判断，而是由不同专业人员分别处理市场、新闻、财务、技术和风险问题。TradingAgents 将这种组织模式抽象为智能体团队，使每个角色只处理与自身目标相关的信息，再通过后续团队完成汇总和审批。</w:t>
      </w:r>
    </w:p>
    <w:p w14:paraId="1FE582D5">
      <w:r>
        <w:t>分析师团队的输出不是零散聊天记录，而是面向后续角色的分析报告。报告需要概括关键数据、列出支持证据，并给出与交易决策相关的结论。这样的中间结果能够减少后续智能体重复检索信息，也便于交易员快速定位重要信号。本文系统中的前端面板同样应当把状态、指标和建议分区呈现，降低评阅者理解成本。</w:t>
      </w:r>
    </w:p>
    <w:p w14:paraId="1FE582D5">
      <w:r>
        <w:t>研究员团队承担“压力测试”功能。看多研究员会寻找支持建仓或继续持仓的理由，看空研究员则会寻找反对理由。双方观点并存可以提高系统的谨慎程度，因为市场判断往往没有绝对答案。若系统只保留一个方向的证据，模型可能会出现确认偏误，最终高估策略有效性。</w:t>
      </w:r>
    </w:p>
    <w:p w14:paraId="1FE582D5">
      <w:r>
        <w:t>交易员角色需要在冲突信息中形成可执行方案。论文强调交易员不仅要读取分析师团队的事实，也要理解研究团队辩论后的风险收益权衡。这个过程类似人类交易员在晨会后形成订单计划：先收集信息，再听取不同观点，最后确定是否交易、交易方向和理由。</w:t>
      </w:r>
    </w:p>
    <w:p w14:paraId="1FE582D5">
      <w:r>
        <w:t>风险管理团队的职责可以理解为独立复核。风险成员不会简单重复交易员理由，而是从风险暴露、市场波动和不确定性角度判断交易是否可以接受。该流程与很多金融机构中的投委会或风控审批类似，说明多智能体框架不仅模拟“分析”，也模拟“治理”。</w:t>
      </w:r>
    </w:p>
    <w:p w14:paraId="1FE582D5">
      <w:r>
        <w:t>基金经理的最终审批使系统具有闭环。若前面角色给出的证据不足或风险过高，基金经理可以拒绝交易或要求调整。这种审批机制能够避免模型因为局部利好直接做出过度冒险动作。本文系统虽然不设置真实资金，但仍可通过“采纳、观察、淘汰”等建议表达类似的策略治理逻辑。</w:t>
      </w:r>
    </w:p>
    <w:p w14:paraId="1FE582D5">
      <w:r>
        <w:t>论文第四章介绍智能体工作流时，重点讨论通信协议。自然语言适合表达复杂推理，但并不适合承载全部系统状态。随着对话延长，模型可能忘记前文细节，或把不相关信息混入当前判断。TradingAgents 因此使用结构化文档记录每个角色的关键输出，使后续角色能够查询明确字段，而不是完全依赖上下文记忆。</w:t>
      </w:r>
    </w:p>
    <w:p w14:paraId="1FE582D5">
      <w:r>
        <w:t>在 TradingAgents 中，自然语言主要用于智能体之间的讨论和解释，结构化报告用于保存任务结果。二者分工清楚：自然语言提供推理弹性，结构化数据保证系统可控。这个思想对本文实现非常重要，因为期货模拟系统需要前端稳定读取指标和状态，不能依赖临时文本解析。</w:t>
      </w:r>
    </w:p>
    <w:p w14:paraId="1FE582D5">
      <w:r>
        <w:t>论文还说明，不同任务对模型能力和速度要求不同。简单的数据检索和报告整理可以使用响应较快的模型，复杂辩论和最终决策则需要推理能力更强的模型。这样的分层模型选择可以在成本、速度和质量之间取得平衡。本文项目中配置不同模型链路，也体现了类似的工程取舍。</w:t>
      </w:r>
    </w:p>
    <w:p w14:paraId="1FE582D5">
      <w:r>
        <w:t>实验部分从回测角度验证框架效果。回测过程通常会固定历史时间窗口，将策略生成的交易动作应用到历史行情上，并计算收益和风险指标。该方法虽然不能证明未来收益，但可以比较不同策略在相同历史环境中的表现。本文系统使用相同历史行情测试多个智能体风格，也属于回测思想的简化应用。</w:t>
      </w:r>
    </w:p>
    <w:p w14:paraId="1FE582D5">
      <w:r>
        <w:t>论文列举的基线策略包括买入并持有、MACD、KDJ、ZMR 和 SMA 等规则策略。这些基线代表常见技术交易方法，用于观察多智能体语言模型框架是否能够超过简单规则。与基线比较是实验设计中很重要的一环，因为如果没有基线，单独展示收益曲线很难说明系统效果。</w:t>
      </w:r>
    </w:p>
    <w:p w14:paraId="1FE582D5">
      <w:r>
        <w:t>MACD 策略通常利用短期与长期指数移动平均线之间的关系判断趋势变化，KDJ 策略关注随机指标在超买超卖区域的变化，SMA 策略根据简单移动均线判断趋势方向。规则策略逻辑固定、可解释性强，但适应复杂新闻和情绪变化的能力有限。TradingAgents 的优势在于能够同时处理文本信息和量化指标。</w:t>
      </w:r>
    </w:p>
    <w:p w14:paraId="1FE582D5">
      <w:r>
        <w:t>论文采用累计收益 CR 衡量从初始资金到期末资金的增长比例。若期末资金高于初始资金，累计收益为正；若低于初始资金，累计收益为负。该指标直观但不反映过程风险，因此需要与波动率、夏普比率和最大回撤结合使用。本文系统的训练得分和测试得分也应配合回撤指标解释。</w:t>
      </w:r>
    </w:p>
    <w:p w14:paraId="1FE582D5">
      <w:r>
        <w:t>年化收益 AR 用于把不同长度测试区间的收益转换为可比较的年度收益水平。金融实验中，如果不同策略测试周期一致，年化收益可以辅助说明策略效率；如果周期不同，年化收益更便于横向比较。本文系统可以在后续扩展中加入年化收益，但当前毕业设计保留简化指标已经能够说明策略效果。</w:t>
      </w:r>
    </w:p>
    <w:p w14:paraId="1FE582D5">
      <w:r>
        <w:t>夏普比率 SR 将收益与风险联系起来，通常用策略收益超过无风险收益的部分除以收益波动率。夏普比率越高，表示单位风险带来的收益越高。论文中 TradingAgents 在夏普比率上的表现说明，其收益提升不是完全依赖更高风险暴露，而是通过多角色分析和风险审查提高了风险调整收益。</w:t>
      </w:r>
    </w:p>
    <w:p w14:paraId="1FE582D5">
      <w:r>
        <w:t>最大回撤 MDD 记录策略净值从阶段高点下跌到阶段低点的最大比例。该指标对交易系统非常关键，因为它反映投资者在最不利阶段可能承受的损失。一个策略最终盈利，但中间最大回撤极大，真实场景中也可能因资金压力而难以坚持。本文期货模拟系统将最大回撤纳入评价，符合金融策略评估习惯。</w:t>
      </w:r>
    </w:p>
    <w:p w14:paraId="1FE582D5">
      <w:r>
        <w:t>论文表格结果显示，TradingAgents 在多个指标上超过传统基线。作者将这种效果归因于多智能体分工和辩论流程：分析师团队扩展信息来源，研究员团队审查观点，风险团队约束极端交易，基金经理把关执行。相比单一策略公式，这种结构能够动态综合不同信号。</w:t>
      </w:r>
    </w:p>
    <w:p w14:paraId="1FE582D5">
      <w:r>
        <w:t>补充材料中的交易历史图用绿色和红色箭头标出做多和做空动作，展示策略在时间轴上的具体行为。这样的图不仅说明收益结果，也能帮助分析交易点位是否合理。本文系统如果截取运行界面或生成交易历史图，也应关注动作发生的时间、方向和收益影响，而不仅展示最终分数。</w:t>
      </w:r>
    </w:p>
    <w:p w14:paraId="1FE582D5">
      <w:r>
        <w:t>论文还提供了 AMZN 和 GOOGL 等股票的补充实验，说明框架在不同资产上的表现。多资产测试可以降低偶然性，因为一个策略只在单一股票上成功可能是样本选择结果。本文系统选择黄金、大豆和原油等期货品种，可以从不同商品属性观察智能体行为差异。</w:t>
      </w:r>
    </w:p>
    <w:p w14:paraId="1FE582D5">
      <w:r>
        <w:t>TradingAgents 的补充材料还展示了分析师报告样例，例如市场分析师、新闻分析师、社交媒体分析师和基本面分析师分别生成不同内容。报告样例说明，每个智能体输出都应具有明确主题和证据来源。本文系统在前端展示交易理由时，也应让不同智能体说明自身依据，例如价格趋势、历史案例或风险边界。</w:t>
      </w:r>
    </w:p>
    <w:p w14:paraId="1FE582D5">
      <w:pPr>
        <w:jc w:val="center"/>
      </w:pPr>
      <w:r>
        <w:drawing>
          <wp:inline xmlns:a="http://schemas.openxmlformats.org/drawingml/2006/main" xmlns:pic="http://schemas.openxmlformats.org/drawingml/2006/picture">
            <wp:extent cx="4752000" cy="1818367"/>
            <wp:docPr id="20" name="Picture 20"/>
            <wp:cNvGraphicFramePr>
              <a:graphicFrameLocks noChangeAspect="1"/>
            </wp:cNvGraphicFramePr>
            <a:graphic>
              <a:graphicData uri="http://schemas.openxmlformats.org/drawingml/2006/picture">
                <pic:pic>
                  <pic:nvPicPr>
                    <pic:cNvPr id="0" name="tradingagents_fig5_risk_workflow.png"/>
                    <pic:cNvPicPr/>
                  </pic:nvPicPr>
                  <pic:blipFill>
                    <a:blip r:embed="rId33"/>
                    <a:stretch>
                      <a:fillRect/>
                    </a:stretch>
                  </pic:blipFill>
                  <pic:spPr>
                    <a:xfrm>
                      <a:off x="0" y="0"/>
                      <a:ext cx="4752000" cy="1818367"/>
                    </a:xfrm>
                    <a:prstGeom prst="rect"/>
                  </pic:spPr>
                </pic:pic>
              </a:graphicData>
            </a:graphic>
          </wp:inline>
        </w:drawing>
      </w:r>
    </w:p>
    <w:p w14:paraId="1FE582D5">
      <w:pPr>
        <w:jc w:val="center"/>
      </w:pPr>
      <w:r>
        <w:t>图3 TradingAgents 风险管理与基金经理审批流程</w:t>
      </w:r>
    </w:p>
    <w:p w14:paraId="1FE582D5">
      <w:r>
        <w:t>风险管理样例中，激进、保守和中性风险成员会分别解释同一交易提案的优点和问题。激进成员可能强调高收益机会，保守成员关注估值压力、外部冲击和回撤风险，中性成员则尝试在两者之间形成平衡判断。本文系统的不同智能体风格可以借鉴这种表达方式，使其差异体现在理由和动作上。</w:t>
      </w:r>
    </w:p>
    <w:p w14:paraId="1FE582D5">
      <w:r>
        <w:t>论文中使用多轮讨论而非单轮投票，是为了让智能体能够回应对方观点。金融决策中的证据常常互相冲突，简单投票可能掩盖理由质量。通过辩论，系统可以记录支持和反对交易的核心论点，最终让交易员在更充分的信息下决策。</w:t>
      </w:r>
    </w:p>
    <w:p w14:paraId="1FE582D5">
      <w:r>
        <w:t>结构化通信还方便系统调试。若最终交易结果异常，研究者可以回看分析师报告、辩论记录、交易提案和风险审批，定位问题来自数据输入、推理过程还是风险控制。本文项目的日志、状态广播和界面展示具有同样作用，可以帮助老师检查系统逻辑是否完整。</w:t>
      </w:r>
    </w:p>
    <w:p w14:paraId="1FE582D5">
      <w:r>
        <w:t>TradingAgents 的研究也反映了大语言模型在金融领域应用的边界。模型具有文本理解和解释优势，但金融市场高度不确定，任何模型都可能在未见行情中失效。因此，系统应以模拟、分析和辅助研究为目标，不应夸大真实交易收益。本文论文中应保持这种表述边界。</w:t>
      </w:r>
    </w:p>
    <w:p w14:paraId="1FE582D5">
      <w:r>
        <w:t>作者在结论中指出，未来可以把框架扩展到实时交易、多模态数据和更多智能体角色。多模态数据可能包括财报表格、价格图、新闻文本、社交媒体讨论和宏观指标。对于本文系统，后续可以从本地行情扩展到新闻抓取和外部数据库，使模拟环境更接近真实期货市场。</w:t>
      </w:r>
    </w:p>
    <w:p w14:paraId="1FE582D5">
      <w:r>
        <w:t>从毕业设计实现角度，TradingAgents 的复杂框架需要被合理简化。本文不需要完全复现论文中的所有角色和工具，而应提炼关键思想：多智能体分工、结构化状态、风险评价、历史回测和前端可视化。附录代码展示这些核心模块即可证明系统不是空泛概念。</w:t>
      </w:r>
    </w:p>
    <w:p w14:paraId="1FE582D5">
      <w:r>
        <w:t>代码附录中完整保留交易模拟、数据加载、世界状态、后端服务、LLM 客户端、状态广播和前端组件，有助于形成从数据到界面的证据链。评阅者可以看到系统如何定义智能体、如何加载行情、如何计算结果、如何把状态推送到页面，以及如何在页面上展示多智能体交易过程。</w:t>
      </w:r>
    </w:p>
    <w:p w14:paraId="1FE582D5">
      <w:r>
        <w:t>与 TradingAgents 相比，本文系统更强调期货模拟和毕业设计可运行性。期货品种价格单位、行情周期和风险特点不同于股票，系统需要用适合期货的历史数据和交易解释。通过选用黄金、大豆、原油等品种，系统可以展示避险、农产品和能源商品在不同市场事件中的差异。</w:t>
      </w:r>
    </w:p>
    <w:p w14:paraId="1FE582D5">
      <w:r>
        <w:t>自进化思想可以与 TradingAgents 的流程结合。每轮交易后，系统可以把失败样本、动作分布和收益表现写入记忆，让后续智能体调整策略。虽然这不等同于模型参数训练，但属于提示词和经验层面的行为演化。对于本科毕业设计而言，这种轻量级自进化具有实现可行性。</w:t>
      </w:r>
    </w:p>
    <w:p w14:paraId="1FE582D5">
      <w:r>
        <w:t>本文附录选择 TradingAgents 作为外文原文，也能支撑论文中关于“多智能体协作比单一智能体更适合复杂金融任务”的论述。论文通过实验和结构设计说明，多角色协作能够提升信息覆盖、减少单点偏差、加强风险审查。本文系统正是在这一思想基础上完成期货市场模拟。</w:t>
      </w:r>
    </w:p>
    <w:p w14:paraId="1FE582D5">
      <w:r>
        <w:t>因此，外文文献译文不只提供背景介绍，还为本文系统的模块设计、实验指标和风险控制提供依据。通过对 TradingAgents 的结构、角色、通信、实验和限制进行整理，可以让附录与正文形成对应关系，增强毕业设计材料的完整性。</w:t>
      </w:r>
    </w:p>
    <w:p w14:paraId="1FE582D5">
      <w:r>
        <w:t>在相关工作部分，论文首先讨论金融助手类大语言模型。金融助手通常通过金融语料微调或从头训练获得领域知识，能够完成金融情绪分类、摘要、问答和信息检索等任务。该类模型可以提高金融文本处理效率，但通常不直接承担交易执行，因此还不足以构成完整的交易智能体系统。</w:t>
      </w:r>
    </w:p>
    <w:p w14:paraId="1FE582D5">
      <w:r>
        <w:t>论文列举了 PIXIU、FinGPT、Instruct-FinGPT 和 BloombergGPT 等金融语言模型。这些模型说明，金融领域的专业语料可以提升模型对术语、报表和市场语境的理解能力。然而，金融助手的输出更多是分析支持，若缺少交易流程、风险审批和回测机制，仍然难以评价其真实交易效果。</w:t>
      </w:r>
    </w:p>
    <w:p w14:paraId="1FE582D5">
      <w:r>
        <w:t>第二类相关工作是直接把大语言模型作为交易员。新闻驱动方法把新闻、公告和宏观消息输入模型，让模型预测价格方向；推理驱动方法加入记忆、反思和辩论，让模型在多轮信息处理中形成更稳定的判断；强化学习驱动方法则把回测结果作为奖励，对模型输出行为进行对齐。</w:t>
      </w:r>
    </w:p>
    <w:p w14:paraId="1FE582D5">
      <w:r>
        <w:t>推理驱动智能体与本文课题关系较近。FinMem 利用分层记忆保存短期、中期和长期金融信息，FinAgent 通过多模态数据和反思机制改善交易判断，TradingGPT 使用不同角色的辩论增强判断稳健性。TradingAgents 在这些研究基础上进一步强调真实交易组织的岗位协作。</w:t>
      </w:r>
    </w:p>
    <w:p w14:paraId="1FE582D5">
      <w:r>
        <w:t>第三类相关工作是 alpha 因子挖掘。该方向不直接让智能体买卖，而是让模型生成或改进量化因子，再由外部回测框架检验因子效果。因子挖掘体现了大语言模型参与策略研发的可能性，但与本文系统的交互式多智能体交易模拟相比，关注点更偏策略发现和自动研究。</w:t>
      </w:r>
    </w:p>
    <w:p w14:paraId="1FE582D5">
      <w:r>
        <w:t>论文在角色专业化部分使用了“交易公司”这一组织隐喻。真实交易公司中的研究员、交易员和风控人员承担不同职责，他们之间的流程可以减少个人判断偏差。TradingAgents 将这些职责映射为智能体角色，使大语言模型不再以单一身份回答问题，而是在组织流程中完成专业协作。</w:t>
      </w:r>
    </w:p>
    <w:p w14:paraId="1FE582D5">
      <w:r>
        <w:t>分析师团队的示意图展示了市场、社交媒体、新闻和基本面四类信息入口。每类信息入口都有对应工具和报告形式。这样的分层使系统能够把多源信息变成结构化中间结果，再交给研究团队和交易员处理。本文系统虽然数据源较少，但同样需要先把行情、新闻和历史记忆整理为可读状态。</w:t>
      </w:r>
    </w:p>
    <w:p w14:paraId="1FE582D5">
      <w:r>
        <w:t>研究团队图示展示了看多和看空两个角色之间的讨论。看多角色强调买入证据，看空角色强调卖出证据或风险证据。该结构有助于避免模型只沿着最初判断继续扩写理由。对于期货市场模拟，若价格处于上涨趋势但宏观风险上升，看多和看空观点并列展示会更加合理。</w:t>
      </w:r>
    </w:p>
    <w:p w14:paraId="1FE582D5">
      <w:r>
        <w:t>交易员决策流程图说明，交易员需要从研究团队获得的结论中抽取可执行动作。交易动作通常包含买入、卖出、持有或空仓等方向，同时还需要理由、证据和置信程度。本文项目中 LLM 决策客户端和交易面板承担类似功能：前者生成结构化动作，后者展示动作与原因。</w:t>
      </w:r>
    </w:p>
    <w:p w14:paraId="1FE582D5">
      <w:r>
        <w:t>风险管理图示强调风险团队和基金经理之间的审批关系。风险成员会对交易提案提出不同风险意见，基金经理结合这些意见决定是否执行。这个流程提醒本文系统，最终策略建议不能只依据智能体收益排序，还要观察最大回撤、失败样本和测试阶段稳定性。</w:t>
      </w:r>
    </w:p>
    <w:p w14:paraId="1FE582D5">
      <w:r>
        <w:t>论文在通信协议中提到，结构化消息能够减少信息丢失。结构化消息可以包含固定字段，如角色名、输入数据、关键发现、建议动作、理由摘要和风险备注。后续智能体读取字段即可完成任务，而无需从长篇对话中猜测上下文。本文项目后端状态对象也采用类似思路。</w:t>
      </w:r>
    </w:p>
    <w:p w14:paraId="1FE582D5">
      <w:r>
        <w:t>论文还提出，不同智能体可使用不同层级的语言模型。快速模型适合检索和摘要，深度推理模型适合辩论和最终决策。该设计能够降低成本并提升效率。本文项目中的模型链配置可以看作一种容错和分层调用机制，当首选模型失败时可尝试备用模型，保证模拟流程继续。</w:t>
      </w:r>
    </w:p>
    <w:p w14:paraId="1FE582D5">
      <w:r>
        <w:t>实验章节说明，TradingAgents 的评价建立在历史金融数据回测之上。回测能够让所有策略在同一时间段和同一资产上比较，减少人为选择偏差。论文使用多种技术策略作为基线，这使实验结论更有说服力。本文系统同样应在相同市场序列下比较不同智能体。</w:t>
      </w:r>
    </w:p>
    <w:p w14:paraId="1FE582D5">
      <w:r>
        <w:t>论文中的交易历史图不仅展示收益，也展示每次交易动作发生的位置。对于策略分析而言，这比只给出最终资产值更有价值，因为研究者可以观察策略是否在趋势初期建仓，是否在回撤前减仓，是否频繁交易导致成本上升。本文前端也应尽量呈现动作与时间的对应关系。</w:t>
      </w:r>
    </w:p>
    <w:p w14:paraId="1FE582D5">
      <w:r>
        <w:t>累计收益曲线图清楚展示了 TradingAgents 与规则策略之间的差距。曲线随时间上升说明策略逐步积累收益，若曲线波动剧烈则说明收益稳定性不足。本文系统中的训练得分和测试得分可以用类似思路解释：不仅看终点，还要看过程中的稳定性。</w:t>
      </w:r>
    </w:p>
    <w:p w14:paraId="1FE582D5">
      <w:r>
        <w:t>论文对夏普比率和最大回撤的讨论反映了金融策略评价的严谨性。高收益策略如果风险过高，难以直接证明优越性；低回撤策略如果几乎没有收益，也缺乏应用价值。TradingAgents 尝试在收益和风险之间获得平衡，这也是本文期货模拟系统需要表达的核心逻辑。</w:t>
      </w:r>
    </w:p>
    <w:p w14:paraId="1FE582D5">
      <w:r>
        <w:t>补充材料中的智能体报告样例非常长，包含市场分析、新闻分析、社交媒体分析、基本面分析和风险团队讨论。这些样例说明，多智能体系统的价值不只在最终动作，还在中间过程的可解释记录。本文附录保留大量源代码，也是在材料层面展示系统确实实现了状态记录和界面展示。</w:t>
      </w:r>
    </w:p>
    <w:p w14:paraId="1FE582D5">
      <w:r>
        <w:t>论文的开源地址为框架提供了可复现基础。开源实现可以帮助研究者理解智能体如何组织、提示词如何编写、报告如何传递以及回测如何执行。本文项目也应通过附录代码展示可运行依据，避免论文只停留在概念描述。</w:t>
      </w:r>
    </w:p>
    <w:p w14:paraId="1FE582D5">
      <w:r>
        <w:t>在局限性方面，TradingAgents 的实验仍受到回测时间、交易成本、模型调用费用和数据质量影响。论文中的优异表现不能直接等同于真实市场收益。本文系统更应保持审慎表述，把系统定位为模拟和研究工具，用于观察多智能体决策过程和策略评价方法。</w:t>
      </w:r>
    </w:p>
    <w:p w14:paraId="1FE582D5">
      <w:r>
        <w:t>对于本文系统而言，TradingAgents 最重要的借鉴并非某个具体指标数值，而是完整流程。即先由专门角色处理不同信息，再通过辩论和风险审查形成交易决策，最后用回测指标验证效果。本文实现可以在毕业设计规模内保留这个流程骨架。</w:t>
      </w:r>
    </w:p>
    <w:p w14:paraId="1FE582D5">
      <w:r>
        <w:t>本文选取的代码附录也与该流程对应。tradingGameDemo.js 负责智能体画像、交易品种和模拟流程；localDataLoader.js 负责历史行情加载；worldModel.js 负责状态模型；server/index.js 负责接口和调度；tradingLlmClient.js 负责语言模型决策；stateDiffBroadcast.js 和前端组件负责状态展示。</w:t>
      </w:r>
    </w:p>
    <w:p w14:paraId="1FE582D5">
      <w:r>
        <w:t>因此，外文文献与代码附录之间不是割裂的两部分。外文文献提供多智能体金融交易系统的理论和工程参考，代码附录展示本文项目如何用 JavaScript/Node.js 实现期货模拟、数据加载、状态同步和可视化界面。二者共同支撑毕业设计主题。</w:t>
      </w:r>
    </w:p>
    <w:p w14:paraId="1FE582D5">
      <w:r>
        <w:t>若后续继续完善系统，可以进一步引入 TradingAgents 中的完整岗位结构，例如新增新闻分析师、技术分析师、风险审批智能体和基金经理智能体。也可以将外部新闻、行情数据库和社交媒体数据接入系统，使模拟环境更接近真实市场。</w:t>
      </w:r>
    </w:p>
    <w:p w14:paraId="1FE582D5">
      <w:pPr>
        <w:jc w:val="center"/>
      </w:pPr>
      <w:r>
        <w:drawing>
          <wp:inline xmlns:a="http://schemas.openxmlformats.org/drawingml/2006/main" xmlns:pic="http://schemas.openxmlformats.org/drawingml/2006/picture">
            <wp:extent cx="4752000" cy="3503077"/>
            <wp:docPr id="21" name="Picture 21"/>
            <wp:cNvGraphicFramePr>
              <a:graphicFrameLocks noChangeAspect="1"/>
            </wp:cNvGraphicFramePr>
            <a:graphic>
              <a:graphicData uri="http://schemas.openxmlformats.org/drawingml/2006/picture">
                <pic:pic>
                  <pic:nvPicPr>
                    <pic:cNvPr id="0" name="tradingagents_fig7_cumulative_return.png"/>
                    <pic:cNvPicPr/>
                  </pic:nvPicPr>
                  <pic:blipFill>
                    <a:blip r:embed="rId34"/>
                    <a:stretch>
                      <a:fillRect/>
                    </a:stretch>
                  </pic:blipFill>
                  <pic:spPr>
                    <a:xfrm>
                      <a:off x="0" y="0"/>
                      <a:ext cx="4752000" cy="3503077"/>
                    </a:xfrm>
                    <a:prstGeom prst="rect"/>
                  </pic:spPr>
                </pic:pic>
              </a:graphicData>
            </a:graphic>
          </wp:inline>
        </w:drawing>
      </w:r>
    </w:p>
    <w:p w14:paraId="1FE582D5">
      <w:pPr>
        <w:jc w:val="center"/>
      </w:pPr>
      <w:r>
        <w:t>图4 TradingAgents 与基线策略累计收益对比</w:t>
      </w:r>
    </w:p>
    <w:p w14:paraId="1FE582D5">
      <w:r>
        <w:t>还可以借鉴论文中的多轮辩论机制，让不同风险偏好的智能体围绕同一交易动作给出支持和反对意见，再由最终决策模块综合输出。这样不仅能增强系统可解释性，也能让“多智能体”特征在界面和论文中更加明显。</w:t>
      </w:r>
    </w:p>
    <w:p w14:paraId="1FE582D5">
      <w:r>
        <w:t>在自进化方面，可以把每轮回测后的失败样本、最大回撤片段和错误动作写入智能体记忆，再影响下一轮提示词。这个设计与 TradingAgents 的组织流程兼容，也与 FinMem 的记忆思想呼应。本文当前系统已经具备历史数据和结果记录基础，后续扩展较自然。</w:t>
      </w:r>
    </w:p>
    <w:p w14:paraId="1FE582D5">
      <w:r>
        <w:t>最终，TradingAgents 说明了一个重要观点：金融智能体系统的竞争力来自模型能力、组织流程、数据结构和风险评价的共同作用。本文毕业设计应围绕这一观点展开系统说明，把多智能体角色、期货行情、LLM 决策、策略评分和前端可视化统一成完整工作流。</w:t>
      </w:r>
    </w:p>
    <w:p w14:paraId="3DA63018">
      <w:pPr>
        <w:pStyle w:val="13"/>
        <w:pageBreakBefore/>
        <w:rPr>
          <w:rFonts w:hint="eastAsia"/>
        </w:rPr>
      </w:pPr>
      <w:bookmarkStart w:id="9" w:name="_Toc16394"/>
      <w:r>
        <w:rPr>
          <w:rFonts w:hint="eastAsia"/>
        </w:rPr>
        <w:t>附件4：外文文献原文</w:t>
      </w:r>
      <w:bookmarkEnd w:id="9"/>
    </w:p>
    <w:p w14:paraId="1FE582D5">
      <w:pPr>
        <w:jc w:val="left"/>
      </w:pPr>
      <w:r>
        <w:rPr>
          <w:rFonts w:ascii="Times New Roman" w:hAnsi="Times New Roman" w:eastAsia="Times New Roman"/>
          <w:b/>
          <w:sz w:val="21"/>
        </w:rPr>
        <w:t>TradingAgents: Multi-Agents LLM Financial Trading Framework</w:t>
      </w:r>
    </w:p>
    <w:p w14:paraId="1FE582D5">
      <w:pPr>
        <w:jc w:val="left"/>
      </w:pPr>
      <w:r>
        <w:rPr>
          <w:rFonts w:ascii="Times New Roman" w:hAnsi="Times New Roman" w:eastAsia="Times New Roman"/>
          <w:sz w:val="19"/>
        </w:rPr>
        <w:t>Yijia Xiao; Edward Sun; Di Luo; Wei Wang. 1 University of California, Los Angeles (UCLA); 2 Massachusetts Institute of Technology (MIT); 3 Tauric Research.</w:t>
      </w:r>
    </w:p>
    <w:p w14:paraId="1FE582D5">
      <w:pPr>
        <w:jc w:val="left"/>
      </w:pPr>
      <w:r>
        <w:rPr>
          <w:rFonts w:ascii="Times New Roman" w:hAnsi="Times New Roman" w:eastAsia="Times New Roman"/>
          <w:b/>
          <w:sz w:val="21"/>
        </w:rPr>
        <w:t>Abstract</w:t>
      </w:r>
    </w:p>
    <w:p w14:paraId="1FE582D5">
      <w:pPr>
        <w:jc w:val="left"/>
      </w:pPr>
      <w:r>
        <w:rPr>
          <w:rFonts w:ascii="Times New Roman" w:hAnsi="Times New Roman" w:eastAsia="Times New Roman"/>
          <w:sz w:val="19"/>
        </w:rPr>
        <w:t>Significant progress has been made in automated problem-solving using societies of agents powered by large language models (LLMs). In finance, efforts have largely focused on single-agent systems handling specific tasks or multi-agent frameworks independently gathering data. However, the multi-agent systems' potential to replicate real-world trading firms' collaborative dynamics remains underexplored. TradingAgents proposes a novel stock trading framework inspired by trading firms, featuring LLM-powered agents in specialized roles such as fundamental analysts, sentiment analysts, technical analysts, and traders with varied risk profiles. The framework includes Bull and Bear researcher agents assessing market conditions, a risk management team monitoring exposure, and traders synthesizing insights from debates and historical data to make informed decisions. By simulating a dynamic, collaborative trading environment, this framework aims to improve trading performance. Detailed architecture and extensive experiments reveal its superiority over baseline models, with notable improvements in cumulative returns, Sharpe ratio, and maximum drawdown, highlighting the potential of multi-agent LLM frameworks in financial trading. TradingAgents is available at https://github.com/TauricResearch/TradingAgents.</w:t>
      </w:r>
    </w:p>
    <w:p w14:paraId="1FE582D5">
      <w:pPr>
        <w:jc w:val="left"/>
      </w:pPr>
      <w:r>
        <w:rPr>
          <w:rFonts w:ascii="Times New Roman" w:hAnsi="Times New Roman" w:eastAsia="Times New Roman"/>
          <w:b/>
          <w:sz w:val="21"/>
        </w:rPr>
        <w:t>Introduction</w:t>
      </w:r>
    </w:p>
    <w:p w14:paraId="1FE582D5">
      <w:pPr>
        <w:jc w:val="left"/>
      </w:pPr>
      <w:r>
        <w:rPr>
          <w:rFonts w:ascii="Times New Roman" w:hAnsi="Times New Roman" w:eastAsia="Times New Roman"/>
          <w:sz w:val="19"/>
        </w:rPr>
        <w:t>Autonomous agents leveraging Large Language Models (LLMs) present a transformative approach to decision-making by replicating human processes and workflows across various applications. These systems enhance the problem-solving capabilities of language agents by equipping them with tools and enabling collaboration with other agents, effectively breaking down complex problems into manageable components [park2023generativeagentsinteractivesimulacra, havrilla2024teachinglargelanguagemodels, talebirad2023multiagentcollaborationharnessingpower, tang2024medagentslargelanguagemodels]. One prominent application of these autonomous frameworks is in the financial market—a highly complex system influenced by numerous factors, including company fundamentals, market sentiment, technical indicators, and macroeconomic events.</w:t>
      </w:r>
    </w:p>
    <w:p w14:paraId="1FE582D5">
      <w:pPr>
        <w:jc w:val="left"/>
      </w:pPr>
      <w:r>
        <w:rPr>
          <w:rFonts w:ascii="Times New Roman" w:hAnsi="Times New Roman" w:eastAsia="Times New Roman"/>
          <w:sz w:val="19"/>
        </w:rPr>
        <w:t>Traditional algorithmic trading systems often rely on quantitative models that struggle to fully capture the complex interplay of diverse factors. In contrast, LLMs excel at processing and understanding natural language data, making them particularly effective for tasks that require textual comprehension, such as analyzing news articles, financial reports, and social media sentiment. Additionally, deep learning-based trading systems often suffer from low explainability, as they rely on hidden features that drive decision-making but are difficult to interpret. Recent advancements in multi-agent LLM frameworks for finance have shown significant promise in addressing these challenges. These frameworks create explainable AI systems, where decisions are supported by evidence and transparent reasoning [li2023tradinggpt, wang2024quantagentseekingholygrail, yu2024fincon], demonstrating the potential in financial applications.</w:t>
      </w:r>
    </w:p>
    <w:p w14:paraId="1FE582D5">
      <w:pPr>
        <w:jc w:val="left"/>
      </w:pPr>
      <w:r>
        <w:rPr>
          <w:rFonts w:ascii="Times New Roman" w:hAnsi="Times New Roman" w:eastAsia="Times New Roman"/>
          <w:sz w:val="19"/>
        </w:rPr>
        <w:t>Despite their potential, most current applications of language agents in the financial and trading sectors face two significant limitations:</w:t>
      </w:r>
    </w:p>
    <w:p w14:paraId="1FE582D5">
      <w:pPr>
        <w:jc w:val="left"/>
      </w:pPr>
      <w:r>
        <w:rPr>
          <w:rFonts w:ascii="Times New Roman" w:hAnsi="Times New Roman" w:eastAsia="Times New Roman"/>
          <w:sz w:val="19"/>
        </w:rPr>
        <w:t>Lack of Realistic Organizational Modeling: Many frameworks fail to capture the complex interactions between agents that mimic the structure of real-world trading firms [li2023tradinggpt, wang2024quantagentseekingholygrail, yu2024fincon]. Instead, they focus narrowly on specific task performance, often disconnected from the organizational workflows and established human operating procedures proven effective in trading. This limits their ability to fully replicate and benefit from real-world trading practices.</w:t>
      </w:r>
    </w:p>
    <w:p w14:paraId="1FE582D5">
      <w:pPr>
        <w:jc w:val="left"/>
      </w:pPr>
      <w:r>
        <w:rPr>
          <w:rFonts w:ascii="Times New Roman" w:hAnsi="Times New Roman" w:eastAsia="Times New Roman"/>
          <w:sz w:val="19"/>
        </w:rPr>
        <w:t>Inefficient Communication Interfaces: Most existing systems use natural language as the primary communication medium, typically relying on message histories or an unstructured pool of information for decision-making [park2023generativeagentsinteractivesimulacra, qian2024chatdevcommunicativeagentssoftware]. This approach often results in a "telephone effect", where details are lost, and states become corrupted as conversations lengthen. Agents struggle to maintain context and track extended histories while filtering out irrelevant information from previous decision steps, diminishing their effectiveness in handling complex, dynamic tasks. Additionally, the unstructured pool-of-information approach lacks clear instructions, forcing logical communication and information exchange between agents to depend solely on retrieval, which disrupts the relational integrity of the data.</w:t>
      </w:r>
    </w:p>
    <w:p w14:paraId="1FE582D5">
      <w:pPr>
        <w:jc w:val="left"/>
      </w:pPr>
      <w:r>
        <w:rPr>
          <w:rFonts w:ascii="Times New Roman" w:hAnsi="Times New Roman" w:eastAsia="Times New Roman"/>
          <w:sz w:val="19"/>
        </w:rPr>
        <w:t>In this work, we address these key limitations of existing models by introducing a system that overcomes these challenges. First, our framework bridges the gap by simulating the multi-agent decision-making processes typical of professional trading teams. It incorporates specialized agents tailored to distinct aspects of trading, inspired by the organizational structure of real-world trading firms. These agents include fundamental analysts, sentiment/news analysts, technical analysts, and traders with diverse risk profiles. Bullish and bearish debaters evaluate market conditions to provide balanced recommendations, while a risk management team ensures that exposures remain within acceptable limits. Second, to enhance communication, our framework combines structured outputs for control, clarity, and reasoning with natural language dialogue to facilitate effective debate and collaboration among agents. This hybrid approach ensures both precision and flexibility in decision-making.</w:t>
      </w:r>
    </w:p>
    <w:p w14:paraId="1FE582D5">
      <w:pPr>
        <w:jc w:val="left"/>
      </w:pPr>
      <w:r>
        <w:rPr>
          <w:rFonts w:ascii="Times New Roman" w:hAnsi="Times New Roman" w:eastAsia="Times New Roman"/>
          <w:sz w:val="19"/>
        </w:rPr>
        <w:t>We validate our framework through experiments on historical financial data, comparing its performance against multiple baselines. Comprehensive evaluation metrics, including cumulative return, Sharpe ratio, and maximum drawdown, are employed to assess its overall effectiveness.</w:t>
      </w:r>
    </w:p>
    <w:p w14:paraId="1FE582D5">
      <w:pPr>
        <w:jc w:val="left"/>
      </w:pPr>
      <w:r>
        <w:rPr>
          <w:rFonts w:ascii="Times New Roman" w:hAnsi="Times New Roman" w:eastAsia="Times New Roman"/>
          <w:b/>
          <w:sz w:val="21"/>
        </w:rPr>
        <w:t>Related Work</w:t>
      </w:r>
    </w:p>
    <w:p w14:paraId="1FE582D5">
      <w:pPr>
        <w:jc w:val="left"/>
      </w:pPr>
      <w:r>
        <w:rPr>
          <w:rFonts w:ascii="Times New Roman" w:hAnsi="Times New Roman" w:eastAsia="Times New Roman"/>
          <w:b/>
          <w:sz w:val="21"/>
        </w:rPr>
        <w:t>LLMs as Financial Assistants</w:t>
      </w:r>
    </w:p>
    <w:p w14:paraId="1FE582D5">
      <w:pPr>
        <w:jc w:val="left"/>
      </w:pPr>
      <w:r>
        <w:rPr>
          <w:rFonts w:ascii="Times New Roman" w:hAnsi="Times New Roman" w:eastAsia="Times New Roman"/>
          <w:sz w:val="19"/>
        </w:rPr>
        <w:t>Large Language Models (LLMs) are applied in finance by fine-tuning on financial data or training on financial corpora. This improves the model’s understanding of financial terminology and data, enabling a specialized assistant for analytical support, insights, and information retrieval, rather than trade execution.</w:t>
      </w:r>
    </w:p>
    <w:p w14:paraId="1FE582D5">
      <w:pPr>
        <w:jc w:val="left"/>
      </w:pPr>
      <w:r>
        <w:rPr>
          <w:rFonts w:ascii="Times New Roman" w:hAnsi="Times New Roman" w:eastAsia="Times New Roman"/>
          <w:sz w:val="19"/>
        </w:rPr>
        <w:t>Fine-Tuned LLMs for Finance</w:t>
      </w:r>
    </w:p>
    <w:p w14:paraId="1FE582D5">
      <w:pPr>
        <w:jc w:val="left"/>
      </w:pPr>
      <w:r>
        <w:rPr>
          <w:rFonts w:ascii="Times New Roman" w:hAnsi="Times New Roman" w:eastAsia="Times New Roman"/>
          <w:sz w:val="19"/>
        </w:rPr>
        <w:t>Fine-tuning enhances domain-specific performance. Examples include PIXIU (FinMA) [xie2023pixiu], which fine-tuned LLaMA on 136K finance-related instructions; FinGPT [touvron2023llama2openfoundation, yang2023fingpt], which used LoRA to fine-tune models like LLaMA and ChatGLM with about 50K finance-specific samples; and Instruct-FinGPT [zhang2023instructfingpt], fine-tuned on 10K instruction samples from financial sentiment analysis datasets. These models outperform their base versions and other open-source LLMs like BLOOM and OPT [zhang2022opt] in finance classification tasks, even surpassing BloombergGPT [wu2023bloomberggpt] in several evaluations. However, in generative tasks, they perform similarly or slightly worse than powerful general-purpose models like GPT-4, indicating a need for more high-quality, domain-specific datasets.</w:t>
      </w:r>
    </w:p>
    <w:p w14:paraId="1FE582D5">
      <w:pPr>
        <w:jc w:val="left"/>
      </w:pPr>
      <w:r>
        <w:rPr>
          <w:rFonts w:ascii="Times New Roman" w:hAnsi="Times New Roman" w:eastAsia="Times New Roman"/>
          <w:b/>
          <w:sz w:val="19"/>
        </w:rPr>
        <w:t>Finance LLMs Trained from Scratch</w:t>
      </w:r>
    </w:p>
    <w:p w14:paraId="1FE582D5">
      <w:pPr>
        <w:jc w:val="left"/>
      </w:pPr>
      <w:r>
        <w:rPr>
          <w:rFonts w:ascii="Times New Roman" w:hAnsi="Times New Roman" w:eastAsia="Times New Roman"/>
          <w:sz w:val="19"/>
        </w:rPr>
        <w:t>Training LLMs from scratch on finance-specific corpora aims for better domain adaptation. Models like BloombergGPT [wu2023bloomberggpt], XuanYuan 2.0 [zhang2023xuanyuan], and Fin-T5 [lu2023bbtfin] combine public datasets with finance-specific data during pretraining. BloombergGPT, for instance, was trained on both general and financial text, with proprietary Bloomberg data enhancing its performance on finance benchmarks. These models outperform general-purpose counterparts like BLOOM-176B and T5 in tasks such as market sentiment classification and summarization. While they may not match larger closed-source models like GPT-3 or PaLM [chowdhery2022palm], they offer competitive performance among similar-sized open-source models without compromising general language understanding.</w:t>
      </w:r>
    </w:p>
    <w:p w14:paraId="1FE582D5">
      <w:pPr>
        <w:jc w:val="left"/>
      </w:pPr>
      <w:r>
        <w:rPr>
          <w:rFonts w:ascii="Times New Roman" w:hAnsi="Times New Roman" w:eastAsia="Times New Roman"/>
          <w:sz w:val="19"/>
        </w:rPr>
        <w:t>In summary, finance-specific LLMs developed through fine-tuning or training from scratch show significant improvements in domain-specific tasks, underscoring the importance of domain adaptation and the potential for further enhancements with high-quality finance-specific datasets.</w:t>
      </w:r>
    </w:p>
    <w:p w14:paraId="1FE582D5">
      <w:pPr>
        <w:keepNext/>
        <w:jc w:val="center"/>
      </w:pPr>
      <w:r>
        <w:drawing>
          <wp:inline xmlns:a="http://schemas.openxmlformats.org/drawingml/2006/main" xmlns:pic="http://schemas.openxmlformats.org/drawingml/2006/picture">
            <wp:extent cx="4752000" cy="1430546"/>
            <wp:docPr id="22" name="Picture 22"/>
            <wp:cNvGraphicFramePr>
              <a:graphicFrameLocks noChangeAspect="1"/>
            </wp:cNvGraphicFramePr>
            <a:graphic>
              <a:graphicData uri="http://schemas.openxmlformats.org/drawingml/2006/picture">
                <pic:pic>
                  <pic:nvPicPr>
                    <pic:cNvPr id="0" name="figures_schema_png.png"/>
                    <pic:cNvPicPr/>
                  </pic:nvPicPr>
                  <pic:blipFill>
                    <a:blip r:embed="rId35"/>
                    <a:stretch>
                      <a:fillRect/>
                    </a:stretch>
                  </pic:blipFill>
                  <pic:spPr>
                    <a:xfrm>
                      <a:off x="0" y="0"/>
                      <a:ext cx="4752000" cy="1430546"/>
                    </a:xfrm>
                    <a:prstGeom prst="rect"/>
                  </pic:spPr>
                </pic:pic>
              </a:graphicData>
            </a:graphic>
          </wp:inline>
        </w:drawing>
      </w:r>
    </w:p>
    <w:p w14:paraId="1FE582D5">
      <w:pPr>
        <w:keepLines/>
        <w:jc w:val="left"/>
      </w:pPr>
      <w:r>
        <w:rPr>
          <w:rFonts w:ascii="Times New Roman" w:hAnsi="Times New Roman" w:eastAsia="Times New Roman"/>
          <w:sz w:val="19"/>
        </w:rPr>
        <w:t>TradingAgents Overall Framework Organization. I. Analysts Team: Four analysts concurrently gather relevant market information. II. Research Team: The team discusses and evaluates the collected data. III. Trader: Based on the researchers' analysis, the trader makes the trading decision. IV. Risk Management Team: Risk guardians assess the decision against current market conditions to mitigate risks. V. Fund Manager: The fund manager approves and executes the trade.</w:t>
      </w:r>
    </w:p>
    <w:p w14:paraId="1FE582D5">
      <w:pPr>
        <w:jc w:val="left"/>
      </w:pPr>
      <w:r>
        <w:rPr>
          <w:rFonts w:ascii="Times New Roman" w:hAnsi="Times New Roman" w:eastAsia="Times New Roman"/>
          <w:b/>
          <w:sz w:val="21"/>
        </w:rPr>
        <w:t>LLMs as Traders</w:t>
      </w:r>
    </w:p>
    <w:p w14:paraId="1FE582D5">
      <w:pPr>
        <w:jc w:val="left"/>
      </w:pPr>
      <w:r>
        <w:rPr>
          <w:rFonts w:ascii="Times New Roman" w:hAnsi="Times New Roman" w:eastAsia="Times New Roman"/>
          <w:sz w:val="19"/>
        </w:rPr>
        <w:t>LLMs act as trader agents making direct trading decisions by analyzing external data like news, financial reports, and stock prices. Proposed architectures include news-driven, reasoning-driven, and reinforcement learning (RL)-driven agents.</w:t>
      </w:r>
    </w:p>
    <w:p w14:paraId="1FE582D5">
      <w:pPr>
        <w:jc w:val="left"/>
      </w:pPr>
      <w:r>
        <w:rPr>
          <w:rFonts w:ascii="Times New Roman" w:hAnsi="Times New Roman" w:eastAsia="Times New Roman"/>
          <w:sz w:val="19"/>
        </w:rPr>
        <w:t>News-Driven Agents</w:t>
      </w:r>
    </w:p>
    <w:p w14:paraId="1FE582D5">
      <w:pPr>
        <w:jc w:val="left"/>
      </w:pPr>
      <w:r>
        <w:rPr>
          <w:rFonts w:ascii="Times New Roman" w:hAnsi="Times New Roman" w:eastAsia="Times New Roman"/>
          <w:sz w:val="19"/>
        </w:rPr>
        <w:t>News-driven architectures integrate stock news and macroeconomic updates into LLM prompts to predict stock price movements. Studies evaluating both closed-source models (e.g., GPT-3.5, GPT-4) and open-source LLMs (e.g., Qwen [bai2023qwentechnicalreport], Baichuan [yang2023baichuan2openlargescale]) in financial sentiment analysis have shown the effectiveness of simple long-short strategies based on sentiment scores [lopezlira2023chatgptforecaststockprice]. Further research on fine-tuned LLMs like FinGPT and OPT demonstrates improved performance through domain-specific alignment [unveiling, sentitrade]. Advanced methods involve summarizing news data and reasoning about their relationship with stock prices [beatunveiling, wang2024llmfactorextractingprofitablefactors].</w:t>
      </w:r>
    </w:p>
    <w:p w14:paraId="1FE582D5">
      <w:pPr>
        <w:jc w:val="left"/>
      </w:pPr>
      <w:r>
        <w:rPr>
          <w:rFonts w:ascii="Times New Roman" w:hAnsi="Times New Roman" w:eastAsia="Times New Roman"/>
          <w:sz w:val="19"/>
        </w:rPr>
        <w:t>Reasoning-Driven Agents</w:t>
      </w:r>
    </w:p>
    <w:p w14:paraId="1FE582D5">
      <w:pPr>
        <w:jc w:val="left"/>
      </w:pPr>
      <w:r>
        <w:rPr>
          <w:rFonts w:ascii="Times New Roman" w:hAnsi="Times New Roman" w:eastAsia="Times New Roman"/>
          <w:sz w:val="19"/>
        </w:rPr>
        <w:t>Reasoning-driven agents enhance trading decisions through mechanisms like reflection and debate. Reflection-driven agents, such as FinMem [finmem] and FinAgent [multimodalfinmem], use layered memorization and multimodal data to summarize inputs into memories, inform decisions, and incorporate technical indicators, achieving superior backtest performance while mitigating hallucinations [ji2023mitigatinghallucinationlargelanguage]. Debate-driven agents, like those in heterogeneous frameworks [xing2024designingheterogeneousllmagents] and TradingGPT [li2023tradinggptmultiagentlayeredmemory], enhance reasoning and factual validity by employing LLM debates among agents with different roles, improving sentiment classification and increasing robustness in trading decisions.</w:t>
      </w:r>
    </w:p>
    <w:p w14:paraId="1FE582D5">
      <w:pPr>
        <w:jc w:val="left"/>
      </w:pPr>
      <w:r>
        <w:rPr>
          <w:rFonts w:ascii="Times New Roman" w:hAnsi="Times New Roman" w:eastAsia="Times New Roman"/>
          <w:sz w:val="19"/>
        </w:rPr>
        <w:t>Reinforcement Learning-Driven Agents</w:t>
      </w:r>
    </w:p>
    <w:p w14:paraId="1FE582D5">
      <w:pPr>
        <w:jc w:val="left"/>
      </w:pPr>
      <w:r>
        <w:rPr>
          <w:rFonts w:ascii="Times New Roman" w:hAnsi="Times New Roman" w:eastAsia="Times New Roman"/>
          <w:sz w:val="19"/>
        </w:rPr>
        <w:t>Reinforcement learning methods align LLM outputs with expected behaviors, using backtesting as rewards. SEP [Koa_2024] employs RL with memorization and reflection to refine LLM predictions based on market history. Classical RL methods are also used in trading frameworks that integrate LLM-generated embeddings with stock features, trained via algorithms like Proximal Policy Optimization (PPO) [ding2023integratingstockfeaturesglobal, ppo].</w:t>
      </w:r>
    </w:p>
    <w:p w14:paraId="1FE582D5">
      <w:pPr>
        <w:jc w:val="left"/>
      </w:pPr>
      <w:r>
        <w:rPr>
          <w:rFonts w:ascii="Times New Roman" w:hAnsi="Times New Roman" w:eastAsia="Times New Roman"/>
          <w:b/>
          <w:sz w:val="21"/>
        </w:rPr>
        <w:t>LLMs as Alpha Miners</w:t>
      </w:r>
    </w:p>
    <w:p w14:paraId="1FE582D5">
      <w:pPr>
        <w:jc w:val="left"/>
      </w:pPr>
      <w:r>
        <w:rPr>
          <w:rFonts w:ascii="Times New Roman" w:hAnsi="Times New Roman" w:eastAsia="Times New Roman"/>
          <w:sz w:val="19"/>
        </w:rPr>
        <w:t>LLMs are also used to generate alpha factors instead of making direct trading decisions. QuantAgent [wang2023alpha] demonstrates this by leveraging LLMs to produce alpha factors through an inner-loop and outer-loop architecture. In the inner loop, a writer agent generates a script from a trader's idea, while a judge agent provides feedback. In the outer loop, the code is tested in the real market, and trading results enhance the judge agent. This approach enables progressive approximation of optimal behavior.</w:t>
      </w:r>
    </w:p>
    <w:p w14:paraId="1FE582D5">
      <w:pPr>
        <w:jc w:val="left"/>
      </w:pPr>
      <w:r>
        <w:rPr>
          <w:rFonts w:ascii="Times New Roman" w:hAnsi="Times New Roman" w:eastAsia="Times New Roman"/>
          <w:sz w:val="19"/>
        </w:rPr>
        <w:t>Subsequent research, such as AlphaGPT [wang2023alpha], proposes a human-in-the-loop framework for alpha mining with a similar architecture. Both studies showcase the effectiveness of LLM-powered alpha mining systems, highlighting their potential in automating and accelerating the development of trading strategies by generating and refining alpha factors.</w:t>
      </w:r>
    </w:p>
    <w:p w14:paraId="1FE582D5">
      <w:pPr>
        <w:jc w:val="left"/>
      </w:pPr>
      <w:r>
        <w:rPr>
          <w:rFonts w:ascii="Times New Roman" w:hAnsi="Times New Roman" w:eastAsia="Times New Roman"/>
          <w:b/>
          <w:sz w:val="21"/>
        </w:rPr>
        <w:t>TradingAgents: Role Specialization</w:t>
      </w:r>
    </w:p>
    <w:p w14:paraId="1FE582D5">
      <w:pPr>
        <w:jc w:val="left"/>
      </w:pPr>
      <w:r>
        <w:rPr>
          <w:rFonts w:ascii="Times New Roman" w:hAnsi="Times New Roman" w:eastAsia="Times New Roman"/>
          <w:sz w:val="19"/>
        </w:rPr>
        <w:t>Assigning LLM agents clear, well-defined roles with specific goals enables the breakdown of complex objectives into smaller, manageable subtasks. Financial trading is a prime example of such complexity, demanding the integration of diverse signals, inputs, and specialized expertise. In the real world, this approach to managing complexity is demonstrated by trading firms that rely on expert teams to collaborate and make high-stakes decisions, underscoring the multifaceted nature of the task.</w:t>
      </w:r>
    </w:p>
    <w:p w14:paraId="1FE582D5">
      <w:pPr>
        <w:jc w:val="left"/>
      </w:pPr>
      <w:r>
        <w:rPr>
          <w:rFonts w:ascii="Times New Roman" w:hAnsi="Times New Roman" w:eastAsia="Times New Roman"/>
          <w:sz w:val="19"/>
        </w:rPr>
        <w:t>In a typical trading firm, vast amounts of data are collected, including financial metrics, price movements, trading volumes, historical performance, economic indicators, and news sentiment. This data is then analyzed by quantitative experts (quants), including mathematicians, data scientists, and engineers, using advanced tools and algorithms to identify trends and predict market movements.</w:t>
      </w:r>
    </w:p>
    <w:p w14:paraId="1FE582D5">
      <w:pPr>
        <w:jc w:val="left"/>
      </w:pPr>
      <w:r>
        <w:rPr>
          <w:rFonts w:ascii="Times New Roman" w:hAnsi="Times New Roman" w:eastAsia="Times New Roman"/>
          <w:sz w:val="19"/>
        </w:rPr>
        <w:t>Inspired by this organizational structure, TradingAgents defines seven distinct agent roles within a simulated trading firm: Fundamentals Analyst, Sentiment Analyst, News Analyst, Technical Analyst, Researcher, Trader, and Risk Manager. Each agent is assigned a specific name, role, goal, and set of constraints, alongside predefined context, skills, and tools tailored to their function. For example, a Sentiment Analyst is equipped with tools like web search engines, Reddit search APIs, X/Twitter search tools, and sentiment score calculation algorithms, while a Technical Analyst can execute code, calculate technical indicators, and analyze trading patterns. More specifically, TradingAgents assumes the following teams.</w:t>
      </w:r>
    </w:p>
    <w:p w14:paraId="1FE582D5">
      <w:pPr>
        <w:jc w:val="left"/>
      </w:pPr>
      <w:r>
        <w:rPr>
          <w:rFonts w:ascii="Times New Roman" w:hAnsi="Times New Roman" w:eastAsia="Times New Roman"/>
          <w:b/>
          <w:sz w:val="21"/>
        </w:rPr>
        <w:t>Analyst Team</w:t>
      </w:r>
    </w:p>
    <w:p w14:paraId="1FE582D5">
      <w:pPr>
        <w:jc w:val="left"/>
      </w:pPr>
      <w:r>
        <w:rPr>
          <w:rFonts w:ascii="Times New Roman" w:hAnsi="Times New Roman" w:eastAsia="Times New Roman"/>
          <w:sz w:val="19"/>
        </w:rPr>
        <w:t>The Analyst Team (Figure fig:analyst) is composed of specialized agents responsible for gathering and analyzing various types of market data to inform trading decisions. Each agent focuses on a specific aspect of market analysis, bringing together a comprehensive view of the market's conditions.</w:t>
      </w:r>
    </w:p>
    <w:p w14:paraId="1FE582D5">
      <w:pPr>
        <w:keepNext/>
        <w:jc w:val="center"/>
      </w:pPr>
      <w:r>
        <w:drawing>
          <wp:inline xmlns:a="http://schemas.openxmlformats.org/drawingml/2006/main" xmlns:pic="http://schemas.openxmlformats.org/drawingml/2006/picture">
            <wp:extent cx="4752000" cy="2802462"/>
            <wp:docPr id="23" name="Picture 23"/>
            <wp:cNvGraphicFramePr>
              <a:graphicFrameLocks noChangeAspect="1"/>
            </wp:cNvGraphicFramePr>
            <a:graphic>
              <a:graphicData uri="http://schemas.openxmlformats.org/drawingml/2006/picture">
                <pic:pic>
                  <pic:nvPicPr>
                    <pic:cNvPr id="0" name="figures_analyst_pdf.png"/>
                    <pic:cNvPicPr/>
                  </pic:nvPicPr>
                  <pic:blipFill>
                    <a:blip r:embed="rId36"/>
                    <a:stretch>
                      <a:fillRect/>
                    </a:stretch>
                  </pic:blipFill>
                  <pic:spPr>
                    <a:xfrm>
                      <a:off x="0" y="0"/>
                      <a:ext cx="4752000" cy="2802462"/>
                    </a:xfrm>
                    <a:prstGeom prst="rect"/>
                  </pic:spPr>
                </pic:pic>
              </a:graphicData>
            </a:graphic>
          </wp:inline>
        </w:drawing>
      </w:r>
    </w:p>
    <w:p w14:paraId="1FE582D5">
      <w:pPr>
        <w:keepLines/>
        <w:jc w:val="left"/>
      </w:pPr>
      <w:r>
        <w:rPr>
          <w:rFonts w:ascii="Times New Roman" w:hAnsi="Times New Roman" w:eastAsia="Times New Roman"/>
          <w:b/>
          <w:sz w:val="19"/>
        </w:rPr>
        <w:t>TradingAgents Analyst Team</w:t>
      </w:r>
    </w:p>
    <w:p w14:paraId="1FE582D5">
      <w:pPr>
        <w:jc w:val="left"/>
      </w:pPr>
      <w:r>
        <w:rPr>
          <w:rFonts w:ascii="Times New Roman" w:hAnsi="Times New Roman" w:eastAsia="Times New Roman"/>
          <w:sz w:val="19"/>
        </w:rPr>
        <w:t>• Fundamental Analyst Agents: These agents evaluate company fundamentals by analyzing financial statements, earnings reports, insider transactions, and other pertinent data. They assess a company's intrinsic value to identify undervalued or overvalued stocks, providing insights into long-term investment potential.</w:t>
      </w:r>
    </w:p>
    <w:p w14:paraId="1FE582D5">
      <w:pPr>
        <w:jc w:val="left"/>
      </w:pPr>
      <w:r>
        <w:rPr>
          <w:rFonts w:ascii="Times New Roman" w:hAnsi="Times New Roman" w:eastAsia="Times New Roman"/>
          <w:sz w:val="19"/>
        </w:rPr>
        <w:t>• Sentiment Analyst Agents: These agents process large volumes of social media posts, sentiment scores, and insider sentiments derived from public information and social media activity. They gauge market sentiment to predict how collective investor behavior might impact stock prices in the short term.</w:t>
      </w:r>
    </w:p>
    <w:p w14:paraId="1FE582D5">
      <w:pPr>
        <w:jc w:val="left"/>
      </w:pPr>
      <w:r>
        <w:rPr>
          <w:rFonts w:ascii="Times New Roman" w:hAnsi="Times New Roman" w:eastAsia="Times New Roman"/>
          <w:sz w:val="19"/>
        </w:rPr>
        <w:t>• News Analyst Agents: These agents analyze news articles, government announcements, and other macroeconomic indicators to assess the market's macroeconomic state, major world events, and significant company changes. They identify news events that could influence market movements, helping to anticipate sudden shifts in market dynamics.</w:t>
      </w:r>
    </w:p>
    <w:p w14:paraId="1FE582D5">
      <w:pPr>
        <w:jc w:val="left"/>
      </w:pPr>
      <w:r>
        <w:rPr>
          <w:rFonts w:ascii="Times New Roman" w:hAnsi="Times New Roman" w:eastAsia="Times New Roman"/>
          <w:sz w:val="19"/>
        </w:rPr>
        <w:t>• Technical Analyst Agents: These agents calculate and select relevant technical indicators, such as Moving Average Convergence Divergence (MACD) and Relative Strength Index (RSI), customized for specific assets. They analyze price patterns and trading volumes to forecast future price movements, assisting in timing entry and exit points.</w:t>
      </w:r>
    </w:p>
    <w:p w14:paraId="1FE582D5">
      <w:pPr>
        <w:jc w:val="left"/>
      </w:pPr>
      <w:r>
        <w:rPr>
          <w:rFonts w:ascii="Times New Roman" w:hAnsi="Times New Roman" w:eastAsia="Times New Roman"/>
          <w:sz w:val="19"/>
        </w:rPr>
        <w:t>Collectively, the Analyst Team synthesizes data from multiple sources to provide a holistic market analysis. Their combined insights form the foundational input for the Researcher Team, ensuring that all facets of the market are considered in subsequent decision-making processes.</w:t>
      </w:r>
    </w:p>
    <w:p w14:paraId="1FE582D5">
      <w:pPr>
        <w:jc w:val="left"/>
      </w:pPr>
      <w:r>
        <w:rPr>
          <w:rFonts w:ascii="Times New Roman" w:hAnsi="Times New Roman" w:eastAsia="Times New Roman"/>
          <w:b/>
          <w:sz w:val="21"/>
        </w:rPr>
        <w:t>Researcher Team</w:t>
      </w:r>
    </w:p>
    <w:p w14:paraId="1FE582D5">
      <w:pPr>
        <w:jc w:val="left"/>
      </w:pPr>
      <w:r>
        <w:rPr>
          <w:rFonts w:ascii="Times New Roman" w:hAnsi="Times New Roman" w:eastAsia="Times New Roman"/>
          <w:sz w:val="19"/>
        </w:rPr>
        <w:t>The Researcher Team (Figure fig:researcher) is responsible for critically evaluating the information provided by the Analyst Team. Comprised of agents adopting both bullish and bearish perspectives, they engage in multiple rounds of debate to assess the potential risks and benefits of investment decisions.</w:t>
      </w:r>
    </w:p>
    <w:p w14:paraId="1FE582D5">
      <w:pPr>
        <w:keepNext/>
        <w:jc w:val="center"/>
      </w:pPr>
      <w:r>
        <w:drawing>
          <wp:inline xmlns:a="http://schemas.openxmlformats.org/drawingml/2006/main" xmlns:pic="http://schemas.openxmlformats.org/drawingml/2006/picture">
            <wp:extent cx="4752000" cy="1413570"/>
            <wp:docPr id="24" name="Picture 24"/>
            <wp:cNvGraphicFramePr>
              <a:graphicFrameLocks noChangeAspect="1"/>
            </wp:cNvGraphicFramePr>
            <a:graphic>
              <a:graphicData uri="http://schemas.openxmlformats.org/drawingml/2006/picture">
                <pic:pic>
                  <pic:nvPicPr>
                    <pic:cNvPr id="0" name="figures_researcher_pdf.png"/>
                    <pic:cNvPicPr/>
                  </pic:nvPicPr>
                  <pic:blipFill>
                    <a:blip r:embed="rId37"/>
                    <a:stretch>
                      <a:fillRect/>
                    </a:stretch>
                  </pic:blipFill>
                  <pic:spPr>
                    <a:xfrm>
                      <a:off x="0" y="0"/>
                      <a:ext cx="4752000" cy="1413570"/>
                    </a:xfrm>
                    <a:prstGeom prst="rect"/>
                  </pic:spPr>
                </pic:pic>
              </a:graphicData>
            </a:graphic>
          </wp:inline>
        </w:drawing>
      </w:r>
    </w:p>
    <w:p w14:paraId="1FE582D5">
      <w:pPr>
        <w:keepLines/>
        <w:jc w:val="left"/>
      </w:pPr>
      <w:r>
        <w:rPr>
          <w:rFonts w:ascii="Times New Roman" w:hAnsi="Times New Roman" w:eastAsia="Times New Roman"/>
          <w:sz w:val="19"/>
        </w:rPr>
        <w:t>TradingAgents Researcher Team: Bullish Perspectives and Bearish Perspectives</w:t>
      </w:r>
    </w:p>
    <w:p w14:paraId="1FE582D5">
      <w:pPr>
        <w:jc w:val="left"/>
      </w:pPr>
      <w:r>
        <w:rPr>
          <w:rFonts w:ascii="Times New Roman" w:hAnsi="Times New Roman" w:eastAsia="Times New Roman"/>
          <w:sz w:val="19"/>
        </w:rPr>
        <w:t>• Bullish Researchers: These agents advocate for investment opportunities by highlighting positive indicators, growth potential, and favorable market conditions. They construct arguments supporting the initiation or continuation of positions in certain assets.</w:t>
      </w:r>
    </w:p>
    <w:p w14:paraId="1FE582D5">
      <w:pPr>
        <w:jc w:val="left"/>
      </w:pPr>
      <w:r>
        <w:rPr>
          <w:rFonts w:ascii="Times New Roman" w:hAnsi="Times New Roman" w:eastAsia="Times New Roman"/>
          <w:sz w:val="19"/>
        </w:rPr>
        <w:t>• Bearish Researchers: Conversely, these agents focus on potential downsides, risks, and unfavorable market signals. They provide cautionary insights, questioning the viability of investment strategies and highlighting possible negative outcomes.</w:t>
      </w:r>
    </w:p>
    <w:p w14:paraId="1FE582D5">
      <w:pPr>
        <w:jc w:val="left"/>
      </w:pPr>
      <w:r>
        <w:rPr>
          <w:rFonts w:ascii="Times New Roman" w:hAnsi="Times New Roman" w:eastAsia="Times New Roman"/>
          <w:sz w:val="19"/>
        </w:rPr>
        <w:t>Through this dialectical process, the Researcher Team aims to reach a balanced understanding of the market situation. Their thorough analysis helps in identifying the most promising investment strategies while anticipating possible challenges, thus aiding the Trader Agents in making informed decisions.</w:t>
      </w:r>
    </w:p>
    <w:p w14:paraId="1FE582D5">
      <w:pPr>
        <w:jc w:val="left"/>
      </w:pPr>
      <w:r>
        <w:rPr>
          <w:rFonts w:ascii="Times New Roman" w:hAnsi="Times New Roman" w:eastAsia="Times New Roman"/>
          <w:b/>
          <w:sz w:val="21"/>
        </w:rPr>
        <w:t>Trader Agents</w:t>
      </w:r>
    </w:p>
    <w:p w14:paraId="1FE582D5">
      <w:pPr>
        <w:jc w:val="left"/>
      </w:pPr>
      <w:r>
        <w:rPr>
          <w:rFonts w:ascii="Times New Roman" w:hAnsi="Times New Roman" w:eastAsia="Times New Roman"/>
          <w:sz w:val="19"/>
        </w:rPr>
        <w:t>Trader Agents (Figure fig:trader) are responsible for executing trading decisions based on the comprehensive analysis provided by the Analyst Team and the nuanced perspectives from the Researcher Team. They assess the synthesized information, considering both quantitative data and qualitative insights, to determine optimal trading actions.</w:t>
      </w:r>
    </w:p>
    <w:p w14:paraId="1FE582D5">
      <w:pPr>
        <w:keepNext/>
        <w:jc w:val="center"/>
      </w:pPr>
      <w:r>
        <w:drawing>
          <wp:inline xmlns:a="http://schemas.openxmlformats.org/drawingml/2006/main" xmlns:pic="http://schemas.openxmlformats.org/drawingml/2006/picture">
            <wp:extent cx="4752000" cy="1503797"/>
            <wp:docPr id="25" name="Picture 25"/>
            <wp:cNvGraphicFramePr>
              <a:graphicFrameLocks noChangeAspect="1"/>
            </wp:cNvGraphicFramePr>
            <a:graphic>
              <a:graphicData uri="http://schemas.openxmlformats.org/drawingml/2006/picture">
                <pic:pic>
                  <pic:nvPicPr>
                    <pic:cNvPr id="0" name="figures_trader_pdf.png"/>
                    <pic:cNvPicPr/>
                  </pic:nvPicPr>
                  <pic:blipFill>
                    <a:blip r:embed="rId38"/>
                    <a:stretch>
                      <a:fillRect/>
                    </a:stretch>
                  </pic:blipFill>
                  <pic:spPr>
                    <a:xfrm>
                      <a:off x="0" y="0"/>
                      <a:ext cx="4752000" cy="1503797"/>
                    </a:xfrm>
                    <a:prstGeom prst="rect"/>
                  </pic:spPr>
                </pic:pic>
              </a:graphicData>
            </a:graphic>
          </wp:inline>
        </w:drawing>
      </w:r>
    </w:p>
    <w:p w14:paraId="1FE582D5">
      <w:pPr>
        <w:keepLines/>
        <w:jc w:val="left"/>
      </w:pPr>
      <w:r>
        <w:rPr>
          <w:rFonts w:ascii="Times New Roman" w:hAnsi="Times New Roman" w:eastAsia="Times New Roman"/>
          <w:sz w:val="19"/>
        </w:rPr>
        <w:t>TradingAgents's Trader Decision-Making Process</w:t>
      </w:r>
    </w:p>
    <w:p w14:paraId="1FE582D5">
      <w:pPr>
        <w:jc w:val="left"/>
      </w:pPr>
      <w:r>
        <w:rPr>
          <w:rFonts w:ascii="Times New Roman" w:hAnsi="Times New Roman" w:eastAsia="Times New Roman"/>
          <w:sz w:val="19"/>
        </w:rPr>
        <w:t>The tasks of TradingAgents Trader include:</w:t>
      </w:r>
    </w:p>
    <w:p w14:paraId="1FE582D5">
      <w:pPr>
        <w:jc w:val="left"/>
      </w:pPr>
      <w:r>
        <w:rPr>
          <w:rFonts w:ascii="Times New Roman" w:hAnsi="Times New Roman" w:eastAsia="Times New Roman"/>
          <w:sz w:val="19"/>
        </w:rPr>
        <w:t>• Evaluating recommendations and insights from analysts and researchers.</w:t>
      </w:r>
    </w:p>
    <w:p w14:paraId="1FE582D5">
      <w:pPr>
        <w:jc w:val="left"/>
      </w:pPr>
      <w:r>
        <w:rPr>
          <w:rFonts w:ascii="Times New Roman" w:hAnsi="Times New Roman" w:eastAsia="Times New Roman"/>
          <w:sz w:val="19"/>
        </w:rPr>
        <w:t>• Deciding on the timing and size of trades to maximize trading returns.</w:t>
      </w:r>
    </w:p>
    <w:p w14:paraId="1FE582D5">
      <w:pPr>
        <w:jc w:val="left"/>
      </w:pPr>
      <w:r>
        <w:rPr>
          <w:rFonts w:ascii="Times New Roman" w:hAnsi="Times New Roman" w:eastAsia="Times New Roman"/>
          <w:sz w:val="19"/>
        </w:rPr>
        <w:t>• Placing buy or sell orders in the market.</w:t>
      </w:r>
    </w:p>
    <w:p w14:paraId="1FE582D5">
      <w:pPr>
        <w:jc w:val="left"/>
      </w:pPr>
      <w:r>
        <w:rPr>
          <w:rFonts w:ascii="Times New Roman" w:hAnsi="Times New Roman" w:eastAsia="Times New Roman"/>
          <w:sz w:val="19"/>
        </w:rPr>
        <w:t>• Adjusting portfolio allocations in response to market changes and new information.</w:t>
      </w:r>
    </w:p>
    <w:p w14:paraId="1FE582D5">
      <w:pPr>
        <w:jc w:val="left"/>
      </w:pPr>
      <w:r>
        <w:rPr>
          <w:rFonts w:ascii="Times New Roman" w:hAnsi="Times New Roman" w:eastAsia="Times New Roman"/>
          <w:sz w:val="19"/>
        </w:rPr>
        <w:t>Trader Agents must balance potential returns against associated risks, making timely decisions in a dynamic market environment. Their actions directly impact the firm's performance, necessitating a high level of precision and strategic thinking.</w:t>
      </w:r>
    </w:p>
    <w:p w14:paraId="1FE582D5">
      <w:pPr>
        <w:jc w:val="left"/>
      </w:pPr>
      <w:r>
        <w:rPr>
          <w:rFonts w:ascii="Times New Roman" w:hAnsi="Times New Roman" w:eastAsia="Times New Roman"/>
          <w:b/>
          <w:sz w:val="21"/>
        </w:rPr>
        <w:t>Risk Management Team</w:t>
      </w:r>
    </w:p>
    <w:p w14:paraId="1FE582D5">
      <w:pPr>
        <w:jc w:val="left"/>
      </w:pPr>
      <w:r>
        <w:rPr>
          <w:rFonts w:ascii="Times New Roman" w:hAnsi="Times New Roman" w:eastAsia="Times New Roman"/>
          <w:sz w:val="19"/>
        </w:rPr>
        <w:t>The Risk Management Team (Figure fig:risk_mgmt) monitors and controls the firm's exposure to various market risks. These agents continuously evaluate the portfolio's risk profile, ensuring that trading activities remain within predefined risk parameters and comply with regulatory requirements.</w:t>
      </w:r>
    </w:p>
    <w:p w14:paraId="1FE582D5">
      <w:pPr>
        <w:jc w:val="left"/>
      </w:pPr>
      <w:r>
        <w:rPr>
          <w:rFonts w:ascii="Times New Roman" w:hAnsi="Times New Roman" w:eastAsia="Times New Roman"/>
          <w:sz w:val="19"/>
        </w:rPr>
        <w:t>The responsibilities of Risk Management Team include:</w:t>
      </w:r>
    </w:p>
    <w:p w14:paraId="1FE582D5">
      <w:pPr>
        <w:jc w:val="left"/>
      </w:pPr>
      <w:r>
        <w:rPr>
          <w:rFonts w:ascii="Times New Roman" w:hAnsi="Times New Roman" w:eastAsia="Times New Roman"/>
          <w:sz w:val="19"/>
        </w:rPr>
        <w:t>• Assessing factors such as market volatility, liquidity, and counterparty risks.</w:t>
      </w:r>
    </w:p>
    <w:p w14:paraId="1FE582D5">
      <w:pPr>
        <w:jc w:val="left"/>
      </w:pPr>
      <w:r>
        <w:rPr>
          <w:rFonts w:ascii="Times New Roman" w:hAnsi="Times New Roman" w:eastAsia="Times New Roman"/>
          <w:sz w:val="19"/>
        </w:rPr>
        <w:t>• Implementing risk mitigation strategies, such as setting stop-loss orders or diversifying holdings.</w:t>
      </w:r>
    </w:p>
    <w:p w14:paraId="1FE582D5">
      <w:pPr>
        <w:jc w:val="left"/>
      </w:pPr>
      <w:r>
        <w:rPr>
          <w:rFonts w:ascii="Times New Roman" w:hAnsi="Times New Roman" w:eastAsia="Times New Roman"/>
          <w:sz w:val="19"/>
        </w:rPr>
        <w:t>• Providing feedback to Trader Agents on risk exposures and suggesting adjustments to trading strategies.</w:t>
      </w:r>
    </w:p>
    <w:p w14:paraId="1FE582D5">
      <w:pPr>
        <w:jc w:val="left"/>
      </w:pPr>
      <w:r>
        <w:rPr>
          <w:rFonts w:ascii="Times New Roman" w:hAnsi="Times New Roman" w:eastAsia="Times New Roman"/>
          <w:sz w:val="19"/>
        </w:rPr>
        <w:t>• Ensuring that the overall portfolio aligns with the firm's risk tolerance and investment objectives.</w:t>
      </w:r>
    </w:p>
    <w:p w14:paraId="1FE582D5">
      <w:pPr>
        <w:keepNext/>
        <w:jc w:val="center"/>
      </w:pPr>
      <w:r>
        <w:drawing>
          <wp:inline xmlns:a="http://schemas.openxmlformats.org/drawingml/2006/main" xmlns:pic="http://schemas.openxmlformats.org/drawingml/2006/picture">
            <wp:extent cx="4752000" cy="1413570"/>
            <wp:docPr id="26" name="Picture 26"/>
            <wp:cNvGraphicFramePr>
              <a:graphicFrameLocks noChangeAspect="1"/>
            </wp:cNvGraphicFramePr>
            <a:graphic>
              <a:graphicData uri="http://schemas.openxmlformats.org/drawingml/2006/picture">
                <pic:pic>
                  <pic:nvPicPr>
                    <pic:cNvPr id="0" name="figures_risk_mgmt_pdf.png"/>
                    <pic:cNvPicPr/>
                  </pic:nvPicPr>
                  <pic:blipFill>
                    <a:blip r:embed="rId39"/>
                    <a:stretch>
                      <a:fillRect/>
                    </a:stretch>
                  </pic:blipFill>
                  <pic:spPr>
                    <a:xfrm>
                      <a:off x="0" y="0"/>
                      <a:ext cx="4752000" cy="1413570"/>
                    </a:xfrm>
                    <a:prstGeom prst="rect"/>
                  </pic:spPr>
                </pic:pic>
              </a:graphicData>
            </a:graphic>
          </wp:inline>
        </w:drawing>
      </w:r>
    </w:p>
    <w:p w14:paraId="1FE582D5">
      <w:pPr>
        <w:keepLines/>
        <w:jc w:val="left"/>
      </w:pPr>
      <w:r>
        <w:rPr>
          <w:rFonts w:ascii="Times New Roman" w:hAnsi="Times New Roman" w:eastAsia="Times New Roman"/>
          <w:sz w:val="19"/>
        </w:rPr>
        <w:t>TradingAgents Risk Management Team and Fund Manager Approval Workflow</w:t>
      </w:r>
    </w:p>
    <w:p w14:paraId="1FE582D5">
      <w:pPr>
        <w:jc w:val="left"/>
      </w:pPr>
      <w:r>
        <w:rPr>
          <w:rFonts w:ascii="Times New Roman" w:hAnsi="Times New Roman" w:eastAsia="Times New Roman"/>
          <w:sz w:val="19"/>
        </w:rPr>
        <w:t>By offering oversight and guidance, the Risk Management Team helps maintain the firm's financial stability and protect against adverse market events. They play a crucial role in safeguarding assets and ensuring sustainable long-term performance.</w:t>
      </w:r>
    </w:p>
    <w:p w14:paraId="1FE582D5">
      <w:pPr>
        <w:jc w:val="left"/>
      </w:pPr>
      <w:r>
        <w:rPr>
          <w:rFonts w:ascii="Times New Roman" w:hAnsi="Times New Roman" w:eastAsia="Times New Roman"/>
          <w:sz w:val="19"/>
        </w:rPr>
        <w:t>All agents in TradingAgents follow the ReAct prompting framework [yao2023reactsynergizingreasoningacting], which synergizes reasoning and acting. The environment state is shared and monitored by the agents, enabling them to take context-appropriate actions such as conducting research, executing trades, engaging in debates, or managing risks. This design ensures a collaborative, dynamic decision-making process reflective of real-world trading systems.</w:t>
      </w:r>
    </w:p>
    <w:p w14:paraId="1FE582D5">
      <w:pPr>
        <w:jc w:val="left"/>
      </w:pPr>
      <w:r>
        <w:rPr>
          <w:rFonts w:ascii="Times New Roman" w:hAnsi="Times New Roman" w:eastAsia="Times New Roman"/>
          <w:b/>
          <w:sz w:val="21"/>
        </w:rPr>
        <w:t>TradingAgents: Agent Workflow</w:t>
      </w:r>
    </w:p>
    <w:p w14:paraId="1FE582D5">
      <w:pPr>
        <w:jc w:val="left"/>
      </w:pPr>
      <w:r>
        <w:rPr>
          <w:rFonts w:ascii="Times New Roman" w:hAnsi="Times New Roman" w:eastAsia="Times New Roman"/>
          <w:b/>
          <w:sz w:val="21"/>
        </w:rPr>
        <w:t>Communication Protocol</w:t>
      </w:r>
    </w:p>
    <w:p w14:paraId="1FE582D5">
      <w:pPr>
        <w:jc w:val="left"/>
      </w:pPr>
      <w:r>
        <w:rPr>
          <w:rFonts w:ascii="Times New Roman" w:hAnsi="Times New Roman" w:eastAsia="Times New Roman"/>
          <w:sz w:val="19"/>
        </w:rPr>
        <w:t>Most existing LLM-based agent frameworks use natural language as the primary communication interface, typically through structured message histories or collections of agent-generated messages [fatouros2024largelanguagemodelsbeat, li2023tradinggpt, yang2024finrobotopensourceaiagent, yang2023autogptonlinedecisionmaking]. However, relying solely on natural language often proves insufficient for solving complex, long-term tasks that require extensive planning horizons. In such cases, pure natural language communication can resemble a game of telephone—over multiple iterations, initial information may be forgotten or distorted due to context length limitations and an overload of text that obscures critical earlier details [hong2024metagptmetaprogrammingmultiagent]. To address this limitation, we draw inspiration from frameworks like MetaGPT, which adopt a structured approach to communication. Our model introduces a structured communication protocol to govern agent interactions. By clearly defining each agent's state, we ensure that each role only extracts or queries the necessary information, processes it, and returns a completed report. This streamlined approach reduces unnecessary steps, lowers the risk of message corruption, and keeps interactions focused and efficient, even in complex, long-horizon tasks.</w:t>
      </w:r>
    </w:p>
    <w:p w14:paraId="1FE582D5">
      <w:pPr>
        <w:jc w:val="left"/>
      </w:pPr>
      <w:r>
        <w:rPr>
          <w:rFonts w:ascii="Times New Roman" w:hAnsi="Times New Roman" w:eastAsia="Times New Roman"/>
          <w:b/>
          <w:sz w:val="21"/>
        </w:rPr>
        <w:t>Types of Agent Interactions</w:t>
      </w:r>
    </w:p>
    <w:p w14:paraId="1FE582D5">
      <w:pPr>
        <w:jc w:val="left"/>
      </w:pPr>
      <w:r>
        <w:rPr>
          <w:rFonts w:ascii="Times New Roman" w:hAnsi="Times New Roman" w:eastAsia="Times New Roman"/>
          <w:sz w:val="19"/>
        </w:rPr>
        <w:t>In contrast to previous multi-agent trading frameworks, which rely heavily on natural language dialogue, TradingAgents agents communicate primarily through structured documents and diagrams. These documents encapsulate the agents' insights in concise, well-organized reports that preserve essential content while avoiding irrelevant information. By utilizing structured reports, agents can query necessary details directly from the global state, eliminating the need for lengthy conversations that risk diluting information, extending the message state indefinitely, and causing data loss. The types of documents and the information they contain are detailed below:</w:t>
      </w:r>
    </w:p>
    <w:p w14:paraId="1FE582D5">
      <w:pPr>
        <w:jc w:val="left"/>
      </w:pPr>
      <w:r>
        <w:rPr>
          <w:rFonts w:ascii="Times New Roman" w:hAnsi="Times New Roman" w:eastAsia="Times New Roman"/>
          <w:sz w:val="19"/>
        </w:rPr>
        <w:t>I. Analyst Team: Fundamental, sentiment, news, and technical analysts compile their research and findings into concise analysis reports specific to their areas of expertise. These reports include key metrics, insights, and recommendations based on their specialized analyses.</w:t>
      </w:r>
    </w:p>
    <w:p w14:paraId="1FE582D5">
      <w:pPr>
        <w:jc w:val="left"/>
      </w:pPr>
      <w:r>
        <w:rPr>
          <w:rFonts w:ascii="Times New Roman" w:hAnsi="Times New Roman" w:eastAsia="Times New Roman"/>
          <w:sz w:val="19"/>
        </w:rPr>
        <w:t>II. Traders: Traders review and analyze the reports from the analysts, carefully deliberating to produce clear decision signals. They accompany these decisions with detailed reports explaining their rationale and supporting evidence, which are later utilized by the risk management team.</w:t>
      </w:r>
    </w:p>
    <w:p w14:paraId="1FE582D5">
      <w:pPr>
        <w:jc w:val="left"/>
      </w:pPr>
      <w:r>
        <w:rPr>
          <w:rFonts w:ascii="Times New Roman" w:hAnsi="Times New Roman" w:eastAsia="Times New Roman"/>
          <w:sz w:val="19"/>
        </w:rPr>
        <w:t>Agents engage in natural language dialogue exclusively during agent-to-agent conversations and debates. These concise, focused discussions have been shown to promote deeper reasoning and integrate diverse perspectives, enabling more balanced decisions in complex, long-horizon scenarios—a method particularly relevant to the intricate environment of trading [du2023improvingfactualityreasoninglanguage]. This approach seamlessly integrates with our structured framework, as the conversation state is recorded as a structured entry within the overall agent state. The types of communication in these scenarios are detailed below:</w:t>
      </w:r>
    </w:p>
    <w:p w14:paraId="1FE582D5">
      <w:pPr>
        <w:jc w:val="left"/>
      </w:pPr>
      <w:r>
        <w:rPr>
          <w:rFonts w:ascii="Times New Roman" w:hAnsi="Times New Roman" w:eastAsia="Times New Roman"/>
          <w:sz w:val="19"/>
        </w:rPr>
        <w:t>III. Researcher Team: Each researcher agent queries the global agent state for analyst reports and carefully forms their opinion. Two researchers represent opposing perspectives: one bullish and one bearish. They engage in natural language dialogue for n rounds, as determined by the debate facilitator agent. At the conclusion, the facilitator reviews the debate history, selects the prevailing perspective, and records it as a structured entry in the communication protocol.</w:t>
      </w:r>
    </w:p>
    <w:p w14:paraId="1FE582D5">
      <w:pPr>
        <w:jc w:val="left"/>
      </w:pPr>
      <w:r>
        <w:rPr>
          <w:rFonts w:ascii="Times New Roman" w:hAnsi="Times New Roman" w:eastAsia="Times New Roman"/>
          <w:sz w:val="19"/>
        </w:rPr>
        <w:t>IV. Risk Management Team: The risk management team, similar to the researcher team, queries the trader's decision and accompanying report. They then deliberate from three perspectives—risk-seeking, neutral, and risk-conservative—to adjust the trading plan within risk constraints. They engage in n rounds of natural language discussion, guided by a facilitator agent.</w:t>
      </w:r>
    </w:p>
    <w:p w14:paraId="1FE582D5">
      <w:pPr>
        <w:jc w:val="left"/>
      </w:pPr>
      <w:r>
        <w:rPr>
          <w:rFonts w:ascii="Times New Roman" w:hAnsi="Times New Roman" w:eastAsia="Times New Roman"/>
          <w:sz w:val="19"/>
        </w:rPr>
        <w:t>V. Fund manager: The fund manager reviews the discussion from the risk management team, determines the appropriate risk adjustments, and updates the trader's decision and report states within the communication protocol.</w:t>
      </w:r>
    </w:p>
    <w:p w14:paraId="1FE582D5">
      <w:pPr>
        <w:jc w:val="left"/>
      </w:pPr>
      <w:r>
        <w:rPr>
          <w:rFonts w:ascii="Times New Roman" w:hAnsi="Times New Roman" w:eastAsia="Times New Roman"/>
          <w:b/>
          <w:sz w:val="21"/>
        </w:rPr>
        <w:t>Backbone LLMs</w:t>
      </w:r>
    </w:p>
    <w:p w14:paraId="1FE582D5">
      <w:pPr>
        <w:jc w:val="left"/>
      </w:pPr>
      <w:r>
        <w:rPr>
          <w:rFonts w:ascii="Times New Roman" w:hAnsi="Times New Roman" w:eastAsia="Times New Roman"/>
          <w:sz w:val="19"/>
        </w:rPr>
        <w:t>To meet the diverse complexity and speed demands of tasks in our framework, we strategically select Large Language Models (LLMs) based on their strengths. Quick-thinking models, such as gpt-4o-mini and gpt-4o, efficiently handle fast, low-depth tasks like summarization, data retrieval, and converting tabular data to text [openai2024gpt4technicalreport]. In contrast, deep-thinking models like o1-preview excel in reasoning-intensive tasks such as decision-making, evidence-based report writing, and data analysis. These models leverage their architectures for multi-round reasoning, producing logically sound, in-depth insights [zhong2024evaluationopenaio1opportunities, wang2024planningabilitiesopenaiso1, openai2024o1]. Additionally, we prioritize models with proven reliability and scalability to ensure optimal performance across various market conditions. We also employ auxiliary expert models for specialized tasks like sentiment analysis.</w:t>
      </w:r>
    </w:p>
    <w:p w14:paraId="1FE582D5">
      <w:pPr>
        <w:jc w:val="left"/>
      </w:pPr>
      <w:r>
        <w:rPr>
          <w:rFonts w:ascii="Times New Roman" w:hAnsi="Times New Roman" w:eastAsia="Times New Roman"/>
          <w:sz w:val="19"/>
        </w:rPr>
        <w:t>Specifically, all analyst nodes rely on deep-thinking models to ensure robust analysis, while quick-thinking models handle data retrieval from APIs and tools for efficiency. Researchers and traders use deep-thinking models to generate valuable insights and support well-informed decisions. By aligning the choice of LLMs with the specific requirements of each task, our framework achieves a balance between efficiency and depth of reasoning, which is crucial for effective trading strategies.</w:t>
      </w:r>
    </w:p>
    <w:p w14:paraId="1FE582D5">
      <w:pPr>
        <w:jc w:val="left"/>
      </w:pPr>
      <w:r>
        <w:rPr>
          <w:rFonts w:ascii="Times New Roman" w:hAnsi="Times New Roman" w:eastAsia="Times New Roman"/>
          <w:sz w:val="19"/>
        </w:rPr>
        <w:t>This implementation strategy ensures that TradingAgents can be deployed without requiring a GPU, relying only on API credits. It also introduces seamless exchangeability of backbone models, enabling researchers to effortlessly replace the model with any locally hosted or API-accessible alternatives in the future. This adaptability supports the integration of improved reasoning models or finance-tuned models customized for specific tasks. As a result, TradingAgents is highly scalable and future-proof, offering flexibility to accommodate any backbone model for any of its agents.</w:t>
      </w:r>
    </w:p>
    <w:p w14:paraId="1FE582D5">
      <w:pPr>
        <w:jc w:val="left"/>
      </w:pPr>
      <w:r>
        <w:rPr>
          <w:rFonts w:ascii="Times New Roman" w:hAnsi="Times New Roman" w:eastAsia="Times New Roman"/>
          <w:b/>
          <w:sz w:val="21"/>
        </w:rPr>
        <w:t>Experiments</w:t>
      </w:r>
    </w:p>
    <w:p w14:paraId="1FE582D5">
      <w:pPr>
        <w:jc w:val="left"/>
      </w:pPr>
      <w:r>
        <w:rPr>
          <w:rFonts w:ascii="Times New Roman" w:hAnsi="Times New Roman" w:eastAsia="Times New Roman"/>
          <w:sz w:val="19"/>
        </w:rPr>
        <w:t>arr_greenrgb0.0, 0.8, 0.0 arr_redrgb1.0, 0.0, 0.0</w:t>
      </w:r>
    </w:p>
    <w:p w14:paraId="1FE582D5">
      <w:pPr>
        <w:jc w:val="left"/>
      </w:pPr>
      <w:r>
        <w:rPr>
          <w:rFonts w:ascii="Times New Roman" w:hAnsi="Times New Roman" w:eastAsia="Times New Roman"/>
          <w:b/>
          <w:sz w:val="21"/>
        </w:rPr>
        <w:t>Simulation Setup</w:t>
      </w:r>
    </w:p>
    <w:p w14:paraId="1FE582D5">
      <w:pPr>
        <w:jc w:val="left"/>
      </w:pPr>
      <w:r>
        <w:rPr>
          <w:rFonts w:ascii="Times New Roman" w:hAnsi="Times New Roman" w:eastAsia="Times New Roman"/>
          <w:sz w:val="19"/>
        </w:rPr>
        <w:t>We evaluate our TradingAgents framework using a comprehensive backtesting simulation from January 1st to March 29th, 2024, across major technology stocks including Apple, Nvidia, Microsoft, Meta, and Google. TradingAgents facilitates seamless plug-and-play strategies during the simulation, enabling straightforward comparisons with any baseline. Agents make decisions based solely on data available up to each trading day, ensuring no future data is used (eliminating look-ahead bias). Based on their analysis, TradingAgents generates trading signals to buy, sell, or hold assets, which are then executed. Afterward, analysis metrics are calculated before proceeding to the next day's data.</w:t>
      </w:r>
    </w:p>
    <w:p w14:paraId="1FE582D5">
      <w:pPr>
        <w:jc w:val="left"/>
      </w:pPr>
      <w:r>
        <w:rPr>
          <w:rFonts w:ascii="Times New Roman" w:hAnsi="Times New Roman" w:eastAsia="Times New Roman"/>
          <w:sz w:val="19"/>
        </w:rPr>
        <w:t>We benchmark against five established strategies: Buy and Hold, MACD, KDJ+RSI, ZMR, and SMA (baseline descriptions in Appendix appendix:baselines). Performance is evaluated using four key metrics: Cumulative Return (CR), Annualized Return (AR), Sharpe Ratio (SR), and Maximum Drawdown (MDD) (formulations in Appendix appendix:eval_metrics).</w:t>
      </w:r>
    </w:p>
    <w:p w14:paraId="1FE582D5">
      <w:pPr>
        <w:jc w:val="left"/>
      </w:pPr>
      <w:r>
        <w:rPr>
          <w:rFonts w:ascii="Times New Roman" w:hAnsi="Times New Roman" w:eastAsia="Times New Roman"/>
          <w:b/>
          <w:sz w:val="21"/>
        </w:rPr>
        <w:t>Back Trading</w:t>
      </w:r>
    </w:p>
    <w:p w14:paraId="1FE582D5">
      <w:pPr>
        <w:jc w:val="left"/>
      </w:pPr>
      <w:r>
        <w:rPr>
          <w:rFonts w:ascii="Times New Roman" w:hAnsi="Times New Roman" w:eastAsia="Times New Roman"/>
          <w:sz w:val="19"/>
        </w:rPr>
        <w:t>To simulate a realistic trading environment, we utilize a multi-asset and multi-modal financial dataset comprising of various stocks such as Apple, Nvidia, Microsoft, Meta, Google, and more. Our multi-modal dataset integrates historical stock prices, news articles, social media sentiment, insider transactions, financial statements, and 60 technical indicators per asset. The dataset includes:</w:t>
      </w:r>
    </w:p>
    <w:p w14:paraId="1FE582D5">
      <w:pPr>
        <w:jc w:val="left"/>
      </w:pPr>
      <w:r>
        <w:rPr>
          <w:rFonts w:ascii="Times New Roman" w:hAnsi="Times New Roman" w:eastAsia="Times New Roman"/>
          <w:sz w:val="19"/>
        </w:rPr>
        <w:t>Historical Stock Prices: Open, high, low, close, volume, and adjusted close prices from January 1st, 2024, to March 29th, 2024.</w:t>
      </w:r>
    </w:p>
    <w:p w14:paraId="1FE582D5">
      <w:pPr>
        <w:jc w:val="left"/>
      </w:pPr>
      <w:r>
        <w:rPr>
          <w:rFonts w:ascii="Times New Roman" w:hAnsi="Times New Roman" w:eastAsia="Times New Roman"/>
          <w:sz w:val="19"/>
        </w:rPr>
        <w:t>News Articles: Daily news updates are gathered from diverse sources such as Bloomberg, Yahoo, EODHD, FinnHub, and Reddit, covering specific company developments, global events, macroeconomic trends, and government updates.</w:t>
      </w:r>
    </w:p>
    <w:p w14:paraId="1FE582D5">
      <w:pPr>
        <w:jc w:val="left"/>
      </w:pPr>
      <w:r>
        <w:rPr>
          <w:rFonts w:ascii="Times New Roman" w:hAnsi="Times New Roman" w:eastAsia="Times New Roman"/>
          <w:sz w:val="19"/>
        </w:rPr>
        <w:t>Social Media Posts and Sentiment: Posts from Reddit, X/Twitter, and other platforms along with sentiment scores of posts calculated by auxiliary language models.</w:t>
      </w:r>
    </w:p>
    <w:p w14:paraId="1FE582D5">
      <w:pPr>
        <w:jc w:val="left"/>
      </w:pPr>
      <w:r>
        <w:rPr>
          <w:rFonts w:ascii="Times New Roman" w:hAnsi="Times New Roman" w:eastAsia="Times New Roman"/>
          <w:sz w:val="19"/>
        </w:rPr>
        <w:t>Insider Sentiments and Transactions: Sentiment derived from public information, including transactions from SEDI and relevant company filings.</w:t>
      </w:r>
    </w:p>
    <w:p w14:paraId="1FE582D5">
      <w:pPr>
        <w:jc w:val="left"/>
      </w:pPr>
      <w:r>
        <w:rPr>
          <w:rFonts w:ascii="Times New Roman" w:hAnsi="Times New Roman" w:eastAsia="Times New Roman"/>
          <w:sz w:val="19"/>
        </w:rPr>
        <w:t>Financial Statements and Earnings Reports: Quarterly and annual reports filed by companies.</w:t>
      </w:r>
    </w:p>
    <w:p w14:paraId="1FE582D5">
      <w:pPr>
        <w:jc w:val="left"/>
      </w:pPr>
      <w:r>
        <w:rPr>
          <w:rFonts w:ascii="Times New Roman" w:hAnsi="Times New Roman" w:eastAsia="Times New Roman"/>
          <w:sz w:val="19"/>
        </w:rPr>
        <w:t>Company Profiles and Financial History: Descriptions of company profiles, target industries, and financial history reported by third parties.</w:t>
      </w:r>
    </w:p>
    <w:p w14:paraId="1FE582D5">
      <w:pPr>
        <w:jc w:val="left"/>
      </w:pPr>
      <w:r>
        <w:rPr>
          <w:rFonts w:ascii="Times New Roman" w:hAnsi="Times New Roman" w:eastAsia="Times New Roman"/>
          <w:sz w:val="19"/>
        </w:rPr>
        <w:t>Technical Indicators: Sixty standard technical analysis indicators calculated for each asset, including MACD, RSI, Bollinger Bands, etc.</w:t>
      </w:r>
    </w:p>
    <w:p w14:paraId="1FE582D5">
      <w:pPr>
        <w:keepNext/>
        <w:jc w:val="center"/>
      </w:pPr>
      <w:r>
        <w:drawing>
          <wp:inline xmlns:a="http://schemas.openxmlformats.org/drawingml/2006/main" xmlns:pic="http://schemas.openxmlformats.org/drawingml/2006/picture">
            <wp:extent cx="4752000" cy="2420594"/>
            <wp:docPr id="27" name="Picture 27"/>
            <wp:cNvGraphicFramePr>
              <a:graphicFrameLocks noChangeAspect="1"/>
            </wp:cNvGraphicFramePr>
            <a:graphic>
              <a:graphicData uri="http://schemas.openxmlformats.org/drawingml/2006/picture">
                <pic:pic>
                  <pic:nvPicPr>
                    <pic:cNvPr id="0" name="figures_AAPL_details_pdf.png"/>
                    <pic:cNvPicPr/>
                  </pic:nvPicPr>
                  <pic:blipFill>
                    <a:blip r:embed="rId40"/>
                    <a:stretch>
                      <a:fillRect/>
                    </a:stretch>
                  </pic:blipFill>
                  <pic:spPr>
                    <a:xfrm>
                      <a:off x="0" y="0"/>
                      <a:ext cx="4752000" cy="2420594"/>
                    </a:xfrm>
                    <a:prstGeom prst="rect"/>
                  </pic:spPr>
                </pic:pic>
              </a:graphicData>
            </a:graphic>
          </wp:inline>
        </w:drawing>
      </w:r>
    </w:p>
    <w:p w14:paraId="1FE582D5">
      <w:pPr>
        <w:keepLines/>
        <w:jc w:val="left"/>
      </w:pPr>
      <w:r>
        <w:rPr>
          <w:rFonts w:ascii="Times New Roman" w:hAnsi="Times New Roman" w:eastAsia="Times New Roman"/>
          <w:sz w:val="19"/>
        </w:rPr>
        <w:t>TradingAgents Detailed Transaction History for AAPL. Green / Red Arrows indicate Long / Short Positions respectively, showing the model's trading decisions over time.</w:t>
      </w:r>
    </w:p>
    <w:p w14:paraId="1FE582D5">
      <w:pPr>
        <w:jc w:val="left"/>
      </w:pPr>
      <w:r>
        <w:rPr>
          <w:rFonts w:ascii="Times New Roman" w:hAnsi="Times New Roman" w:eastAsia="Times New Roman"/>
          <w:b/>
          <w:sz w:val="21"/>
        </w:rPr>
        <w:t>Results and Analysis</w:t>
      </w:r>
    </w:p>
    <w:p w14:paraId="1FE582D5">
      <w:pPr>
        <w:jc w:val="left"/>
      </w:pPr>
      <w:r>
        <w:rPr>
          <w:rFonts w:ascii="Times New Roman" w:hAnsi="Times New Roman" w:eastAsia="Times New Roman"/>
          <w:sz w:val="19"/>
        </w:rPr>
        <w:t>In this section, we present the experimental results and analyze the performance of TradingAgents in comparison to the baseline models.</w:t>
      </w:r>
    </w:p>
    <w:p w14:paraId="1FE582D5">
      <w:pPr>
        <w:jc w:val="left"/>
      </w:pPr>
      <w:r>
        <w:rPr>
          <w:rFonts w:ascii="Times New Roman" w:hAnsi="Times New Roman" w:eastAsia="Times New Roman"/>
          <w:sz w:val="19"/>
        </w:rPr>
        <w:t>FBestRGB4,130,53</w:t>
      </w:r>
    </w:p>
    <w:p w14:paraId="1FE582D5">
      <w:pPr>
        <w:jc w:val="left"/>
      </w:pPr>
      <w:r>
        <w:rPr>
          <w:rFonts w:ascii="Times New Roman" w:hAnsi="Times New Roman" w:eastAsia="Times New Roman"/>
          <w:b/>
          <w:sz w:val="21"/>
        </w:rPr>
        <w:t>Table: Performance comparison across all methods using four evaluation metrics. Results highlighted in green represent the best-performing statistic for each model. The improvement row illustrates TradingAgents's performance gains over the top-performing baselines.</w:t>
      </w:r>
    </w:p>
    <w:p w14:paraId="1FE582D5">
      <w:pPr>
        <w:jc w:val="left"/>
      </w:pPr>
      <w:r>
        <w:rPr>
          <w:rFonts w:ascii="Times New Roman" w:hAnsi="Times New Roman" w:eastAsia="Consolas"/>
          <w:sz w:val="16"/>
        </w:rPr>
        <w:t xml:space="preserve"> |  | CR%↑ | ARR%↑ | SR↑ | MDD%↓ |  | CR%↑ | ARR%↑ | SR↑ | MDD%↓ |  | CR%↑ | ARR%↑ | SR↑ | MDD%↓</w:t>
      </w:r>
    </w:p>
    <w:p w14:paraId="1FE582D5">
      <w:pPr>
        <w:jc w:val="left"/>
      </w:pPr>
      <w:r>
        <w:rPr>
          <w:rFonts w:ascii="Times New Roman" w:hAnsi="Times New Roman" w:eastAsia="Consolas"/>
          <w:sz w:val="16"/>
        </w:rPr>
        <w:t xml:space="preserve"> | B&amp;H | -5.23 | -5.09 | -1.29 | 11.90 |  | 7.78 | 8.09 | 1.35 | 13.04 |  | 17.1 | 17.6 | 3.53 | 3.80</w:t>
      </w:r>
    </w:p>
    <w:p w14:paraId="1FE582D5">
      <w:pPr>
        <w:jc w:val="left"/>
      </w:pPr>
      <w:r>
        <w:rPr>
          <w:rFonts w:ascii="Times New Roman" w:hAnsi="Times New Roman" w:eastAsia="Consolas"/>
          <w:sz w:val="16"/>
        </w:rPr>
        <w:t xml:space="preserve"> | MACD | -1.49 | -1.48 | -0.81 | 4.53 |  | 6.20 | 6.26 | 2.31 | 1.22 |  | - | - | - | -</w:t>
      </w:r>
    </w:p>
    <w:p w14:paraId="1FE582D5">
      <w:pPr>
        <w:jc w:val="left"/>
      </w:pPr>
      <w:r>
        <w:rPr>
          <w:rFonts w:ascii="Times New Roman" w:hAnsi="Times New Roman" w:eastAsia="Consolas"/>
          <w:sz w:val="16"/>
        </w:rPr>
        <w:t xml:space="preserve"> | KDJ&amp;RSI | 2.05 | 2.07 | 1.64 | 1.09 |  | 0.4 | 0.4 | 0.02 | 1.58 |  | -0.77 | -0.76 | -2.25 | 1.08</w:t>
      </w:r>
    </w:p>
    <w:p w14:paraId="1FE582D5">
      <w:pPr>
        <w:jc w:val="left"/>
      </w:pPr>
      <w:r>
        <w:rPr>
          <w:rFonts w:ascii="Times New Roman" w:hAnsi="Times New Roman" w:eastAsia="Consolas"/>
          <w:sz w:val="16"/>
        </w:rPr>
        <w:t xml:space="preserve"> | ZMR | 0.57 | 0.57 | 0.17 | 0.86 |  | -0.58 | 0.58 | 2.12 | 2.34 |  | -0.77 | -0.77 | -2.45 | 0.82</w:t>
      </w:r>
    </w:p>
    <w:p w14:paraId="1FE582D5">
      <w:pPr>
        <w:jc w:val="left"/>
      </w:pPr>
      <w:r>
        <w:rPr>
          <w:rFonts w:ascii="Times New Roman" w:hAnsi="Times New Roman" w:eastAsia="Consolas"/>
          <w:sz w:val="16"/>
        </w:rPr>
        <w:t xml:space="preserve"> | SMA | -3.2 | -2.97 | -1.72 | 3.67 |  | 6.23 | 6.43 | 2.12 | 2.34 |  | 11.01 | 11.6 | 2.22 | 3.97</w:t>
      </w:r>
    </w:p>
    <w:p w14:paraId="1FE582D5">
      <w:pPr>
        <w:jc w:val="left"/>
      </w:pPr>
      <w:r>
        <w:rPr>
          <w:rFonts w:ascii="Times New Roman" w:hAnsi="Times New Roman" w:eastAsia="Consolas"/>
          <w:sz w:val="16"/>
        </w:rPr>
        <w:t xml:space="preserve"> | TradingAgents | 26.62 | 30.5 | 8.21 | 0.91 |  | 24.36 | 27.58 | 6.39 | 1.69 |  | 23.21 | 24.90 | 5.60 | 2.11</w:t>
      </w:r>
    </w:p>
    <w:p w14:paraId="1FE582D5">
      <w:pPr>
        <w:jc w:val="left"/>
      </w:pPr>
      <w:r>
        <w:rPr>
          <w:rFonts w:ascii="Times New Roman" w:hAnsi="Times New Roman" w:eastAsia="Consolas"/>
          <w:sz w:val="16"/>
        </w:rPr>
        <w:t xml:space="preserve"> | 24.57 | 28.43 | 6.57 | - |  | 16.58 | 19.49 | 4.26 | - |  | 6.10 | 7.30 | 2.07 | -</w:t>
      </w:r>
    </w:p>
    <w:p w14:paraId="1FE582D5">
      <w:pPr>
        <w:jc w:val="left"/>
      </w:pPr>
      <w:r>
        <w:rPr>
          <w:rFonts w:ascii="Times New Roman" w:hAnsi="Times New Roman" w:eastAsia="Times New Roman"/>
          <w:b/>
          <w:sz w:val="21"/>
        </w:rPr>
        <w:t>Performance Comparison</w:t>
      </w:r>
    </w:p>
    <w:p w14:paraId="1FE582D5">
      <w:pPr>
        <w:jc w:val="left"/>
      </w:pPr>
      <w:r>
        <w:rPr>
          <w:rFonts w:ascii="Times New Roman" w:hAnsi="Times New Roman" w:eastAsia="Times New Roman"/>
          <w:b/>
          <w:sz w:val="21"/>
        </w:rPr>
        <w:t>Cumulative and Annual Returns</w:t>
      </w:r>
    </w:p>
    <w:p w14:paraId="1FE582D5">
      <w:pPr>
        <w:jc w:val="left"/>
      </w:pPr>
      <w:r>
        <w:rPr>
          <w:rFonts w:ascii="Times New Roman" w:hAnsi="Times New Roman" w:eastAsia="Times New Roman"/>
          <w:b/>
          <w:sz w:val="19"/>
        </w:rPr>
        <w:t>Table tab:performance and Figures fig:aapl-transactions, fig:aapl-cumulative-returns, fig:amzn-performance-details, fig:amzn-performance-comparison, fig:googl-performance-details, and fig:googl-performance-comparison demonstrate that our method outperforms existing rule-based trading baselines, particularly in profitability, as measured by returns. TradingAgents achieves at least a 23.21% cumulative return and a 24.90% annual return on the three sampled stocks, surpassing the best-performing baselines by a margin of 6.1%. Notably, on AAPL stock—a particularly challenging case due to market volatility during the testing period—traditional methods struggled, as their patterns failed to generalize to this situation. In contrast, TradingAgents excelled under these adverse conditions, achieving returns exceeding 26% within months.</w:t>
      </w:r>
    </w:p>
    <w:p w14:paraId="1FE582D5">
      <w:pPr>
        <w:keepNext/>
        <w:jc w:val="center"/>
      </w:pPr>
      <w:r>
        <w:drawing>
          <wp:inline xmlns:a="http://schemas.openxmlformats.org/drawingml/2006/main" xmlns:pic="http://schemas.openxmlformats.org/drawingml/2006/picture">
            <wp:extent cx="4752000" cy="3168000"/>
            <wp:docPr id="28" name="Picture 28"/>
            <wp:cNvGraphicFramePr>
              <a:graphicFrameLocks noChangeAspect="1"/>
            </wp:cNvGraphicFramePr>
            <a:graphic>
              <a:graphicData uri="http://schemas.openxmlformats.org/drawingml/2006/picture">
                <pic:pic>
                  <pic:nvPicPr>
                    <pic:cNvPr id="0" name="figures_AAPL_compare_pdf.png"/>
                    <pic:cNvPicPr/>
                  </pic:nvPicPr>
                  <pic:blipFill>
                    <a:blip r:embed="rId41"/>
                    <a:stretch>
                      <a:fillRect/>
                    </a:stretch>
                  </pic:blipFill>
                  <pic:spPr>
                    <a:xfrm>
                      <a:off x="0" y="0"/>
                      <a:ext cx="4752000" cy="3168000"/>
                    </a:xfrm>
                    <a:prstGeom prst="rect"/>
                  </pic:spPr>
                </pic:pic>
              </a:graphicData>
            </a:graphic>
          </wp:inline>
        </w:drawing>
      </w:r>
    </w:p>
    <w:p w14:paraId="1FE582D5">
      <w:pPr>
        <w:keepLines/>
        <w:jc w:val="left"/>
      </w:pPr>
      <w:r>
        <w:rPr>
          <w:rFonts w:ascii="Times New Roman" w:hAnsi="Times New Roman" w:eastAsia="Times New Roman"/>
          <w:sz w:val="19"/>
        </w:rPr>
        <w:t>Cumulative Returns on AAPL using TradingAgents. The figure shows the performance comparison of our model against baseline approaches for Apple Inc. stock analysis.</w:t>
      </w:r>
    </w:p>
    <w:p w14:paraId="1FE582D5">
      <w:pPr>
        <w:jc w:val="left"/>
      </w:pPr>
      <w:r>
        <w:rPr>
          <w:rFonts w:ascii="Times New Roman" w:hAnsi="Times New Roman" w:eastAsia="Times New Roman"/>
          <w:b/>
          <w:sz w:val="21"/>
        </w:rPr>
        <w:t>Sharpe Ratio</w:t>
      </w:r>
    </w:p>
    <w:p w14:paraId="1FE582D5">
      <w:pPr>
        <w:jc w:val="left"/>
      </w:pPr>
      <w:r>
        <w:rPr>
          <w:rFonts w:ascii="Times New Roman" w:hAnsi="Times New Roman" w:eastAsia="Times New Roman"/>
          <w:sz w:val="19"/>
        </w:rPr>
        <w:t>The Sharpe Ratio（We benchmarked TradingAgents over 3 months due to intensive LLM and tool use (11 LLM calls &amp; 20+ tool calls/prediction). The highest Sharpe Ratio exceeds our expected empirical range (SR above 2 – very good, above 3 – excellent). We exported TradingAgents's decision sequences and examined them to ensure calculation correctness. We believe the exceptionally high SR resulted from the phenomenon that there were few pullbacks in TradingAgents during that period. We report results as they are in our experiments faithfully. Future work will optimize LLM reasoning &amp; tool use to enable longer backtesting under limited budgets.） performance highlights TradingAgents's exceptional ability to deliver superior risk-adjusted returns, surpassing all baseline models. This result underscores TradingAgents's effectiveness in balancing returns and risk— a crucial factor for sustainable and predictable investment growth. TradingAgents outperforms market benchmarks such as Buy-and-Hold and rule-based strategies consistently, demonstrating its adaptability. Its capability to maximize returns while maintaining controlled risk exposure establishes a strong foundation for multi-agent and debate-based automated trading algorithms.</w:t>
      </w:r>
    </w:p>
    <w:p w14:paraId="1FE582D5">
      <w:pPr>
        <w:jc w:val="left"/>
      </w:pPr>
      <w:r>
        <w:rPr>
          <w:rFonts w:ascii="Times New Roman" w:hAnsi="Times New Roman" w:eastAsia="Times New Roman"/>
          <w:b/>
          <w:sz w:val="21"/>
        </w:rPr>
        <w:t>Maximum Drawdown</w:t>
      </w:r>
    </w:p>
    <w:p w14:paraId="1FE582D5">
      <w:pPr>
        <w:jc w:val="left"/>
      </w:pPr>
      <w:r>
        <w:rPr>
          <w:rFonts w:ascii="Times New Roman" w:hAnsi="Times New Roman" w:eastAsia="Times New Roman"/>
          <w:sz w:val="19"/>
        </w:rPr>
        <w:t>While rule-based baselines demonstrated superior performance in controlling risk, as reflected by their maximum drawdown scores, they fell short in capturing high returns. This trade-off between risk and reward underscores TradingAgents's strength as a balanced approach. Despite higher returns being typically associated with higher risks, TradingAgents maintained a relatively low maximum drawdown compared to many baselines. Its effective risk-control mechanisms, facilitated by the debates among risk-control agents, ensured that the maximum drawdown remained within a manageable limit, not exceeding 2. This demonstrates TradingAgents's capability to strike a robust balance between maximizing returns and managing risk effectively.</w:t>
      </w:r>
    </w:p>
    <w:p w14:paraId="1FE582D5">
      <w:pPr>
        <w:jc w:val="left"/>
      </w:pPr>
      <w:r>
        <w:rPr>
          <w:rFonts w:ascii="Times New Roman" w:hAnsi="Times New Roman" w:eastAsia="Times New Roman"/>
          <w:b/>
          <w:sz w:val="21"/>
        </w:rPr>
        <w:t>Explainability</w:t>
      </w:r>
    </w:p>
    <w:p w14:paraId="1FE582D5">
      <w:pPr>
        <w:jc w:val="left"/>
      </w:pPr>
      <w:r>
        <w:rPr>
          <w:rFonts w:ascii="Times New Roman" w:hAnsi="Times New Roman" w:eastAsia="Times New Roman"/>
          <w:sz w:val="19"/>
        </w:rPr>
        <w:t>A major drawback of current deep learning methods for trading is their dense, complex architectures, often rendering trading agents' decisions indecipherable. This challenge, rooted in AI explainability, is critical for trading agents operating in real-world financial markets, where incorrect decisions can cause severe losses.</w:t>
      </w:r>
    </w:p>
    <w:p w14:paraId="1FE582D5">
      <w:pPr>
        <w:jc w:val="left"/>
      </w:pPr>
      <w:r>
        <w:rPr>
          <w:rFonts w:ascii="Times New Roman" w:hAnsi="Times New Roman" w:eastAsia="Times New Roman"/>
          <w:sz w:val="19"/>
        </w:rPr>
        <w:t>In contrast, an LLM-based agentic framework offers a transformative advantage: its decisions are communicated in natural language, enhancing interpretability. To illustrate, we provide TradingAgents's full trading log for a single day in the Appendix, showcasing its use of the ReAct-style prompting framework [yao2023reactsynergizingreasoningacting]. Each decision includes detailed reasoning, tool usage, and thought processes, enabling traders to understand and debug the system. This transparency empowers traders to fine-tune the framework, accounting for decision factors, offering superior explainability over deep-learning trading algorithms.</w:t>
      </w:r>
    </w:p>
    <w:p w14:paraId="1FE582D5">
      <w:pPr>
        <w:jc w:val="left"/>
      </w:pPr>
      <w:r>
        <w:rPr>
          <w:rFonts w:ascii="Times New Roman" w:hAnsi="Times New Roman" w:eastAsia="Times New Roman"/>
          <w:b/>
          <w:sz w:val="21"/>
        </w:rPr>
        <w:t>Discussion</w:t>
      </w:r>
    </w:p>
    <w:p w14:paraId="1FE582D5">
      <w:pPr>
        <w:jc w:val="left"/>
      </w:pPr>
      <w:r>
        <w:rPr>
          <w:rFonts w:ascii="Times New Roman" w:hAnsi="Times New Roman" w:eastAsia="Times New Roman"/>
          <w:sz w:val="19"/>
        </w:rPr>
        <w:t>Our results demonstrate that integrating multiple specialized LLM agents and fostering agentic debate significantly enhances trading performance. This framework efficiently synthesizes diverse data sources and expert analyses, enabling trader agents to make well-informed decisions tailored to specific risk profiles. The inclusion of a reflective agent and a dedicated risk management team is pivotal in refining strategies and mitigating risks. As a result, the framework achieves exceptional return capture while maintaining strong risk management metrics, striking an optimal balance between maximizing rewards and minimizing risks. Additionally, the natural language-based operations of the multi-agent LLM framework ensure high explainability, giving TradingAgents a distinct advantage over traditional and deep learning methods in transparency and interoperability.</w:t>
      </w:r>
    </w:p>
    <w:p w14:paraId="1FE582D5">
      <w:pPr>
        <w:jc w:val="left"/>
      </w:pPr>
      <w:r>
        <w:rPr>
          <w:rFonts w:ascii="Times New Roman" w:hAnsi="Times New Roman" w:eastAsia="Times New Roman"/>
          <w:b/>
          <w:sz w:val="21"/>
        </w:rPr>
        <w:t>Conclusion</w:t>
      </w:r>
    </w:p>
    <w:p w14:paraId="1FE582D5">
      <w:pPr>
        <w:jc w:val="left"/>
      </w:pPr>
      <w:r>
        <w:rPr>
          <w:rFonts w:ascii="Times New Roman" w:hAnsi="Times New Roman" w:eastAsia="Times New Roman"/>
          <w:sz w:val="19"/>
        </w:rPr>
        <w:t>We introduced TradingAgents, a multi-agents LLM financial trading framework that realistically simulates a trading firm environment with multiple specialized agents engaging in agentic debates and conversations. Leveraging the advanced capabilities of LLMs to process and analyze diverse financial data sources, the framework enables more informed trading decisions while utilizing multi-agent interactions to enhance performance through comprehensive reasoning and debate before acting. By integrating agents with distinct roles and risk profiles, along with a reflective agent and a dedicated risk team, TradingAgents significantly improves trading outcomes and risk management compared to baseline models. Additionally, the collaborative nature of these agents ensures adaptability to varying market conditions. Experiments demonstrate that TradingAgents outperforms traditional trading strategies and baselines in cumulative return, Sharpe ratio, and other critical financial metrics. Future work will focus on deploying the framework in a live trading environment, expanding agent roles, and incorporating real-time data feeds to enhance performance further.</w:t>
      </w:r>
    </w:p>
    <w:p w14:paraId="1FE582D5">
      <w:pPr>
        <w:jc w:val="left"/>
      </w:pPr>
      <w:r>
        <w:rPr>
          <w:rFonts w:ascii="Times New Roman" w:hAnsi="Times New Roman" w:eastAsia="Times New Roman"/>
          <w:b/>
          <w:sz w:val="21"/>
        </w:rPr>
        <w:t>References</w:t>
      </w:r>
    </w:p>
    <w:p w14:paraId="1FE582D5">
      <w:pPr>
        <w:jc w:val="left"/>
      </w:pPr>
      <w:r>
        <w:rPr>
          <w:rFonts w:ascii="Times New Roman" w:hAnsi="Times New Roman" w:eastAsia="Times New Roman"/>
          <w:sz w:val="19"/>
        </w:rPr>
        <w:t>J. Bai, S. Bai, Y. Chu, Z. Cui, K. Dang, X. Deng, Y. Fan, W. Ge, Y. Han, F. Huang, B. Hui, L. Ji, M. Li, J. Lin, R. Lin, D. Liu, G. Liu, C. Lu, K. Lu, J. Ma, R. Men, X. Ren, X. Ren, C. Tan, S. Tan, J. Tu, P. Wang, S. Wang, W. Wang, S. Wu, B. Xu, J. Xu, A. Yang, H. Yang, J. Yang, S. Yang, Y. Yao, B. Yu, H. Yuan, Z. Yuan, J. Zhang, X. Zhang, Y. Zhang, Z. Zhang, C. Zhou, J. Zhou, X. Zhou, and T. Zhu. Qwen technical report, 2023. URL https://arxiv.org/abs/2309.16609.</w:t>
      </w:r>
    </w:p>
    <w:p w14:paraId="1FE582D5">
      <w:pPr>
        <w:jc w:val="left"/>
      </w:pPr>
      <w:r>
        <w:rPr>
          <w:rFonts w:ascii="Times New Roman" w:hAnsi="Times New Roman" w:eastAsia="Times New Roman"/>
          <w:sz w:val="19"/>
        </w:rPr>
        <w:t>A. Chowdhery, S. Narang, J. Devlin, M. Bosma, G. Mishra, A. Roberts, P. Barham, H. W. Chung, C. Sutton, S. Gehrmann, P. Schuh, K. Shi, S. Tsvyashchenko, J. Maynez, A. Rao, P. Barnes, Y. Tay, N. Shazeer, V. Prabhakaran, E. Reif, N. Du, B. Hutchinson, R. Pope, J. Bradbury, J. Austin, M. Isard, G. Gur-Ari, P. Yin, T. Duke, A. Levskaya, S. Ghemawat, S. Dev, H. Michalewski, X. Garcia, V. Misra, K. Robinson, L. Fedus, D. Zhou, D. Ippolito, D. Luan, H. Lim, B. Zoph, A. Spiridonov, R. Sepassi, D. Dohan, S. Agrawal, M. Omernick, A. M. Dai, T. S. Pillai, M. Pellat, A. Lewkowycz, E. Moreira, R. Child, O. Polozov, K. Lee, Z. Zhou, X. Wang, B. Saeta, M. Diaz, O. Firat, M. Catasta, J. Wei, K. Meier-Hellstern, D. Eck, J. Dean, S. Petrov, and N. Fiedel. Palm: Scaling language modeling with pathways, 2022. URL https://arxiv.org/abs/2204.02311.</w:t>
      </w:r>
    </w:p>
    <w:p w14:paraId="1FE582D5">
      <w:pPr>
        <w:jc w:val="left"/>
      </w:pPr>
      <w:r>
        <w:rPr>
          <w:rFonts w:ascii="Times New Roman" w:hAnsi="Times New Roman" w:eastAsia="Times New Roman"/>
          <w:sz w:val="19"/>
        </w:rPr>
        <w:t>Y. Ding, S. Jia, T. Ma, B. Mao, X. Zhou, L. Li, and D. Han. Integrating stock features and global information via large language models for enhanced stock return prediction, 2023. URL https://arxiv.org/abs/2310.05627.</w:t>
      </w:r>
    </w:p>
    <w:p w14:paraId="1FE582D5">
      <w:pPr>
        <w:jc w:val="left"/>
      </w:pPr>
      <w:r>
        <w:rPr>
          <w:rFonts w:ascii="Times New Roman" w:hAnsi="Times New Roman" w:eastAsia="Times New Roman"/>
          <w:sz w:val="19"/>
        </w:rPr>
        <w:t>Y. Du, S. Li, A. Torralba, J. B. Tenenbaum, and I. Mordatch. Improving factuality and reasoning in language models through multiagent debate, 2023. URL https://arxiv.org/abs/2305.14325.</w:t>
      </w:r>
    </w:p>
    <w:p w14:paraId="1FE582D5">
      <w:pPr>
        <w:jc w:val="left"/>
      </w:pPr>
      <w:r>
        <w:rPr>
          <w:rFonts w:ascii="Times New Roman" w:hAnsi="Times New Roman" w:eastAsia="Times New Roman"/>
          <w:sz w:val="19"/>
        </w:rPr>
        <w:t>G. Fatouros, K. Metaxas, J. Soldatos, and D. Kyriazis. Can large language models beat wall street? unveiling the potential of ai in stock selection, 2024a. URL https://arxiv.org/abs/2401.03737.</w:t>
      </w:r>
    </w:p>
    <w:p w14:paraId="1FE582D5">
      <w:pPr>
        <w:jc w:val="left"/>
      </w:pPr>
      <w:r>
        <w:rPr>
          <w:rFonts w:ascii="Times New Roman" w:hAnsi="Times New Roman" w:eastAsia="Times New Roman"/>
          <w:sz w:val="19"/>
        </w:rPr>
        <w:t>G. Fatouros, K. Metaxas, J. Soldatos, and D. Kyriazis. Can large language models beat wall street? unveiling the potential of ai in stock selection, 2024b. URL https://arxiv.org/abs/2401.03737.</w:t>
      </w:r>
    </w:p>
    <w:p w14:paraId="1FE582D5">
      <w:pPr>
        <w:jc w:val="left"/>
      </w:pPr>
      <w:r>
        <w:rPr>
          <w:rFonts w:ascii="Times New Roman" w:hAnsi="Times New Roman" w:eastAsia="Times New Roman"/>
          <w:sz w:val="19"/>
        </w:rPr>
        <w:t>A. Havrilla, Y. Du, S. C. Raparthy, C. Nalmpantis, J. Dwivedi-Yu, M. Zhuravinskyi, E. Hambro, S. Sukhbaatar, and R. Raileanu. Teaching large language models to reason with reinforcement learning, 2024. URL https://arxiv.org/abs/2403.04642.</w:t>
      </w:r>
    </w:p>
    <w:p w14:paraId="1FE582D5">
      <w:pPr>
        <w:jc w:val="left"/>
      </w:pPr>
      <w:r>
        <w:rPr>
          <w:rFonts w:ascii="Times New Roman" w:hAnsi="Times New Roman" w:eastAsia="Times New Roman"/>
          <w:sz w:val="19"/>
        </w:rPr>
        <w:t>S. Hong, M. Zhuge, J. Chen, X. Zheng, Y. Cheng, C. Zhang, J. Wang, Z. Wang, S. K. S. Yau, Z. Lin, L. Zhou, C. Ran, L. Xiao, C. Wu, and J. Schmidhuber. Metagpt: Meta programming for a multi-agent collaborative framework, 2024. URL https://arxiv.org/abs/2308.00352.</w:t>
      </w:r>
    </w:p>
    <w:p w14:paraId="1FE582D5">
      <w:pPr>
        <w:jc w:val="left"/>
      </w:pPr>
      <w:r>
        <w:rPr>
          <w:rFonts w:ascii="Times New Roman" w:hAnsi="Times New Roman" w:eastAsia="Times New Roman"/>
          <w:sz w:val="19"/>
        </w:rPr>
        <w:t>Z. Ji, T. Yu, Y. Xu, N. Lee, E. Ishii, and P. Fung. Towards mitigating hallucination in large language models via self-reflection, 2023. URL https://arxiv.org/abs/2310.06271.</w:t>
      </w:r>
    </w:p>
    <w:p w14:paraId="1FE582D5">
      <w:pPr>
        <w:jc w:val="left"/>
      </w:pPr>
      <w:r>
        <w:rPr>
          <w:rFonts w:ascii="Times New Roman" w:hAnsi="Times New Roman" w:eastAsia="Times New Roman"/>
          <w:sz w:val="19"/>
        </w:rPr>
        <w:t>K. Kirtac and G. Germano. Sentiment trading with large language models. Finance Research Letters, 62:0 105227, 2024. ISSN 1544-6123. https://doi.org/10.1016/j.frl.2024.105227. URL https://www.sciencedirect.com/science/article/pii/S1544612324002575.</w:t>
      </w:r>
    </w:p>
    <w:p w14:paraId="1FE582D5">
      <w:pPr>
        <w:jc w:val="left"/>
      </w:pPr>
      <w:r>
        <w:rPr>
          <w:rFonts w:ascii="Times New Roman" w:hAnsi="Times New Roman" w:eastAsia="Times New Roman"/>
          <w:sz w:val="19"/>
        </w:rPr>
        <w:t>K. J. Koa, Y. Ma, R. Ng, and T.-S. Chua. Learning to generate explainable stock predictions using self-reflective large language models, May 2024. URL http://dx.doi.org/10.1145/3589334.3645611.</w:t>
      </w:r>
    </w:p>
    <w:p w14:paraId="1FE582D5">
      <w:pPr>
        <w:jc w:val="left"/>
      </w:pPr>
      <w:r>
        <w:rPr>
          <w:rFonts w:ascii="Times New Roman" w:hAnsi="Times New Roman" w:eastAsia="Times New Roman"/>
          <w:sz w:val="19"/>
        </w:rPr>
        <w:t>Y. Li, Y. Yu, H. Li, Z. Chen, and K. Khashanah. Tradinggpt: Multi-agent system with layered memory and distinct characters for enhanced financial trading performance. arXiv preprint arXiv:2309.03736, 2023a.</w:t>
      </w:r>
    </w:p>
    <w:p w14:paraId="1FE582D5">
      <w:pPr>
        <w:jc w:val="left"/>
      </w:pPr>
      <w:r>
        <w:rPr>
          <w:rFonts w:ascii="Times New Roman" w:hAnsi="Times New Roman" w:eastAsia="Times New Roman"/>
          <w:sz w:val="19"/>
        </w:rPr>
        <w:t>Y. Li, Y. Yu, H. Li, Z. Chen, and K. Khashanah. Tradinggpt: Multi-agent system with layered memory and distinct characters for enhanced financial trading performance, 2023b. URL https://arxiv.org/abs/2309.03736.</w:t>
      </w:r>
    </w:p>
    <w:p w14:paraId="1FE582D5">
      <w:pPr>
        <w:jc w:val="left"/>
      </w:pPr>
      <w:r>
        <w:rPr>
          <w:rFonts w:ascii="Times New Roman" w:hAnsi="Times New Roman" w:eastAsia="Times New Roman"/>
          <w:sz w:val="19"/>
        </w:rPr>
        <w:t>A. Lopez-Lira and Y. Tang. Can chatgpt forecast stock price movements? return predictability and large language models, 2023. URL https://arxiv.org/abs/2304.07619.</w:t>
      </w:r>
    </w:p>
    <w:p w14:paraId="1FE582D5">
      <w:pPr>
        <w:jc w:val="left"/>
      </w:pPr>
      <w:r>
        <w:rPr>
          <w:rFonts w:ascii="Times New Roman" w:hAnsi="Times New Roman" w:eastAsia="Times New Roman"/>
          <w:sz w:val="19"/>
        </w:rPr>
        <w:t>D. Lu, H. Wu, J. Liang, Y. Xu, Q. He, Y. Geng, M. Han, Y. Xin, and Y. Xiao. Bbt-fin: Comprehensive construction of chinese financial domain pre-trained language model, corpus and benchmark, 2023. URL https://arxiv.org/abs/2302.09432.</w:t>
      </w:r>
    </w:p>
    <w:p w14:paraId="1FE582D5">
      <w:pPr>
        <w:jc w:val="left"/>
      </w:pPr>
      <w:r>
        <w:rPr>
          <w:rFonts w:ascii="Times New Roman" w:hAnsi="Times New Roman" w:eastAsia="Times New Roman"/>
          <w:sz w:val="19"/>
        </w:rPr>
        <w:t>OpenAI. Learning to reason with llms - openai o1 model. https://openai.com/index/learning-to-reason-with-llms/, 2024. Accessed: 2024-11-21.</w:t>
      </w:r>
    </w:p>
    <w:p w14:paraId="1FE582D5">
      <w:pPr>
        <w:jc w:val="left"/>
      </w:pPr>
      <w:r>
        <w:rPr>
          <w:rFonts w:ascii="Times New Roman" w:hAnsi="Times New Roman" w:eastAsia="Times New Roman"/>
          <w:sz w:val="19"/>
        </w:rPr>
        <w:t>OpenAI, J. Achiam, S. Adler, S. Agarwal, L. Ahmad, I. Akkaya, F. L. Aleman, D. Almeida, J. Altenschmidt, S. Altman, S. Anadkat, R. Avila, I. Babuschkin, S. Balaji, V. Balcom, P. Baltescu, H. Bao, M. Bavarian, J. Belgum, I. Bello, J. Berdine, G. Bernadett-Shapiro, C. Berner, L. Bogdonoff, O. Boiko, M. Boyd, A.-L. Brakman, G. Brockman, T. Brooks, M. Brundage, K. Button, T. Cai, R. Campbell, A. Cann, B. Carey, C. Carlson, R. Carmichael, B. Chan, C. Chang, F. Chantzis, D. Chen, S. Chen, R. Chen, J. Chen, M. Chen, B. Chess, C. Cho, C. Chu, H. W. Chung, D. Cummings, J. Currier, Y. Dai, C. Decareaux, T. Degry, N. Deutsch, D. Deville, A. Dhar, D. Dohan, S. Dowling, S. Dunning, A. Ecoffet, A. Eleti, T. Eloundou, D. Farhi, L. Fedus, N. Felix, S. P. Fishman, J. Forte, I. Fulford, L. Gao, E. Georges, C. Gibson, V. Goel, T. Gogineni, G. Goh, R. Gontijo-Lopes, J. Gordon, M. Grafstein, S. Gray, R. Greene, J. Gross, S. S. Gu, Y. Guo, C. Hallacy, J. Han, J. Harris, Y. He, M. Heaton, J. Heidecke, C. Hesse, A. Hickey, W. Hickey, P. Hoeschele, B. Houghton, K. Hsu, S. Hu, X. Hu, J. Huizinga, S. Jain, S. Jain, J. Jang, A. Jiang, R. Jiang, H. Jin, D. Jin, S. Jomoto, B. Jonn, H. Jun, T. Kaftan, Łukasz Kaiser, A. Kamali, I. Kanitscheider, N. S. Keskar, T. Khan, L. Kilpatrick, J. W. Kim, C. Kim, Y. Kim, J. H. Kirchner, J. Kiros, M. Knight, D. Kokotajlo, Łukasz Kondraciuk, A. Kondrich, A. Konstantinidis, K. Kosic, G. Krueger, V. Kuo, M. Lampe, I. Lan, T. Lee, J. Leike, J. Leung, D. Levy, C. M. Li, R. Lim, M. Lin, S. Lin, M. Litwin, T. Lopez, R. Lowe, P. Lue, A. Makanju, K. Malfacini, S. Manning, T. Markov, Y. Markovski, B. Martin, K. Mayer, A. Mayne, B. McGrew, S. M. McKinney, C. McLeavey, P. McMillan, J. McNeil, D. Medina, A. Mehta, J. Menick, L. Metz, A. Mishchenko, P. Mishkin, V. Monaco, E. Morikawa, D. Mossing, T. Mu, M. Murati, O. Murk, D. Mély, A. Nair, R. Nakano, R. Nayak, A. Neelakantan, R. Ngo, H. Noh, L. Ouyang, C. O'Keefe, J. Pachocki, A. Paino, J. Palermo, A. Pantuliano, G. Parascandolo, J. Parish, E. Parparita, A. Passos, M. Pavlov, A. Peng, A. Perelman, F. de Avila Belbute Peres, M. Petrov, H. P. de Oliveira Pinto, Michael, Pokorny, M. Pokrass, V. H. Pong, T. Powell, A. Power, B. Power, E. Proehl, R. Puri, A. Radford, J. Rae, A. Ramesh, C. Raymond, F. Real, K. Rimbach, C. Ross, B. Rotsted, H. Roussez, N. Ryder, M. Saltarelli, T. Sanders, S. Santurkar, G. Sastry, H. Schmidt, D. Schnurr, J. Schulman, D. Selsam, K. Sheppard, T. Sherbakov, J. Shieh, S. Shoker, P. Shyam, S. Sidor, E. Sigler, M. Simens, J. Sitkin, K. Slama, I. Sohl, B. Sokolowsky, Y. Song, N. Staudacher, F. P. Such, N. Summers, I. Sutskever, J. Tang, N. Tezak, M. B. Thompson, P. Tillet, A. Tootoonchian, E. Tseng, P. Tuggle, N. Turley, J. Tworek, J. F. C. Uribe, A. Vallone, A. Vijayvergiya, C. Voss, C. Wainwright, J. J. Wang, A. Wang, B. Wang, J. Ward, J. Wei, C. Weinmann, A. Welihinda, P. Welinder, J. Weng, L. Weng, M. Wiethoff, D. Willner, C. Winter, S. Wolrich, H. Wong, L. Workman, S. Wu, J. Wu, M. Wu, K. Xiao, T. Xu, S. Yoo, K. Yu, Q. Yuan, W. Zaremba, R. Zellers, C. Zhang, M. Zhang, S. Zhao, T. Zheng, J. Zhuang, W. Zhuk, and B. Zoph. Gpt-4 technical report, 2024. URL https://arxiv.org/abs/2303.08774.</w:t>
      </w:r>
    </w:p>
    <w:p w14:paraId="1FE582D5">
      <w:pPr>
        <w:jc w:val="left"/>
      </w:pPr>
      <w:r>
        <w:rPr>
          <w:rFonts w:ascii="Times New Roman" w:hAnsi="Times New Roman" w:eastAsia="Times New Roman"/>
          <w:sz w:val="19"/>
        </w:rPr>
        <w:t>J. S. Park, J. C. O'Brien, C. J. Cai, M. R. Morris, P. Liang, and M. S. Bernstein. Generative agents: Interactive simulacra of human behavior, 2023. URL https://arxiv.org/abs/2304.03442.</w:t>
      </w:r>
    </w:p>
    <w:p w14:paraId="1FE582D5">
      <w:pPr>
        <w:jc w:val="left"/>
      </w:pPr>
      <w:r>
        <w:rPr>
          <w:rFonts w:ascii="Times New Roman" w:hAnsi="Times New Roman" w:eastAsia="Times New Roman"/>
          <w:sz w:val="19"/>
        </w:rPr>
        <w:t>C. Qian, W. Liu, H. Liu, N. Chen, Y. Dang, J. Li, C. Yang, W. Chen, Y. Su, X. Cong, J. Xu, D. Li, Z. Liu, and M. Sun. Chatdev: Communicative agents for software development, 2024. URL https://arxiv.org/abs/2307.07924.</w:t>
      </w:r>
    </w:p>
    <w:p w14:paraId="1FE582D5">
      <w:pPr>
        <w:jc w:val="left"/>
      </w:pPr>
      <w:r>
        <w:rPr>
          <w:rFonts w:ascii="Times New Roman" w:hAnsi="Times New Roman" w:eastAsia="Times New Roman"/>
          <w:sz w:val="19"/>
        </w:rPr>
        <w:t>J. Schulman, F. Wolski, P. Dhariwal, A. Radford, and O. Klimov. Proximal policy optimization algorithms, 2017. URL https://arxiv.org/abs/1707.06347.</w:t>
      </w:r>
    </w:p>
    <w:p w14:paraId="1FE582D5">
      <w:pPr>
        <w:jc w:val="left"/>
      </w:pPr>
      <w:r>
        <w:rPr>
          <w:rFonts w:ascii="Times New Roman" w:hAnsi="Times New Roman" w:eastAsia="Times New Roman"/>
          <w:sz w:val="19"/>
        </w:rPr>
        <w:t>Y. Talebirad and A. Nadiri. Multi-agent collaboration: Harnessing the power of intelligent llm agents, 2023. URL https://arxiv.org/abs/2306.03314.</w:t>
      </w:r>
    </w:p>
    <w:p w14:paraId="1FE582D5">
      <w:pPr>
        <w:jc w:val="left"/>
      </w:pPr>
      <w:r>
        <w:rPr>
          <w:rFonts w:ascii="Times New Roman" w:hAnsi="Times New Roman" w:eastAsia="Times New Roman"/>
          <w:sz w:val="19"/>
        </w:rPr>
        <w:t>X. Tang, A. Zou, Z. Zhang, Z. Li, Y. Zhao, X. Zhang, A. Cohan, and M. Gerstein. Medagents: Large language models as collaborators for zero-shot medical reasoning, 2024. URL https://arxiv.org/abs/2311.10537.</w:t>
      </w:r>
    </w:p>
    <w:p w14:paraId="1FE582D5">
      <w:pPr>
        <w:jc w:val="left"/>
      </w:pPr>
      <w:r>
        <w:rPr>
          <w:rFonts w:ascii="Times New Roman" w:hAnsi="Times New Roman" w:eastAsia="Times New Roman"/>
          <w:sz w:val="19"/>
        </w:rPr>
        <w:t>H. Touvron, L. Martin, K. Stone, P. Albert, A. Almahairi, Y. Babaei, N. Bashlykov, S. Batra, P. Bhargava, S. Bhosale, D. Bikel, L. Blecher, C. C. Ferrer, M. Chen, G. Cucurull, D. Esiobu, J. Fernandes, J. Fu, W. Fu, B. Fuller, C. Gao, V. Goswami, N. Goyal, A. Hartshorn, S. Hosseini, R. Hou, H. Inan, M. Kardas, V. Kerkez, M. Khabsa, I. Kloumann, A. Korenev, P. S. Koura, M.-A. Lachaux, T. Lavril, J. Lee, D. Liskovich, Y. Lu, Y. Mao, X. Martinet, T. Mihaylov, P. Mishra, I. Molybog, Y. Nie, A. Poulton, J. Reizenstein, R. Rungta, K. Saladi, A. Schelten, R. Silva, E. M. Smith, R. Subramanian, X. E. Tan, B. Tang, R. Taylor, A. Williams, J. X. Kuan, P. Xu, Z. Yan, I. Zarov, Y. Zhang, A. Fan, M. Kambadur, S. Narang, A. Rodriguez, R. Stojnic, S. Edunov, and T. Scialom. Llama 2: Open foundation and fine-tuned chat models, 2023. URL https://arxiv.org/abs/2307.09288.</w:t>
      </w:r>
    </w:p>
    <w:p w14:paraId="1FE582D5">
      <w:pPr>
        <w:jc w:val="left"/>
      </w:pPr>
      <w:r>
        <w:rPr>
          <w:rFonts w:ascii="Times New Roman" w:hAnsi="Times New Roman" w:eastAsia="Times New Roman"/>
          <w:sz w:val="19"/>
        </w:rPr>
        <w:t>K. Wang, J. Li, N. P. Bhatt, Y. Xi, Q. Liu, U. Topcu, and Z. Wang. On the planning abilities of openai's o1 models: Feasibility, optimality, and generalizability, 2024a. URL https://arxiv.org/abs/2409.19924.</w:t>
      </w:r>
    </w:p>
    <w:p w14:paraId="1FE582D5">
      <w:pPr>
        <w:jc w:val="left"/>
      </w:pPr>
      <w:r>
        <w:rPr>
          <w:rFonts w:ascii="Times New Roman" w:hAnsi="Times New Roman" w:eastAsia="Times New Roman"/>
          <w:sz w:val="19"/>
        </w:rPr>
        <w:t>M. Wang, K. Izumi, and H. Sakaji. Llmfactor: Extracting profitable factors through prompts for explainable stock movement prediction, 2024b. URL https://arxiv.org/abs/2406.10811.</w:t>
      </w:r>
    </w:p>
    <w:p w14:paraId="1FE582D5">
      <w:pPr>
        <w:jc w:val="left"/>
      </w:pPr>
      <w:r>
        <w:rPr>
          <w:rFonts w:ascii="Times New Roman" w:hAnsi="Times New Roman" w:eastAsia="Times New Roman"/>
          <w:sz w:val="19"/>
        </w:rPr>
        <w:t>S. Wang, H. Yuan, L. Zhou, L. M. Ni, H.-Y. Shum, and J. Guo. Alpha-gpt: Human-ai interactive alpha mining for quantitative investment. arXiv preprint arXiv:2308.00016, 2023. URL https://arxiv.org/abs/2308.00016.</w:t>
      </w:r>
    </w:p>
    <w:p w14:paraId="1FE582D5">
      <w:pPr>
        <w:jc w:val="left"/>
      </w:pPr>
      <w:r>
        <w:rPr>
          <w:rFonts w:ascii="Times New Roman" w:hAnsi="Times New Roman" w:eastAsia="Times New Roman"/>
          <w:sz w:val="19"/>
        </w:rPr>
        <w:t>S. Wang, H. Yuan, L. M. Ni, and J. Guo. Quantagent: Seeking holy grail in trading by self-improving large language model, 2024c. URL https://arxiv.org/abs/2402.03755.</w:t>
      </w:r>
    </w:p>
    <w:p w14:paraId="1FE582D5">
      <w:pPr>
        <w:jc w:val="left"/>
      </w:pPr>
      <w:r>
        <w:rPr>
          <w:rFonts w:ascii="Times New Roman" w:hAnsi="Times New Roman" w:eastAsia="Times New Roman"/>
          <w:sz w:val="19"/>
        </w:rPr>
        <w:t>S. Wu, O. Irsoy, S. Lu, V. Dabravolski, M. Dredze, S. Gehrmann, P. Kambadur, D. Rosenberg, and G. Mann. Bloomberggpt: A large language model for finance, 2023. URL https://arxiv.org/abs/2303.17564.</w:t>
      </w:r>
    </w:p>
    <w:p w14:paraId="1FE582D5">
      <w:pPr>
        <w:jc w:val="left"/>
      </w:pPr>
      <w:r>
        <w:rPr>
          <w:rFonts w:ascii="Times New Roman" w:hAnsi="Times New Roman" w:eastAsia="Times New Roman"/>
          <w:sz w:val="19"/>
        </w:rPr>
        <w:t>Q. Xie, W. Han, X. Zhang, Y. Lai, M. Peng, A. Lopez-Lira, and J. Huang. Pixiu: A large language model, instruction data and evaluation benchmark for finance, 2023. URL https://arxiv.org/abs/2306.05443.</w:t>
      </w:r>
    </w:p>
    <w:p w14:paraId="1FE582D5">
      <w:pPr>
        <w:jc w:val="left"/>
      </w:pPr>
      <w:r>
        <w:rPr>
          <w:rFonts w:ascii="Times New Roman" w:hAnsi="Times New Roman" w:eastAsia="Times New Roman"/>
          <w:sz w:val="19"/>
        </w:rPr>
        <w:t>F. Xing. Designing heterogeneous llm agents for financial sentiment analysis, 2024. URL https://arxiv.org/abs/2401.05799.</w:t>
      </w:r>
    </w:p>
    <w:p w14:paraId="1FE582D5">
      <w:pPr>
        <w:jc w:val="left"/>
      </w:pPr>
      <w:r>
        <w:rPr>
          <w:rFonts w:ascii="Times New Roman" w:hAnsi="Times New Roman" w:eastAsia="Times New Roman"/>
          <w:sz w:val="19"/>
        </w:rPr>
        <w:t>A. Yang, B. Xiao, B. Wang, B. Zhang, C. Bian, C. Yin, C. Lv, D. Pan, D. Wang, D. Yan, F. Yang, F. Deng, F. Wang, F. Liu, G. Ai, G. Dong, H. Zhao, H. Xu, H. Sun, H. Zhang, H. Liu, J. Ji, J. Xie, J. Dai, K. Fang, L. Su, L. Song, L. Liu, L. Ru, L. Ma, M. Wang, M. Liu, M. Lin, N. Nie, P. Guo, R. Sun, T. Zhang, T. Li, T. Li, W. Cheng, W. Chen, X. Zeng, X. Wang, X. Chen, X. Men, X. Yu, X. Pan, Y. Shen, Y. Wang, Y. Li, Y. Jiang, Y. Gao, Y. Zhang, Z. Zhou, and Z. Wu. Baichuan 2: Open large-scale language models, 2023a. URL https://arxiv.org/abs/2309.10305.</w:t>
      </w:r>
    </w:p>
    <w:p w14:paraId="1FE582D5">
      <w:pPr>
        <w:jc w:val="left"/>
      </w:pPr>
      <w:r>
        <w:rPr>
          <w:rFonts w:ascii="Times New Roman" w:hAnsi="Times New Roman" w:eastAsia="Times New Roman"/>
          <w:sz w:val="19"/>
        </w:rPr>
        <w:t>H. Yang, X.-Y. Liu, and C. D. Wang. Fingpt: Open-source financial large language models, 2023b. URL https://arxiv.org/abs/2306.06031.</w:t>
      </w:r>
    </w:p>
    <w:p w14:paraId="1FE582D5">
      <w:pPr>
        <w:jc w:val="left"/>
      </w:pPr>
      <w:r>
        <w:rPr>
          <w:rFonts w:ascii="Times New Roman" w:hAnsi="Times New Roman" w:eastAsia="Times New Roman"/>
          <w:sz w:val="19"/>
        </w:rPr>
        <w:t>H. Yang, S. Yue, and Y. He. Auto-gpt for online decision making: Benchmarks and additional opinions, 2023c. URL https://arxiv.org/abs/2306.02224.</w:t>
      </w:r>
    </w:p>
    <w:p w14:paraId="1FE582D5">
      <w:pPr>
        <w:jc w:val="left"/>
      </w:pPr>
      <w:r>
        <w:rPr>
          <w:rFonts w:ascii="Times New Roman" w:hAnsi="Times New Roman" w:eastAsia="Times New Roman"/>
          <w:sz w:val="19"/>
        </w:rPr>
        <w:t>H. Yang, B. Zhang, N. Wang, C. Guo, X. Zhang, L. Lin, J. Wang, T. Zhou, M. Guan, R. Zhang, and C. D. Wang. Finrobot: An open-source ai agent platform for financial applications using large language models, 2024. URL https://arxiv.org/abs/2405.14767.</w:t>
      </w:r>
    </w:p>
    <w:p w14:paraId="1FE582D5">
      <w:pPr>
        <w:jc w:val="left"/>
      </w:pPr>
      <w:r>
        <w:rPr>
          <w:rFonts w:ascii="Times New Roman" w:hAnsi="Times New Roman" w:eastAsia="Times New Roman"/>
          <w:sz w:val="19"/>
        </w:rPr>
        <w:t>S. Yao, J. Zhao, D. Yu, N. Du, I. Shafran, K. Narasimhan, and Y. Cao. React: Synergizing reasoning and acting in language models, 2023. URL https://arxiv.org/abs/2210.03629.</w:t>
      </w:r>
    </w:p>
    <w:p w14:paraId="1FE582D5">
      <w:pPr>
        <w:jc w:val="left"/>
      </w:pPr>
      <w:r>
        <w:rPr>
          <w:rFonts w:ascii="Times New Roman" w:hAnsi="Times New Roman" w:eastAsia="Times New Roman"/>
          <w:sz w:val="19"/>
        </w:rPr>
        <w:t>Y. Yu, H. Li, Z. Chen, Y. Jiang, Y. Li, D. Zhang, R. Liu, J. W. Suchow, and K. Khashanah. Finmem: A performance-enhanced llm trading agent with layered memory and character design, 2023. URL https://arxiv.org/abs/2311.13743.</w:t>
      </w:r>
    </w:p>
    <w:p w14:paraId="1FE582D5">
      <w:pPr>
        <w:jc w:val="left"/>
      </w:pPr>
      <w:r>
        <w:rPr>
          <w:rFonts w:ascii="Times New Roman" w:hAnsi="Times New Roman" w:eastAsia="Times New Roman"/>
          <w:sz w:val="19"/>
        </w:rPr>
        <w:t>Y. Yu, Z. Yao, H. Li, Z. Deng, Y. Cao, Z. Chen, J. W. Suchow, R. Liu, Z. Cui, D. Zhang, et al. Fincon: A synthesized llm multi-agent system with conceptual verbal reinforcement for enhanced financial decision making. arXiv preprint arXiv:2407.06567, 2024.</w:t>
      </w:r>
    </w:p>
    <w:p w14:paraId="1FE582D5">
      <w:pPr>
        <w:jc w:val="left"/>
      </w:pPr>
      <w:r>
        <w:rPr>
          <w:rFonts w:ascii="Times New Roman" w:hAnsi="Times New Roman" w:eastAsia="Times New Roman"/>
          <w:sz w:val="19"/>
        </w:rPr>
        <w:t>B. Zhang, H. Yang, and X.-Y. Liu. Instruct-fingpt: Financial sentiment analysis by instruction tuning of general-purpose large language models, 2023a. URL https://arxiv.org/abs/2306.12659.</w:t>
      </w:r>
    </w:p>
    <w:p w14:paraId="1FE582D5">
      <w:pPr>
        <w:jc w:val="left"/>
      </w:pPr>
      <w:r>
        <w:rPr>
          <w:rFonts w:ascii="Times New Roman" w:hAnsi="Times New Roman" w:eastAsia="Times New Roman"/>
          <w:sz w:val="19"/>
        </w:rPr>
        <w:t>H. Zhang, F. Hua, C. Xu, H. Kong, R. Zuo, and J. Guo. Unveiling the potential of sentiment: Can large language models predict chinese stock price movements?, 2024a. URL https://arxiv.org/abs/2306.14222.</w:t>
      </w:r>
    </w:p>
    <w:p w14:paraId="1FE582D5">
      <w:pPr>
        <w:jc w:val="left"/>
      </w:pPr>
      <w:r>
        <w:rPr>
          <w:rFonts w:ascii="Times New Roman" w:hAnsi="Times New Roman" w:eastAsia="Times New Roman"/>
          <w:sz w:val="19"/>
        </w:rPr>
        <w:t>S. Zhang, S. Roller, N. Goyal, M. Artetxe, M. Chen, S. Chen, C. Dewan, M. Diab, X. Li, X. V. Lin, T. Mihaylov, M. Ott, S. Shleifer, K. Shuster, D. Simig, P. S. Koura, A. Sridhar, T. Wang, and L. Zettlemoyer. Opt: Open pre-trained transformer language models, 2022. URL https://arxiv.org/abs/2205.01068.</w:t>
      </w:r>
    </w:p>
    <w:p w14:paraId="1FE582D5">
      <w:pPr>
        <w:jc w:val="left"/>
      </w:pPr>
      <w:r>
        <w:rPr>
          <w:rFonts w:ascii="Times New Roman" w:hAnsi="Times New Roman" w:eastAsia="Times New Roman"/>
          <w:sz w:val="19"/>
        </w:rPr>
        <w:t>W. Zhang, L. Zhao, H. Xia, S. Sun, J. Sun, M. Qin, X. Li, Y. Zhao, Y. Zhao, X. Cai, L. Zheng, X. Wang, and B. An. A multimodal foundation agent for financial trading: Tool-augmented, diversified, and generalist, 2024b. URL https://arxiv.org/abs/2402.18485.</w:t>
      </w:r>
    </w:p>
    <w:p w14:paraId="1FE582D5">
      <w:pPr>
        <w:jc w:val="left"/>
      </w:pPr>
      <w:r>
        <w:rPr>
          <w:rFonts w:ascii="Times New Roman" w:hAnsi="Times New Roman" w:eastAsia="Times New Roman"/>
          <w:sz w:val="19"/>
        </w:rPr>
        <w:t>X. Zhang, Q. Yang, and D. Xu. Xuanyuan 2.0: A large chinese financial chat model with hundreds of billions parameters, 2023b. URL https://arxiv.org/abs/2305.12002.</w:t>
      </w:r>
    </w:p>
    <w:p w14:paraId="1FE582D5">
      <w:pPr>
        <w:jc w:val="left"/>
      </w:pPr>
      <w:r>
        <w:rPr>
          <w:rFonts w:ascii="Times New Roman" w:hAnsi="Times New Roman" w:eastAsia="Times New Roman"/>
          <w:sz w:val="19"/>
        </w:rPr>
        <w:t>T. Zhong, Z. Liu, Y. Pan, Y. Zhang, Y. Zhou, S. Liang, Z. Wu, Y. Lyu, P. Shu, X. Yu, C. Cao, H. Jiang, H. Chen, Y. Li, J. Chen, H. Hu, Y. Liu, H. Zhao, S. Xu, H. Dai, L. Zhao, R. Zhang, W. Zhao, Z. Yang, J. Chen, P. Wang, W. Ruan, H. Wang, H. Zhao, J. Zhang, Y. Ren, S. Qin, T. Chen, J. Li, A. H. Zidan, A. Jahin, M. Chen, S. Xia, J. Holmes, Y. Zhuang, J. Wang, B. Xu, W. Xia, J. Yu, K. Tang, Y. Yang, B. Sun, T. Yang, G. Lu, X. Wang, L. Chai, H. Li, J. Lu, L. Sun, X. Zhang, B. Ge, X. Hu, L. Zhang, H. Zhou, L. Zhang, S. Zhang, N. Liu, B. Jiang, L. Kong, Z. Xiang, Y. Ren, J. Liu, X. Jiang, Y. Bao, W. Zhang, X. Li, G. Li, W. Liu, D. Shen, A. Sikora, X. Zhai, D. Zhu, and T. Liu. Evaluation of openai o1: Opportunities and challenges of agi, 2024. URL https://arxiv.org/abs/2409.18486. thebibliography</w:t>
      </w:r>
    </w:p>
    <w:p w14:paraId="1FE582D5">
      <w:pPr>
        <w:jc w:val="left"/>
      </w:pPr>
      <w:r>
        <w:rPr>
          <w:rFonts w:ascii="Times New Roman" w:hAnsi="Times New Roman" w:eastAsia="Times New Roman"/>
          <w:b/>
          <w:sz w:val="21"/>
        </w:rPr>
        <w:t>Supplementary Materials for TradingAgents</w:t>
      </w:r>
    </w:p>
    <w:p w14:paraId="1FE582D5">
      <w:pPr>
        <w:jc w:val="left"/>
      </w:pPr>
      <w:r>
        <w:rPr>
          <w:rFonts w:ascii="Times New Roman" w:hAnsi="Times New Roman" w:eastAsia="Times New Roman"/>
          <w:b/>
          <w:sz w:val="21"/>
        </w:rPr>
        <w:t>Baseline Models</w:t>
      </w:r>
    </w:p>
    <w:p w14:paraId="1FE582D5">
      <w:pPr>
        <w:jc w:val="left"/>
      </w:pPr>
      <w:r>
        <w:rPr>
          <w:rFonts w:ascii="Times New Roman" w:hAnsi="Times New Roman" w:eastAsia="Times New Roman"/>
          <w:sz w:val="19"/>
        </w:rPr>
        <w:t>We compare our TradingAgents framework against several baselines:</w:t>
      </w:r>
    </w:p>
    <w:p w14:paraId="1FE582D5">
      <w:pPr>
        <w:jc w:val="left"/>
      </w:pPr>
      <w:r>
        <w:rPr>
          <w:rFonts w:ascii="Times New Roman" w:hAnsi="Times New Roman" w:eastAsia="Times New Roman"/>
          <w:sz w:val="19"/>
        </w:rPr>
        <w:t>• Buy and Hold: Investing equal amounts in all selected stocks and holding them throughout the simulation period.</w:t>
      </w:r>
    </w:p>
    <w:p w14:paraId="1FE582D5">
      <w:pPr>
        <w:jc w:val="left"/>
      </w:pPr>
      <w:r>
        <w:rPr>
          <w:rFonts w:ascii="Times New Roman" w:hAnsi="Times New Roman" w:eastAsia="Times New Roman"/>
          <w:sz w:val="19"/>
        </w:rPr>
        <w:t>• MACD (Moving Average Convergence Divergence): A trend-following momentum strategy that generates buy and sell signals based on the crossover points between the MACD line and signal line.</w:t>
      </w:r>
    </w:p>
    <w:p w14:paraId="1FE582D5">
      <w:pPr>
        <w:jc w:val="left"/>
      </w:pPr>
      <w:r>
        <w:rPr>
          <w:rFonts w:ascii="Times New Roman" w:hAnsi="Times New Roman" w:eastAsia="Times New Roman"/>
          <w:sz w:val="19"/>
        </w:rPr>
        <w:t>• KDJ and RSI (Relative Strength Index): A momentum strategy combining KDJ (stochastic oscillator) and RSI (relative strength index) indicators to identify overbought and oversold conditions for trading signals.</w:t>
      </w:r>
    </w:p>
    <w:p w14:paraId="1FE582D5">
      <w:pPr>
        <w:jc w:val="left"/>
      </w:pPr>
      <w:r>
        <w:rPr>
          <w:rFonts w:ascii="Times New Roman" w:hAnsi="Times New Roman" w:eastAsia="Times New Roman"/>
          <w:sz w:val="19"/>
        </w:rPr>
        <w:t>• ZMR (Zero Mean Reversion): A mean reversion trading strategy that generates signals based on price deviations from and subsequent reversions to a zero reference line.</w:t>
      </w:r>
    </w:p>
    <w:p w14:paraId="1FE582D5">
      <w:pPr>
        <w:jc w:val="left"/>
      </w:pPr>
      <w:r>
        <w:rPr>
          <w:rFonts w:ascii="Times New Roman" w:hAnsi="Times New Roman" w:eastAsia="Times New Roman"/>
          <w:sz w:val="19"/>
        </w:rPr>
        <w:t>• SMA (Simple Moving Average): A trend-following strategy that generates trading signals based on crossovers between short-term and long-term moving averages.</w:t>
      </w:r>
    </w:p>
    <w:p w14:paraId="1FE582D5">
      <w:pPr>
        <w:jc w:val="left"/>
      </w:pPr>
      <w:r>
        <w:rPr>
          <w:rFonts w:ascii="Times New Roman" w:hAnsi="Times New Roman" w:eastAsia="Times New Roman"/>
          <w:b/>
          <w:sz w:val="21"/>
        </w:rPr>
        <w:t>Evaluation Metrics</w:t>
      </w:r>
    </w:p>
    <w:p w14:paraId="1FE582D5">
      <w:pPr>
        <w:jc w:val="left"/>
      </w:pPr>
      <w:r>
        <w:rPr>
          <w:rFonts w:ascii="Times New Roman" w:hAnsi="Times New Roman" w:eastAsia="Times New Roman"/>
          <w:sz w:val="19"/>
        </w:rPr>
        <w:t>To thoroughly evaluate the performance of our TradingAgents framework, we use widely recognized metrics to assess the risk management, profitability, and safety of the TradingAgents strategy in comparison to baseline approaches. Here we describe these metrics:</w:t>
      </w:r>
    </w:p>
    <w:p w14:paraId="1FE582D5">
      <w:pPr>
        <w:jc w:val="left"/>
      </w:pPr>
      <w:r>
        <w:rPr>
          <w:rFonts w:ascii="Times New Roman" w:hAnsi="Times New Roman" w:eastAsia="Times New Roman"/>
          <w:b/>
          <w:sz w:val="21"/>
        </w:rPr>
        <w:t>Cumulative Return (CR)</w:t>
      </w:r>
    </w:p>
    <w:p w14:paraId="1FE582D5">
      <w:pPr>
        <w:jc w:val="left"/>
      </w:pPr>
      <w:r>
        <w:rPr>
          <w:rFonts w:ascii="Times New Roman" w:hAnsi="Times New Roman" w:eastAsia="Times New Roman"/>
          <w:sz w:val="19"/>
        </w:rPr>
        <w:t>The cumulative return measures the total return generated over the simulation period. It is calculated as:</w:t>
      </w:r>
    </w:p>
    <w:p w14:paraId="1FE582D5">
      <w:pPr>
        <w:jc w:val="center"/>
      </w:pPr>
      <w:r/>
      <m:oMathPara>
        <m:oMath>
          <m:r>
            <m:t>CR = ((V(end) - V(start)) / V(start)) × 100%</m:t>
          </m:r>
        </m:oMath>
      </m:oMathPara>
    </w:p>
    <w:p w14:paraId="1FE582D5">
      <w:pPr>
        <w:jc w:val="left"/>
      </w:pPr>
      <w:r>
        <w:rPr>
          <w:rFonts w:ascii="Times New Roman" w:hAnsi="Times New Roman" w:eastAsia="Times New Roman"/>
          <w:sz w:val="19"/>
        </w:rPr>
        <w:t>where V_end is the portfolio value at the end of the simulation, and V_start is the initial portfolio value.</w:t>
      </w:r>
    </w:p>
    <w:p w14:paraId="1FE582D5">
      <w:pPr>
        <w:jc w:val="left"/>
      </w:pPr>
      <w:r>
        <w:rPr>
          <w:rFonts w:ascii="Times New Roman" w:hAnsi="Times New Roman" w:eastAsia="Times New Roman"/>
          <w:b/>
          <w:sz w:val="21"/>
        </w:rPr>
        <w:t>Annualized Return (AR)</w:t>
      </w:r>
    </w:p>
    <w:p w14:paraId="1FE582D5">
      <w:pPr>
        <w:jc w:val="left"/>
      </w:pPr>
      <w:r>
        <w:rPr>
          <w:rFonts w:ascii="Times New Roman" w:hAnsi="Times New Roman" w:eastAsia="Times New Roman"/>
          <w:sz w:val="19"/>
        </w:rPr>
        <w:t>The annualized return normalizes the cumulative return over the number of years:</w:t>
      </w:r>
    </w:p>
    <w:p w14:paraId="1FE582D5">
      <w:pPr>
        <w:jc w:val="center"/>
      </w:pPr>
      <w:r/>
      <m:oMathPara>
        <m:oMath>
          <m:r>
            <m:t>AR = ((V(end) / V(start))^(1/N) - 1) × 100%</m:t>
          </m:r>
        </m:oMath>
      </m:oMathPara>
    </w:p>
    <w:p w14:paraId="1FE582D5">
      <w:pPr>
        <w:jc w:val="left"/>
      </w:pPr>
      <w:r>
        <w:rPr>
          <w:rFonts w:ascii="Times New Roman" w:hAnsi="Times New Roman" w:eastAsia="Times New Roman"/>
          <w:sz w:val="19"/>
        </w:rPr>
        <w:t>where N is the number of years in the simulation.</w:t>
      </w:r>
    </w:p>
    <w:p w14:paraId="1FE582D5">
      <w:pPr>
        <w:jc w:val="left"/>
      </w:pPr>
      <w:r>
        <w:rPr>
          <w:rFonts w:ascii="Times New Roman" w:hAnsi="Times New Roman" w:eastAsia="Times New Roman"/>
          <w:b/>
          <w:sz w:val="21"/>
        </w:rPr>
        <w:t>Sharpe Ratio (SR)</w:t>
      </w:r>
    </w:p>
    <w:p w14:paraId="1FE582D5">
      <w:pPr>
        <w:jc w:val="left"/>
      </w:pPr>
      <w:r>
        <w:rPr>
          <w:rFonts w:ascii="Times New Roman" w:hAnsi="Times New Roman" w:eastAsia="Times New Roman"/>
          <w:sz w:val="19"/>
        </w:rPr>
        <w:t>The Sharpe ratio measures risk-adjusted return by comparing a portfolio's excess return over the risk-free rate to its volatility:</w:t>
      </w:r>
    </w:p>
    <w:p w14:paraId="1FE582D5">
      <w:pPr>
        <w:jc w:val="center"/>
      </w:pPr>
      <w:r/>
      <m:oMathPara>
        <m:oMath>
          <m:r>
            <m:t>SR = (R̄ - Rf) / σ</m:t>
          </m:r>
        </m:oMath>
      </m:oMathPara>
    </w:p>
    <w:p w14:paraId="1FE582D5">
      <w:pPr>
        <w:jc w:val="left"/>
      </w:pPr>
      <w:r>
        <w:rPr>
          <w:rFonts w:ascii="Times New Roman" w:hAnsi="Times New Roman" w:eastAsia="Times New Roman"/>
          <w:sz w:val="19"/>
        </w:rPr>
        <w:t>where R is the average portfolio return, R_f is the risk-free rate (e.g., yield of 3-month Treasury bills), and is the standard deviation of the portfolio returns.</w:t>
      </w:r>
    </w:p>
    <w:p w14:paraId="1FE582D5">
      <w:pPr>
        <w:jc w:val="left"/>
      </w:pPr>
      <w:r>
        <w:rPr>
          <w:rFonts w:ascii="Times New Roman" w:hAnsi="Times New Roman" w:eastAsia="Times New Roman"/>
          <w:b/>
          <w:sz w:val="21"/>
        </w:rPr>
        <w:t>Maximum Drawdown (MDD)</w:t>
      </w:r>
    </w:p>
    <w:p w14:paraId="1FE582D5">
      <w:pPr>
        <w:jc w:val="left"/>
      </w:pPr>
      <w:r>
        <w:rPr>
          <w:rFonts w:ascii="Times New Roman" w:hAnsi="Times New Roman" w:eastAsia="Times New Roman"/>
          <w:sz w:val="19"/>
        </w:rPr>
        <w:t>Maximum drawdown measures the largest peak-to-trough decline in the portfolio value:</w:t>
      </w:r>
    </w:p>
    <w:p w14:paraId="1FE582D5">
      <w:pPr>
        <w:jc w:val="center"/>
      </w:pPr>
      <w:r/>
      <m:oMathPara>
        <m:oMath>
          <m:r>
            <m:t>MDD = max t∈[0,T] ((Peak(t) - Trough(t)) / Peak(t)) × 100%</m:t>
          </m:r>
        </m:oMath>
      </m:oMathPara>
    </w:p>
    <w:p w14:paraId="1FE582D5">
      <w:pPr>
        <w:jc w:val="left"/>
      </w:pPr>
      <w:r>
        <w:rPr>
          <w:rFonts w:ascii="Times New Roman" w:hAnsi="Times New Roman" w:eastAsia="Times New Roman"/>
          <w:b/>
          <w:sz w:val="21"/>
        </w:rPr>
        <w:t>Cumulative Returns (CR) and Transaction History for AMZN and GOOGL</w:t>
      </w:r>
    </w:p>
    <w:p w14:paraId="1FE582D5">
      <w:pPr>
        <w:jc w:val="left"/>
      </w:pPr>
      <w:r>
        <w:rPr>
          <w:rFonts w:ascii="Times New Roman" w:hAnsi="Times New Roman" w:eastAsia="Times New Roman"/>
          <w:sz w:val="19"/>
        </w:rPr>
        <w:t>We present additional figures for AMZN and GOOGL stocks to complement the AAPL data discussed in the main body of this paper. These supplementary visuals provide a broader perspective on the performance of our trading framework across multiple stocks, highlighting the consistency and robustness of TradingAgents's results.</w:t>
      </w:r>
    </w:p>
    <w:p w14:paraId="1FE582D5">
      <w:pPr>
        <w:keepNext/>
        <w:jc w:val="center"/>
      </w:pPr>
      <w:r>
        <w:drawing>
          <wp:inline xmlns:a="http://schemas.openxmlformats.org/drawingml/2006/main" xmlns:pic="http://schemas.openxmlformats.org/drawingml/2006/picture">
            <wp:extent cx="4752000" cy="2842125"/>
            <wp:docPr id="29" name="Picture 29"/>
            <wp:cNvGraphicFramePr>
              <a:graphicFrameLocks noChangeAspect="1"/>
            </wp:cNvGraphicFramePr>
            <a:graphic>
              <a:graphicData uri="http://schemas.openxmlformats.org/drawingml/2006/picture">
                <pic:pic>
                  <pic:nvPicPr>
                    <pic:cNvPr id="0" name="figures_AMZN_details_pdf.png"/>
                    <pic:cNvPicPr/>
                  </pic:nvPicPr>
                  <pic:blipFill>
                    <a:blip r:embed="rId42"/>
                    <a:stretch>
                      <a:fillRect/>
                    </a:stretch>
                  </pic:blipFill>
                  <pic:spPr>
                    <a:xfrm>
                      <a:off x="0" y="0"/>
                      <a:ext cx="4752000" cy="2842125"/>
                    </a:xfrm>
                    <a:prstGeom prst="rect"/>
                  </pic:spPr>
                </pic:pic>
              </a:graphicData>
            </a:graphic>
          </wp:inline>
        </w:drawing>
      </w:r>
    </w:p>
    <w:p w14:paraId="1FE582D5">
      <w:pPr>
        <w:keepLines/>
        <w:jc w:val="left"/>
      </w:pPr>
      <w:r>
        <w:rPr>
          <w:rFonts w:ascii="Times New Roman" w:hAnsi="Times New Roman" w:eastAsia="Times New Roman"/>
          <w:sz w:val="19"/>
        </w:rPr>
        <w:t>TradingAgents: Transaction History for AMZN. Detailed transaction history with Green / Red arrows for Long / Short positions.</w:t>
      </w:r>
    </w:p>
    <w:p w14:paraId="1FE582D5">
      <w:pPr>
        <w:keepNext/>
        <w:jc w:val="center"/>
      </w:pPr>
      <w:r>
        <w:drawing>
          <wp:inline xmlns:a="http://schemas.openxmlformats.org/drawingml/2006/main" xmlns:pic="http://schemas.openxmlformats.org/drawingml/2006/picture">
            <wp:extent cx="4752000" cy="3168000"/>
            <wp:docPr id="30" name="Picture 30"/>
            <wp:cNvGraphicFramePr>
              <a:graphicFrameLocks noChangeAspect="1"/>
            </wp:cNvGraphicFramePr>
            <a:graphic>
              <a:graphicData uri="http://schemas.openxmlformats.org/drawingml/2006/picture">
                <pic:pic>
                  <pic:nvPicPr>
                    <pic:cNvPr id="0" name="figures_AMZN_compare_pdf.png"/>
                    <pic:cNvPicPr/>
                  </pic:nvPicPr>
                  <pic:blipFill>
                    <a:blip r:embed="rId43"/>
                    <a:stretch>
                      <a:fillRect/>
                    </a:stretch>
                  </pic:blipFill>
                  <pic:spPr>
                    <a:xfrm>
                      <a:off x="0" y="0"/>
                      <a:ext cx="4752000" cy="3168000"/>
                    </a:xfrm>
                    <a:prstGeom prst="rect"/>
                  </pic:spPr>
                </pic:pic>
              </a:graphicData>
            </a:graphic>
          </wp:inline>
        </w:drawing>
      </w:r>
    </w:p>
    <w:p w14:paraId="1FE582D5">
      <w:pPr>
        <w:keepLines/>
        <w:jc w:val="left"/>
      </w:pPr>
      <w:r>
        <w:rPr>
          <w:rFonts w:ascii="Times New Roman" w:hAnsi="Times New Roman" w:eastAsia="Times New Roman"/>
          <w:sz w:val="19"/>
        </w:rPr>
        <w:t>TradingAgents: Cumulative Returns for AMZN. Performance comparison showing cumulative returns.</w:t>
      </w:r>
    </w:p>
    <w:p w14:paraId="1FE582D5">
      <w:pPr>
        <w:keepNext/>
        <w:jc w:val="center"/>
      </w:pPr>
      <w:r>
        <w:drawing>
          <wp:inline xmlns:a="http://schemas.openxmlformats.org/drawingml/2006/main" xmlns:pic="http://schemas.openxmlformats.org/drawingml/2006/picture">
            <wp:extent cx="4752000" cy="2420594"/>
            <wp:docPr id="31" name="Picture 31"/>
            <wp:cNvGraphicFramePr>
              <a:graphicFrameLocks noChangeAspect="1"/>
            </wp:cNvGraphicFramePr>
            <a:graphic>
              <a:graphicData uri="http://schemas.openxmlformats.org/drawingml/2006/picture">
                <pic:pic>
                  <pic:nvPicPr>
                    <pic:cNvPr id="0" name="figures_GOOGL_details_pdf.png"/>
                    <pic:cNvPicPr/>
                  </pic:nvPicPr>
                  <pic:blipFill>
                    <a:blip r:embed="rId44"/>
                    <a:stretch>
                      <a:fillRect/>
                    </a:stretch>
                  </pic:blipFill>
                  <pic:spPr>
                    <a:xfrm>
                      <a:off x="0" y="0"/>
                      <a:ext cx="4752000" cy="2420594"/>
                    </a:xfrm>
                    <a:prstGeom prst="rect"/>
                  </pic:spPr>
                </pic:pic>
              </a:graphicData>
            </a:graphic>
          </wp:inline>
        </w:drawing>
      </w:r>
    </w:p>
    <w:p w14:paraId="1FE582D5">
      <w:pPr>
        <w:keepLines/>
        <w:jc w:val="left"/>
      </w:pPr>
      <w:r>
        <w:rPr>
          <w:rFonts w:ascii="Times New Roman" w:hAnsi="Times New Roman" w:eastAsia="Times New Roman"/>
          <w:sz w:val="19"/>
        </w:rPr>
        <w:t>TradingAgents: Transaction History for GOOGL. Detailed transaction history with Green / Red arrows for Long / Short positions.</w:t>
      </w:r>
    </w:p>
    <w:p w14:paraId="1FE582D5">
      <w:pPr>
        <w:keepNext/>
        <w:jc w:val="center"/>
      </w:pPr>
      <w:r>
        <w:drawing>
          <wp:inline xmlns:a="http://schemas.openxmlformats.org/drawingml/2006/main" xmlns:pic="http://schemas.openxmlformats.org/drawingml/2006/picture">
            <wp:extent cx="4752000" cy="3168000"/>
            <wp:docPr id="32" name="Picture 32"/>
            <wp:cNvGraphicFramePr>
              <a:graphicFrameLocks noChangeAspect="1"/>
            </wp:cNvGraphicFramePr>
            <a:graphic>
              <a:graphicData uri="http://schemas.openxmlformats.org/drawingml/2006/picture">
                <pic:pic>
                  <pic:nvPicPr>
                    <pic:cNvPr id="0" name="figures_GOOGL_compare_pdf.png"/>
                    <pic:cNvPicPr/>
                  </pic:nvPicPr>
                  <pic:blipFill>
                    <a:blip r:embed="rId45"/>
                    <a:stretch>
                      <a:fillRect/>
                    </a:stretch>
                  </pic:blipFill>
                  <pic:spPr>
                    <a:xfrm>
                      <a:off x="0" y="0"/>
                      <a:ext cx="4752000" cy="3168000"/>
                    </a:xfrm>
                    <a:prstGeom prst="rect"/>
                  </pic:spPr>
                </pic:pic>
              </a:graphicData>
            </a:graphic>
          </wp:inline>
        </w:drawing>
      </w:r>
    </w:p>
    <w:p w14:paraId="1FE582D5">
      <w:pPr>
        <w:keepLines/>
        <w:jc w:val="left"/>
      </w:pPr>
      <w:r>
        <w:rPr>
          <w:rFonts w:ascii="Times New Roman" w:hAnsi="Times New Roman" w:eastAsia="Times New Roman"/>
          <w:sz w:val="19"/>
        </w:rPr>
        <w:t>TradingAgents: Cumulative Returns for GOOGL. Performance comparison showing cumulative returns.</w:t>
      </w:r>
    </w:p>
    <w:p w14:paraId="1FE582D5">
      <w:pPr>
        <w:jc w:val="left"/>
      </w:pPr>
      <w:r>
        <w:rPr>
          <w:rFonts w:ascii="Times New Roman" w:hAnsi="Times New Roman" w:eastAsia="Times New Roman"/>
          <w:sz w:val="19"/>
        </w:rPr>
        <w:t>By including detailed analyses for AMZN and GOOGL, we aim to demonstrate the versatility of our approach in diverse market environments, thereby reinforcing the overall effectiveness and generalizability of our methodology.</w:t>
      </w:r>
    </w:p>
    <w:p w14:paraId="1FE582D5">
      <w:pPr>
        <w:jc w:val="left"/>
      </w:pPr>
      <w:r>
        <w:rPr>
          <w:rFonts w:ascii="Times New Roman" w:hAnsi="Times New Roman" w:eastAsia="Times New Roman"/>
          <w:b/>
          <w:sz w:val="21"/>
        </w:rPr>
        <w:t>TradingAgents Workflow: Role Specification and Cooperation</w:t>
      </w:r>
    </w:p>
    <w:p w14:paraId="1FE582D5">
      <w:pPr>
        <w:jc w:val="left"/>
      </w:pPr>
      <w:r>
        <w:rPr>
          <w:rFonts w:ascii="Times New Roman" w:hAnsi="Times New Roman" w:eastAsia="Times New Roman"/>
          <w:sz w:val="19"/>
        </w:rPr>
        <w:t>We offer a comprehensive overview of the various agent roles that collaborate within the TradingAgents. These roles include the Analyst Team, Researcher Team, Trader, Risk Management Team, and Fund Manager, each dedicated to different aspects of the trading process for Apple Inc. (Ticker: AAPL) as of November 19, 2024, a recent date chosen for demonstration purposes.</w:t>
      </w:r>
    </w:p>
    <w:p w14:paraId="1FE582D5">
      <w:pPr>
        <w:jc w:val="left"/>
      </w:pPr>
      <w:r>
        <w:rPr>
          <w:rFonts w:ascii="Times New Roman" w:hAnsi="Times New Roman" w:eastAsia="Times New Roman"/>
          <w:sz w:val="19"/>
        </w:rPr>
        <w:t>By detailing the responsibilities and interactions of each agent, we demonstrate how TradingAgents ensures thorough analysis, strategic trading decisions, and effective risk management. The collaborative structure not only enhances the system's overall performance but also reinforces the transparency and explainability of TradingAgents, aligning with the objectives discussed in the main text. The following sections provide specific role specifications and illustrate how these agents work together to achieve robust and interpretable trading outcomes.</w:t>
      </w:r>
    </w:p>
    <w:p w14:paraId="1FE582D5">
      <w:pPr>
        <w:jc w:val="left"/>
      </w:pPr>
      <w:r>
        <w:rPr>
          <w:rFonts w:ascii="Times New Roman" w:hAnsi="Times New Roman" w:eastAsia="Times New Roman"/>
          <w:sz w:val="19"/>
        </w:rPr>
        <w:t>lightbluergb0.90, 0.95, 1.0 lightbeigergb0.98, 0.96, 0.92 lightgreenrgb0.88, 0.95, 0.88 lightyellowrgb1.0, 1.0, 0.90 lightpinkrgb1.0, 0.90, 0.94 lightpurplergb0.85, 0.80, 1.0 lightorangergb1.0, 0.94, 0.86 lightredrgb1.0, 0.86, 0.86 lightmintrgb0.92, 1.0, 0.96 lightlilacrgb0.90, 0.85, 1.0</w:t>
      </w:r>
    </w:p>
    <w:p w14:paraId="1FE582D5">
      <w:pPr>
        <w:jc w:val="left"/>
      </w:pPr>
      <w:r>
        <w:rPr>
          <w:rFonts w:ascii="Times New Roman" w:hAnsi="Times New Roman" w:eastAsia="Times New Roman"/>
          <w:sz w:val="19"/>
        </w:rPr>
        <w:t>agentbase basicstyle=, frame=none, xleftmargin=0cm, numbers=none, breaklines=true, breakatwhitespace=false,</w:t>
      </w:r>
    </w:p>
    <w:p w14:paraId="1FE582D5">
      <w:pPr>
        <w:jc w:val="left"/>
      </w:pPr>
      <w:r>
        <w:rPr>
          <w:rFonts w:ascii="Times New Roman" w:hAnsi="Times New Roman" w:eastAsia="Times New Roman"/>
          <w:b/>
          <w:sz w:val="21"/>
        </w:rPr>
        <w:t>TradingAgents: Market Analyst Team – Apple (AAPL)</w:t>
      </w:r>
    </w:p>
    <w:p w14:paraId="1FE582D5">
      <w:pPr>
        <w:jc w:val="left"/>
      </w:pPr>
      <w:r>
        <w:rPr>
          <w:rFonts w:ascii="Times New Roman" w:hAnsi="Times New Roman" w:eastAsia="Consolas"/>
          <w:sz w:val="16"/>
        </w:rPr>
        <w:t>[style=agentbase]</w:t>
      </w:r>
    </w:p>
    <w:p w14:paraId="1FE582D5">
      <w:pPr>
        <w:jc w:val="left"/>
      </w:pPr>
      <w:r>
        <w:rPr>
          <w:rFonts w:ascii="Times New Roman" w:hAnsi="Times New Roman" w:eastAsia="Consolas"/>
          <w:sz w:val="16"/>
        </w:rPr>
        <w:t>[Market Analyst]:</w:t>
      </w:r>
    </w:p>
    <w:p w14:paraId="1FE582D5">
      <w:pPr>
        <w:jc w:val="left"/>
      </w:pPr>
      <w:r>
        <w:rPr>
          <w:rFonts w:ascii="Times New Roman" w:hAnsi="Times New Roman" w:eastAsia="Consolas"/>
          <w:sz w:val="16"/>
        </w:rPr>
        <w:t>================================== Report ==================================</w:t>
      </w:r>
    </w:p>
    <w:p w14:paraId="1FE582D5">
      <w:pPr>
        <w:jc w:val="left"/>
      </w:pPr>
      <w:r>
        <w:rPr>
          <w:rFonts w:ascii="Times New Roman" w:hAnsi="Times New Roman" w:eastAsia="Consolas"/>
          <w:sz w:val="16"/>
        </w:rPr>
        <w:t>Based on the analysis of AAPL's recent market data and selected technical indicators, here is a detailed and nuanced report of the trends observed:</w:t>
      </w:r>
    </w:p>
    <w:p w14:paraId="1FE582D5">
      <w:pPr>
        <w:jc w:val="left"/>
      </w:pPr>
      <w:r>
        <w:rPr>
          <w:rFonts w:ascii="Times New Roman" w:hAnsi="Times New Roman" w:eastAsia="Consolas"/>
          <w:sz w:val="16"/>
        </w:rPr>
        <w:t>### Momentum Indicators</w:t>
      </w:r>
    </w:p>
    <w:p w14:paraId="1FE582D5">
      <w:pPr>
        <w:jc w:val="left"/>
      </w:pPr>
      <w:r>
        <w:rPr>
          <w:rFonts w:ascii="Times New Roman" w:hAnsi="Times New Roman" w:eastAsia="Consolas"/>
          <w:sz w:val="16"/>
        </w:rPr>
        <w:t>- **RSI (Relative Strength Index)**: The RSI values indicate significant fluctuations, with periods of overbought conditions, particularly on November 5 and November 7, where RSI values reached 100 and 89.85, respectively. This suggests strong upward price movements, potentially leading to price corrections. The RSI stabilizes towards the end of the period, indicating moderate buying momentum.</w:t>
      </w:r>
    </w:p>
    <w:p w14:paraId="1FE582D5">
      <w:pPr>
        <w:jc w:val="left"/>
      </w:pPr>
      <w:r>
        <w:rPr>
          <w:rFonts w:ascii="Times New Roman" w:hAnsi="Times New Roman" w:eastAsia="Consolas"/>
          <w:sz w:val="16"/>
        </w:rPr>
        <w:t>### Trend Indicators</w:t>
      </w:r>
    </w:p>
    <w:p w14:paraId="1FE582D5">
      <w:pPr>
        <w:jc w:val="left"/>
      </w:pPr>
      <w:r>
        <w:rPr>
          <w:rFonts w:ascii="Times New Roman" w:hAnsi="Times New Roman" w:eastAsia="Consolas"/>
          <w:sz w:val="16"/>
        </w:rPr>
        <w:t>- **ADX (Average Directional Index)**: Initially, the ADX values are extremely high, indicating a strong trend, but they decline significantly, suggesting a weakening trend strength. This pattern implies a transition from a strong directional movement to a potential consolidation phase.</w:t>
      </w:r>
    </w:p>
    <w:p w14:paraId="1FE582D5">
      <w:pPr>
        <w:jc w:val="left"/>
      </w:pPr>
      <w:r>
        <w:rPr>
          <w:rFonts w:ascii="Times New Roman" w:hAnsi="Times New Roman" w:eastAsia="Consolas"/>
          <w:sz w:val="16"/>
        </w:rPr>
        <w:t>- **Supertrend**: The supertrend indicator remains constant, suggesting a stable market trend without significant volatility. This stability might indicate a consolidation phase, with the potential for future breakouts.</w:t>
      </w:r>
    </w:p>
    <w:p w14:paraId="1FE582D5">
      <w:pPr>
        <w:jc w:val="left"/>
      </w:pPr>
      <w:r>
        <w:rPr>
          <w:rFonts w:ascii="Times New Roman" w:hAnsi="Times New Roman" w:eastAsia="Consolas"/>
          <w:sz w:val="16"/>
        </w:rPr>
        <w:t>### Volatility Indicators</w:t>
      </w:r>
    </w:p>
    <w:p w14:paraId="1FE582D5">
      <w:pPr>
        <w:jc w:val="left"/>
      </w:pPr>
      <w:r>
        <w:rPr>
          <w:rFonts w:ascii="Times New Roman" w:hAnsi="Times New Roman" w:eastAsia="Consolas"/>
          <w:sz w:val="16"/>
        </w:rPr>
        <w:t>- **Bollinger Bands**: The upward trend in Bollinger Bands suggests a bullish market phase with low volatility. The consistent rise in values indicates a positive market bias, with prices likely to continue rising if the trend persists.</w:t>
      </w:r>
    </w:p>
    <w:p w14:paraId="1FE582D5">
      <w:pPr>
        <w:jc w:val="left"/>
      </w:pPr>
      <w:r>
        <w:rPr>
          <w:rFonts w:ascii="Times New Roman" w:hAnsi="Times New Roman" w:eastAsia="Consolas"/>
          <w:sz w:val="16"/>
        </w:rPr>
        <w:t>- **ATR (Average True Range)**: The ATR values show an increase in market volatility, peaking on November 7. This suggests heightened market activity, with sustained volatility towards the end of the period.</w:t>
      </w:r>
    </w:p>
    <w:p w14:paraId="1FE582D5">
      <w:pPr>
        <w:jc w:val="left"/>
      </w:pPr>
      <w:r>
        <w:rPr>
          <w:rFonts w:ascii="Times New Roman" w:hAnsi="Times New Roman" w:eastAsia="Consolas"/>
          <w:sz w:val="16"/>
        </w:rPr>
        <w:t>### Volume Indicators</w:t>
      </w:r>
    </w:p>
    <w:p w14:paraId="1FE582D5">
      <w:pPr>
        <w:jc w:val="left"/>
      </w:pPr>
      <w:r>
        <w:rPr>
          <w:rFonts w:ascii="Times New Roman" w:hAnsi="Times New Roman" w:eastAsia="Consolas"/>
          <w:sz w:val="16"/>
        </w:rPr>
        <w:t>- **VR (Volume Variation Index)**: The VR values highlight significant fluctuations in trading volume, with a notable spike on November 5. This indicates heightened market activity, possibly due to external factors influencing trader behavior.</w:t>
      </w:r>
    </w:p>
    <w:p w14:paraId="1FE582D5">
      <w:pPr>
        <w:jc w:val="left"/>
      </w:pPr>
      <w:r>
        <w:rPr>
          <w:rFonts w:ascii="Times New Roman" w:hAnsi="Times New Roman" w:eastAsia="Consolas"/>
          <w:sz w:val="16"/>
        </w:rPr>
        <w:t>### Price Action and Support/Resistance</w:t>
      </w:r>
    </w:p>
    <w:p w14:paraId="1FE582D5">
      <w:pPr>
        <w:jc w:val="left"/>
      </w:pPr>
      <w:r>
        <w:rPr>
          <w:rFonts w:ascii="Times New Roman" w:hAnsi="Times New Roman" w:eastAsia="Consolas"/>
          <w:sz w:val="16"/>
        </w:rPr>
        <w:t>- **CCI (Commodity Channel Index)**: The CCI values indicate volatility, with several instances of overbought conditions. Peaks on November 7, November 14, and November 18 suggest strong upward price movements, which could be followed by corrections.</w:t>
      </w:r>
    </w:p>
    <w:p w14:paraId="1FE582D5">
      <w:pPr>
        <w:jc w:val="left"/>
      </w:pPr>
      <w:r>
        <w:rPr>
          <w:rFonts w:ascii="Times New Roman" w:hAnsi="Times New Roman" w:eastAsia="Consolas"/>
          <w:sz w:val="16"/>
        </w:rPr>
        <w:t>### Moving Averages</w:t>
      </w:r>
    </w:p>
    <w:p w14:paraId="1FE582D5">
      <w:pPr>
        <w:jc w:val="left"/>
      </w:pPr>
      <w:r>
        <w:rPr>
          <w:rFonts w:ascii="Times New Roman" w:hAnsi="Times New Roman" w:eastAsia="Consolas"/>
          <w:sz w:val="16"/>
        </w:rPr>
        <w:t>- **MACD (Moving Average Convergence Divergence)**: The MACD values indicate a general upward trend, with some fluctuations and minor pullbacks. The increasing MACD values suggest bullish market sentiment, with the short-term moving average consistently above the long-term average.</w:t>
      </w:r>
    </w:p>
    <w:p w14:paraId="1FE582D5">
      <w:pPr>
        <w:jc w:val="left"/>
      </w:pPr>
      <w:r>
        <w:rPr>
          <w:rFonts w:ascii="Times New Roman" w:hAnsi="Times New Roman" w:eastAsia="Consolas"/>
          <w:sz w:val="16"/>
        </w:rPr>
        <w:t>### Summary and Insights</w:t>
      </w:r>
    </w:p>
    <w:p w14:paraId="1FE582D5">
      <w:pPr>
        <w:jc w:val="left"/>
      </w:pPr>
      <w:r>
        <w:rPr>
          <w:rFonts w:ascii="Times New Roman" w:hAnsi="Times New Roman" w:eastAsia="Consolas"/>
          <w:sz w:val="16"/>
        </w:rPr>
        <w:t>The analysis of AAPL's recent market data reveals a period of volatility with alternating phases of strong buying momentum and stabilization. The initial overbought conditions and high ADX values suggest a strong trend, which weakens over time, indicating potential consolidation. The consistent upward trend in Bollinger Bands and MACD values points to a bullish market sentiment, while the fluctuations in ATR and VR values highlight ongoing market volatility.</w:t>
      </w:r>
    </w:p>
    <w:p w14:paraId="1FE582D5">
      <w:pPr>
        <w:jc w:val="left"/>
      </w:pPr>
      <w:r>
        <w:rPr>
          <w:rFonts w:ascii="Times New Roman" w:hAnsi="Times New Roman" w:eastAsia="Consolas"/>
          <w:sz w:val="16"/>
        </w:rPr>
        <w:t>Traders should be cautious of potential price corrections following the overbought conditions and consider the possibility of continued volatility. The stable supertrend value suggests a consolidation phase, with potential for future breakouts. Overall, traders should remain vigilant, using these insights to adjust their strategies accordingly, while being prepared for both opportunities and risks presented by the current market conditions.</w:t>
      </w:r>
    </w:p>
    <w:p w14:paraId="1FE582D5">
      <w:pPr>
        <w:jc w:val="left"/>
      </w:pPr>
      <w:r>
        <w:rPr>
          <w:rFonts w:ascii="Times New Roman" w:hAnsi="Times New Roman" w:eastAsia="Consolas"/>
          <w:sz w:val="16"/>
        </w:rPr>
        <w:t>================================ Tool Calls ================================</w:t>
      </w:r>
    </w:p>
    <w:p w14:paraId="1FE582D5">
      <w:pPr>
        <w:jc w:val="left"/>
      </w:pPr>
      <w:r>
        <w:rPr>
          <w:rFonts w:ascii="Times New Roman" w:hAnsi="Times New Roman" w:eastAsia="Consolas"/>
          <w:sz w:val="16"/>
        </w:rPr>
        <w:t>Tool Calls:</w:t>
      </w:r>
    </w:p>
    <w:p w14:paraId="1FE582D5">
      <w:pPr>
        <w:jc w:val="left"/>
      </w:pPr>
      <w:r>
        <w:rPr>
          <w:rFonts w:ascii="Times New Roman" w:hAnsi="Times New Roman" w:eastAsia="Consolas"/>
          <w:sz w:val="16"/>
        </w:rPr>
        <w:t xml:space="preserve">  get_YFin_data (call_TuDo4m3U0lkgtV61Qpq3UIiT)</w:t>
      </w:r>
    </w:p>
    <w:p w14:paraId="1FE582D5">
      <w:pPr>
        <w:jc w:val="left"/>
      </w:pPr>
      <w:r>
        <w:rPr>
          <w:rFonts w:ascii="Times New Roman" w:hAnsi="Times New Roman" w:eastAsia="Consolas"/>
          <w:sz w:val="16"/>
        </w:rPr>
        <w:t xml:space="preserve"> Call ID: call_TuDo4m3U0lkgtV61Qpq3UIiT</w:t>
      </w:r>
    </w:p>
    <w:p w14:paraId="1FE582D5">
      <w:pPr>
        <w:jc w:val="left"/>
      </w:pPr>
      <w:r>
        <w:rPr>
          <w:rFonts w:ascii="Times New Roman" w:hAnsi="Times New Roman" w:eastAsia="Consolas"/>
          <w:sz w:val="16"/>
        </w:rPr>
        <w:t xml:space="preserve">  Args:</w:t>
      </w:r>
    </w:p>
    <w:p w14:paraId="1FE582D5">
      <w:pPr>
        <w:jc w:val="left"/>
      </w:pPr>
      <w:r>
        <w:rPr>
          <w:rFonts w:ascii="Times New Roman" w:hAnsi="Times New Roman" w:eastAsia="Consolas"/>
          <w:sz w:val="16"/>
        </w:rPr>
        <w:t xml:space="preserve">    symbol: AAPL</w:t>
      </w:r>
    </w:p>
    <w:p w14:paraId="1FE582D5">
      <w:pPr>
        <w:jc w:val="left"/>
      </w:pPr>
      <w:r>
        <w:rPr>
          <w:rFonts w:ascii="Times New Roman" w:hAnsi="Times New Roman" w:eastAsia="Consolas"/>
          <w:sz w:val="16"/>
        </w:rPr>
        <w:t xml:space="preserve">    curr_date: 2024-11-19</w:t>
      </w:r>
    </w:p>
    <w:p w14:paraId="1FE582D5">
      <w:pPr>
        <w:jc w:val="left"/>
      </w:pPr>
      <w:r>
        <w:rPr>
          <w:rFonts w:ascii="Times New Roman" w:hAnsi="Times New Roman" w:eastAsia="Consolas"/>
          <w:sz w:val="16"/>
        </w:rPr>
        <w:t>Based on the recent market data for Apple (AAPL) from November 4, 2024, to November 18, 2024, we can observe several key trends and patterns:</w:t>
      </w:r>
    </w:p>
    <w:p w14:paraId="1FE582D5">
      <w:pPr>
        <w:jc w:val="left"/>
      </w:pPr>
      <w:r>
        <w:rPr>
          <w:rFonts w:ascii="Times New Roman" w:hAnsi="Times New Roman" w:eastAsia="Consolas"/>
          <w:b/>
          <w:sz w:val="16"/>
        </w:rPr>
        <w:t>1. **Price Movement**: AAPL has shown a general upward trend over the period, with the stock price increasing from an opening of</w:t>
      </w:r>
    </w:p>
    <w:p w14:paraId="1FE582D5">
      <w:pPr>
        <w:jc w:val="left"/>
      </w:pPr>
      <w:r>
        <w:rPr>
          <w:rFonts w:ascii="Times New Roman" w:hAnsi="Times New Roman" w:eastAsia="Consolas"/>
          <w:sz w:val="16"/>
        </w:rPr>
        <w:t>$220.75 on November 4 to a closing of $228.02 on November 18. The stock experienced fluctuations, with notable highs on November</w:t>
      </w:r>
    </w:p>
    <w:p w14:paraId="1FE582D5">
      <w:pPr>
        <w:jc w:val="left"/>
      </w:pPr>
      <w:r>
        <w:rPr>
          <w:rFonts w:ascii="Times New Roman" w:hAnsi="Times New Roman" w:eastAsia="Consolas"/>
          <w:sz w:val="16"/>
        </w:rPr>
        <w:t>7 and November 14, reaching $227.63 and $228.87, respectively.</w:t>
      </w:r>
    </w:p>
    <w:p w14:paraId="1FE582D5">
      <w:pPr>
        <w:jc w:val="left"/>
      </w:pPr>
      <w:r>
        <w:rPr>
          <w:rFonts w:ascii="Times New Roman" w:hAnsi="Times New Roman" w:eastAsia="Consolas"/>
          <w:b/>
          <w:sz w:val="16"/>
        </w:rPr>
        <w:t>2. **Volume Trends**: Trading volume varied significantly, with a peak on November 6 at 54,561,100 shares. This suggests heightened trading activity, possibly due to market events or investor sentiment changes.</w:t>
      </w:r>
    </w:p>
    <w:p w14:paraId="1FE582D5">
      <w:pPr>
        <w:jc w:val="left"/>
      </w:pPr>
      <w:r>
        <w:rPr>
          <w:rFonts w:ascii="Times New Roman" w:hAnsi="Times New Roman" w:eastAsia="Consolas"/>
          <w:b/>
          <w:sz w:val="16"/>
        </w:rPr>
        <w:t>3. **Dividend Payment**: A dividend of $0.25 per share was paid on November 8, which might have influenced investor behavior, potentially contributing to the price movements observed around this date.</w:t>
      </w:r>
    </w:p>
    <w:p w14:paraId="1FE582D5">
      <w:pPr>
        <w:jc w:val="left"/>
      </w:pPr>
      <w:r>
        <w:rPr>
          <w:rFonts w:ascii="Times New Roman" w:hAnsi="Times New Roman" w:eastAsia="Consolas"/>
          <w:b/>
          <w:sz w:val="16"/>
        </w:rPr>
        <w:t>4. **Volatility**: The stock showed some volatility, with daily price ranges (highs and lows) indicating active trading and potential market reactions to news or earnings reports.</w:t>
      </w:r>
    </w:p>
    <w:p w14:paraId="1FE582D5">
      <w:pPr>
        <w:jc w:val="left"/>
      </w:pPr>
      <w:r>
        <w:rPr>
          <w:rFonts w:ascii="Times New Roman" w:hAnsi="Times New Roman" w:eastAsia="Consolas"/>
          <w:sz w:val="16"/>
        </w:rPr>
        <w:t>To provide a comprehensive analysis, I will select a set of technical indicators that can offer diverse insights into AAPL's market behavior. These indicators will cover momentum, trend, volatility, volume, and price action aspects:</w:t>
      </w:r>
    </w:p>
    <w:p w14:paraId="1FE582D5">
      <w:pPr>
        <w:jc w:val="left"/>
      </w:pPr>
      <w:r>
        <w:rPr>
          <w:rFonts w:ascii="Times New Roman" w:hAnsi="Times New Roman" w:eastAsia="Consolas"/>
          <w:b/>
          <w:sz w:val="16"/>
        </w:rPr>
        <w:t>1. **RSI (Relative Strength Index)**: To assess momentum and identify overbought or oversold conditions.</w:t>
      </w:r>
    </w:p>
    <w:p w14:paraId="1FE582D5">
      <w:pPr>
        <w:jc w:val="left"/>
      </w:pPr>
      <w:r>
        <w:rPr>
          <w:rFonts w:ascii="Times New Roman" w:hAnsi="Times New Roman" w:eastAsia="Consolas"/>
          <w:b/>
          <w:sz w:val="16"/>
        </w:rPr>
        <w:t>2. **ADX (Average Directional Index)**: To evaluate the strength of the current trend.</w:t>
      </w:r>
    </w:p>
    <w:p w14:paraId="1FE582D5">
      <w:pPr>
        <w:jc w:val="left"/>
      </w:pPr>
      <w:r>
        <w:rPr>
          <w:rFonts w:ascii="Times New Roman" w:hAnsi="Times New Roman" w:eastAsia="Consolas"/>
          <w:b/>
          <w:sz w:val="16"/>
        </w:rPr>
        <w:t>3. **Bollinger Bands**: To analyze volatility and potential price breakouts.</w:t>
      </w:r>
    </w:p>
    <w:p w14:paraId="1FE582D5">
      <w:pPr>
        <w:jc w:val="left"/>
      </w:pPr>
      <w:r>
        <w:rPr>
          <w:rFonts w:ascii="Times New Roman" w:hAnsi="Times New Roman" w:eastAsia="Consolas"/>
          <w:b/>
          <w:sz w:val="16"/>
        </w:rPr>
        <w:t>4. **MACD (Moving Average Convergence Divergence)**: To identify trend changes and momentum.</w:t>
      </w:r>
    </w:p>
    <w:p w14:paraId="1FE582D5">
      <w:pPr>
        <w:jc w:val="left"/>
      </w:pPr>
      <w:r>
        <w:rPr>
          <w:rFonts w:ascii="Times New Roman" w:hAnsi="Times New Roman" w:eastAsia="Consolas"/>
          <w:b/>
          <w:sz w:val="16"/>
        </w:rPr>
        <w:t>5. **VWMA (Volume Weighted Moving Average)**: To understand price movements in relation to volume.</w:t>
      </w:r>
    </w:p>
    <w:p w14:paraId="1FE582D5">
      <w:pPr>
        <w:jc w:val="left"/>
      </w:pPr>
      <w:r>
        <w:rPr>
          <w:rFonts w:ascii="Times New Roman" w:hAnsi="Times New Roman" w:eastAsia="Consolas"/>
          <w:b/>
          <w:sz w:val="16"/>
        </w:rPr>
        <w:t>6. **ATR (Average True Range)**: To measure market volatility.</w:t>
      </w:r>
    </w:p>
    <w:p w14:paraId="1FE582D5">
      <w:pPr>
        <w:jc w:val="left"/>
      </w:pPr>
      <w:r>
        <w:rPr>
          <w:rFonts w:ascii="Times New Roman" w:hAnsi="Times New Roman" w:eastAsia="Consolas"/>
          <w:b/>
          <w:sz w:val="16"/>
        </w:rPr>
        <w:t>7. **Supertrend**: To identify trend direction and potential reversals.</w:t>
      </w:r>
    </w:p>
    <w:p w14:paraId="1FE582D5">
      <w:pPr>
        <w:jc w:val="left"/>
      </w:pPr>
      <w:r>
        <w:rPr>
          <w:rFonts w:ascii="Times New Roman" w:hAnsi="Times New Roman" w:eastAsia="Consolas"/>
          <w:b/>
          <w:sz w:val="16"/>
        </w:rPr>
        <w:t>8. **CCI (Commodity Channel Index)**: To identify cyclical trends and potential reversals.</w:t>
      </w:r>
    </w:p>
    <w:p w14:paraId="1FE582D5">
      <w:pPr>
        <w:jc w:val="left"/>
      </w:pPr>
      <w:r>
        <w:rPr>
          <w:rFonts w:ascii="Times New Roman" w:hAnsi="Times New Roman" w:eastAsia="Consolas"/>
          <w:sz w:val="16"/>
        </w:rPr>
        <w:t>I will now retrieve detailed reports for these indicators to provide a nuanced analysis of AAPL's market conditions.</w:t>
      </w:r>
    </w:p>
    <w:p w14:paraId="1FE582D5">
      <w:pPr>
        <w:jc w:val="left"/>
      </w:pPr>
      <w:r>
        <w:rPr>
          <w:rFonts w:ascii="Times New Roman" w:hAnsi="Times New Roman" w:eastAsia="Consolas"/>
          <w:sz w:val="16"/>
        </w:rPr>
        <w:t>Tool Calls:</w:t>
      </w:r>
    </w:p>
    <w:p w14:paraId="1FE582D5">
      <w:pPr>
        <w:jc w:val="left"/>
      </w:pPr>
      <w:r>
        <w:rPr>
          <w:rFonts w:ascii="Times New Roman" w:hAnsi="Times New Roman" w:eastAsia="Consolas"/>
          <w:sz w:val="16"/>
        </w:rPr>
        <w:t xml:space="preserve">  get_stockstats_indicators_report (call_rARQhoVdv6VyzI3a3R9hyhYh)</w:t>
      </w:r>
    </w:p>
    <w:p w14:paraId="1FE582D5">
      <w:pPr>
        <w:jc w:val="left"/>
      </w:pPr>
      <w:r>
        <w:rPr>
          <w:rFonts w:ascii="Times New Roman" w:hAnsi="Times New Roman" w:eastAsia="Consolas"/>
          <w:sz w:val="16"/>
        </w:rPr>
        <w:t xml:space="preserve"> Call ID: call_rARQhoVdv6VyzI3a3R9hyhYh</w:t>
      </w:r>
    </w:p>
    <w:p w14:paraId="1FE582D5">
      <w:pPr>
        <w:jc w:val="left"/>
      </w:pPr>
      <w:r>
        <w:rPr>
          <w:rFonts w:ascii="Times New Roman" w:hAnsi="Times New Roman" w:eastAsia="Consolas"/>
          <w:sz w:val="16"/>
        </w:rPr>
        <w:t xml:space="preserve">  Args:</w:t>
      </w:r>
    </w:p>
    <w:p w14:paraId="1FE582D5">
      <w:pPr>
        <w:jc w:val="left"/>
      </w:pPr>
      <w:r>
        <w:rPr>
          <w:rFonts w:ascii="Times New Roman" w:hAnsi="Times New Roman" w:eastAsia="Consolas"/>
          <w:sz w:val="16"/>
        </w:rPr>
        <w:t xml:space="preserve">    symbol: AAPL</w:t>
      </w:r>
    </w:p>
    <w:p w14:paraId="1FE582D5">
      <w:pPr>
        <w:jc w:val="left"/>
      </w:pPr>
      <w:r>
        <w:rPr>
          <w:rFonts w:ascii="Times New Roman" w:hAnsi="Times New Roman" w:eastAsia="Consolas"/>
          <w:sz w:val="16"/>
        </w:rPr>
        <w:t xml:space="preserve">    indicator: rsi</w:t>
      </w:r>
    </w:p>
    <w:p w14:paraId="1FE582D5">
      <w:pPr>
        <w:jc w:val="left"/>
      </w:pPr>
      <w:r>
        <w:rPr>
          <w:rFonts w:ascii="Times New Roman" w:hAnsi="Times New Roman" w:eastAsia="Consolas"/>
          <w:sz w:val="16"/>
        </w:rPr>
        <w:t xml:space="preserve">    curr_date: 2024-11-19</w:t>
      </w:r>
    </w:p>
    <w:p w14:paraId="1FE582D5">
      <w:pPr>
        <w:jc w:val="left"/>
      </w:pPr>
      <w:r>
        <w:rPr>
          <w:rFonts w:ascii="Times New Roman" w:hAnsi="Times New Roman" w:eastAsia="Consolas"/>
          <w:sz w:val="16"/>
        </w:rPr>
        <w:t xml:space="preserve">  get_stockstats_indicators_report (call_ODamPSS2si621zrEPb4mIitD)</w:t>
      </w:r>
    </w:p>
    <w:p w14:paraId="1FE582D5">
      <w:pPr>
        <w:jc w:val="left"/>
      </w:pPr>
      <w:r>
        <w:rPr>
          <w:rFonts w:ascii="Times New Roman" w:hAnsi="Times New Roman" w:eastAsia="Consolas"/>
          <w:sz w:val="16"/>
        </w:rPr>
        <w:t xml:space="preserve"> Call ID: call_ODamPSS2si621zrEPb4mIitD</w:t>
      </w:r>
    </w:p>
    <w:p w14:paraId="1FE582D5">
      <w:pPr>
        <w:jc w:val="left"/>
      </w:pPr>
      <w:r>
        <w:rPr>
          <w:rFonts w:ascii="Times New Roman" w:hAnsi="Times New Roman" w:eastAsia="Consolas"/>
          <w:sz w:val="16"/>
        </w:rPr>
        <w:t xml:space="preserve">  Args:</w:t>
      </w:r>
    </w:p>
    <w:p w14:paraId="1FE582D5">
      <w:pPr>
        <w:jc w:val="left"/>
      </w:pPr>
      <w:r>
        <w:rPr>
          <w:rFonts w:ascii="Times New Roman" w:hAnsi="Times New Roman" w:eastAsia="Consolas"/>
          <w:sz w:val="16"/>
        </w:rPr>
        <w:t xml:space="preserve">    symbol: AAPL</w:t>
      </w:r>
    </w:p>
    <w:p w14:paraId="1FE582D5">
      <w:pPr>
        <w:jc w:val="left"/>
      </w:pPr>
      <w:r>
        <w:rPr>
          <w:rFonts w:ascii="Times New Roman" w:hAnsi="Times New Roman" w:eastAsia="Consolas"/>
          <w:sz w:val="16"/>
        </w:rPr>
        <w:t xml:space="preserve">    indicator: adx</w:t>
      </w:r>
    </w:p>
    <w:p w14:paraId="1FE582D5">
      <w:pPr>
        <w:jc w:val="left"/>
      </w:pPr>
      <w:r>
        <w:rPr>
          <w:rFonts w:ascii="Times New Roman" w:hAnsi="Times New Roman" w:eastAsia="Consolas"/>
          <w:sz w:val="16"/>
        </w:rPr>
        <w:t xml:space="preserve">    curr_date: 2024-11-19</w:t>
      </w:r>
    </w:p>
    <w:p w14:paraId="1FE582D5">
      <w:pPr>
        <w:jc w:val="left"/>
      </w:pPr>
      <w:r>
        <w:rPr>
          <w:rFonts w:ascii="Times New Roman" w:hAnsi="Times New Roman" w:eastAsia="Consolas"/>
          <w:sz w:val="16"/>
        </w:rPr>
        <w:t xml:space="preserve">  get_stockstats_indicators_report (call_KWgyXj3GgdviC01u5KeFZkbQ)</w:t>
      </w:r>
    </w:p>
    <w:p w14:paraId="1FE582D5">
      <w:pPr>
        <w:jc w:val="left"/>
      </w:pPr>
      <w:r>
        <w:rPr>
          <w:rFonts w:ascii="Times New Roman" w:hAnsi="Times New Roman" w:eastAsia="Consolas"/>
          <w:sz w:val="16"/>
        </w:rPr>
        <w:t xml:space="preserve"> Call ID: call_KWgyXj3GgdviC01u5KeFZkbQ</w:t>
      </w:r>
    </w:p>
    <w:p w14:paraId="1FE582D5">
      <w:pPr>
        <w:jc w:val="left"/>
      </w:pPr>
      <w:r>
        <w:rPr>
          <w:rFonts w:ascii="Times New Roman" w:hAnsi="Times New Roman" w:eastAsia="Consolas"/>
          <w:sz w:val="16"/>
        </w:rPr>
        <w:t xml:space="preserve">  Args:</w:t>
      </w:r>
    </w:p>
    <w:p w14:paraId="1FE582D5">
      <w:pPr>
        <w:jc w:val="left"/>
      </w:pPr>
      <w:r>
        <w:rPr>
          <w:rFonts w:ascii="Times New Roman" w:hAnsi="Times New Roman" w:eastAsia="Consolas"/>
          <w:sz w:val="16"/>
        </w:rPr>
        <w:t xml:space="preserve">    symbol: AAPL</w:t>
      </w:r>
    </w:p>
    <w:p w14:paraId="1FE582D5">
      <w:pPr>
        <w:jc w:val="left"/>
      </w:pPr>
      <w:r>
        <w:rPr>
          <w:rFonts w:ascii="Times New Roman" w:hAnsi="Times New Roman" w:eastAsia="Consolas"/>
          <w:sz w:val="16"/>
        </w:rPr>
        <w:t xml:space="preserve">    indicator: boll</w:t>
      </w:r>
    </w:p>
    <w:p w14:paraId="1FE582D5">
      <w:pPr>
        <w:jc w:val="left"/>
      </w:pPr>
      <w:r>
        <w:rPr>
          <w:rFonts w:ascii="Times New Roman" w:hAnsi="Times New Roman" w:eastAsia="Consolas"/>
          <w:sz w:val="16"/>
        </w:rPr>
        <w:t xml:space="preserve">    curr_date: 2024-11-19</w:t>
      </w:r>
    </w:p>
    <w:p w14:paraId="1FE582D5">
      <w:pPr>
        <w:jc w:val="left"/>
      </w:pPr>
      <w:r>
        <w:rPr>
          <w:rFonts w:ascii="Times New Roman" w:hAnsi="Times New Roman" w:eastAsia="Consolas"/>
          <w:sz w:val="16"/>
        </w:rPr>
        <w:t xml:space="preserve">  get_stockstats_indicators_report (call_hshUKMGu1yvZ4m8YbJE9SaSg)</w:t>
      </w:r>
    </w:p>
    <w:p w14:paraId="1FE582D5">
      <w:pPr>
        <w:jc w:val="left"/>
      </w:pPr>
      <w:r>
        <w:rPr>
          <w:rFonts w:ascii="Times New Roman" w:hAnsi="Times New Roman" w:eastAsia="Consolas"/>
          <w:sz w:val="16"/>
        </w:rPr>
        <w:t xml:space="preserve"> Call ID: call_hshUKMGu1yvZ4m8YbJE9SaSg</w:t>
      </w:r>
    </w:p>
    <w:p w14:paraId="1FE582D5">
      <w:pPr>
        <w:jc w:val="left"/>
      </w:pPr>
      <w:r>
        <w:rPr>
          <w:rFonts w:ascii="Times New Roman" w:hAnsi="Times New Roman" w:eastAsia="Consolas"/>
          <w:sz w:val="16"/>
        </w:rPr>
        <w:t xml:space="preserve">  Args:</w:t>
      </w:r>
    </w:p>
    <w:p w14:paraId="1FE582D5">
      <w:pPr>
        <w:jc w:val="left"/>
      </w:pPr>
      <w:r>
        <w:rPr>
          <w:rFonts w:ascii="Times New Roman" w:hAnsi="Times New Roman" w:eastAsia="Consolas"/>
          <w:sz w:val="16"/>
        </w:rPr>
        <w:t xml:space="preserve">    symbol: AAPL</w:t>
      </w:r>
    </w:p>
    <w:p w14:paraId="1FE582D5">
      <w:pPr>
        <w:jc w:val="left"/>
      </w:pPr>
      <w:r>
        <w:rPr>
          <w:rFonts w:ascii="Times New Roman" w:hAnsi="Times New Roman" w:eastAsia="Consolas"/>
          <w:sz w:val="16"/>
        </w:rPr>
        <w:t xml:space="preserve">    indicator: macd</w:t>
      </w:r>
    </w:p>
    <w:p w14:paraId="1FE582D5">
      <w:pPr>
        <w:jc w:val="left"/>
      </w:pPr>
      <w:r>
        <w:rPr>
          <w:rFonts w:ascii="Times New Roman" w:hAnsi="Times New Roman" w:eastAsia="Consolas"/>
          <w:sz w:val="16"/>
        </w:rPr>
        <w:t xml:space="preserve">    curr_date: 2024-11-19</w:t>
      </w:r>
    </w:p>
    <w:p w14:paraId="1FE582D5">
      <w:pPr>
        <w:jc w:val="left"/>
      </w:pPr>
      <w:r>
        <w:rPr>
          <w:rFonts w:ascii="Times New Roman" w:hAnsi="Times New Roman" w:eastAsia="Consolas"/>
          <w:sz w:val="16"/>
        </w:rPr>
        <w:t xml:space="preserve">  get_stockstats_indicators_report (call_Iq9kq9jA2D5E7Png9lPt9bK5)</w:t>
      </w:r>
    </w:p>
    <w:p w14:paraId="1FE582D5">
      <w:pPr>
        <w:jc w:val="left"/>
      </w:pPr>
      <w:r>
        <w:rPr>
          <w:rFonts w:ascii="Times New Roman" w:hAnsi="Times New Roman" w:eastAsia="Consolas"/>
          <w:sz w:val="16"/>
        </w:rPr>
        <w:t xml:space="preserve"> Call ID: call_Iq9kq9jA2D5E7Png9lPt9bK5</w:t>
      </w:r>
    </w:p>
    <w:p w14:paraId="1FE582D5">
      <w:pPr>
        <w:jc w:val="left"/>
      </w:pPr>
      <w:r>
        <w:rPr>
          <w:rFonts w:ascii="Times New Roman" w:hAnsi="Times New Roman" w:eastAsia="Times New Roman"/>
          <w:b/>
          <w:sz w:val="21"/>
        </w:rPr>
        <w:t>TradingAgents: News Analyst Team – Apple (AAPL)</w:t>
      </w:r>
    </w:p>
    <w:p w14:paraId="1FE582D5">
      <w:pPr>
        <w:jc w:val="left"/>
      </w:pPr>
      <w:r>
        <w:rPr>
          <w:rFonts w:ascii="Times New Roman" w:hAnsi="Times New Roman" w:eastAsia="Consolas"/>
          <w:sz w:val="16"/>
        </w:rPr>
        <w:t>[style=agentbase]</w:t>
      </w:r>
    </w:p>
    <w:p w14:paraId="1FE582D5">
      <w:pPr>
        <w:jc w:val="left"/>
      </w:pPr>
      <w:r>
        <w:rPr>
          <w:rFonts w:ascii="Times New Roman" w:hAnsi="Times New Roman" w:eastAsia="Consolas"/>
          <w:sz w:val="16"/>
        </w:rPr>
        <w:t>[News Analyst]:</w:t>
      </w:r>
    </w:p>
    <w:p w14:paraId="1FE582D5">
      <w:pPr>
        <w:jc w:val="left"/>
      </w:pPr>
      <w:r>
        <w:rPr>
          <w:rFonts w:ascii="Times New Roman" w:hAnsi="Times New Roman" w:eastAsia="Consolas"/>
          <w:sz w:val="16"/>
        </w:rPr>
        <w:t>================================== Report ==================================</w:t>
      </w:r>
    </w:p>
    <w:p w14:paraId="1FE582D5">
      <w:pPr>
        <w:jc w:val="left"/>
      </w:pPr>
      <w:r>
        <w:rPr>
          <w:rFonts w:ascii="Times New Roman" w:hAnsi="Times New Roman" w:eastAsia="Consolas"/>
          <w:sz w:val="16"/>
        </w:rPr>
        <w:t>Based on the recent news from EODHD and Finnhub, here is a comprehensive report on the current state of the world relevant for trading and macroeconomics:</w:t>
      </w:r>
    </w:p>
    <w:p w14:paraId="1FE582D5">
      <w:pPr>
        <w:jc w:val="left"/>
      </w:pPr>
      <w:r>
        <w:rPr>
          <w:rFonts w:ascii="Times New Roman" w:hAnsi="Times New Roman" w:eastAsia="Consolas"/>
          <w:sz w:val="16"/>
        </w:rPr>
        <w:t>### Global Economic and Political Environment</w:t>
      </w:r>
    </w:p>
    <w:p w14:paraId="1FE582D5">
      <w:pPr>
        <w:jc w:val="left"/>
      </w:pPr>
      <w:r>
        <w:rPr>
          <w:rFonts w:ascii="Times New Roman" w:hAnsi="Times New Roman" w:eastAsia="Consolas"/>
          <w:b/>
          <w:sz w:val="16"/>
        </w:rPr>
        <w:t>1. **US-China Relations and Trade**: There is ongoing tension between the US and China, particularly affecting companies like Apple that have significant operations in China. Jim Cramer highlighted the challenges of doing business in China amidst political tensions, which could impact Apple's operations and stock performance.</w:t>
      </w:r>
    </w:p>
    <w:p w14:paraId="1FE582D5">
      <w:pPr>
        <w:jc w:val="left"/>
      </w:pPr>
      <w:r>
        <w:rPr>
          <w:rFonts w:ascii="Times New Roman" w:hAnsi="Times New Roman" w:eastAsia="Consolas"/>
          <w:b/>
          <w:sz w:val="16"/>
        </w:rPr>
        <w:t>2. **US Economic Policy**: The return of Donald Trump to the presidency is creating mixed reactions in the business community. Some tech executives are optimistic about potential deregulation and increased innovation, which could lead to more spending and dealmaking.</w:t>
      </w:r>
    </w:p>
    <w:p w14:paraId="1FE582D5">
      <w:pPr>
        <w:jc w:val="left"/>
      </w:pPr>
      <w:r>
        <w:rPr>
          <w:rFonts w:ascii="Times New Roman" w:hAnsi="Times New Roman" w:eastAsia="Consolas"/>
          <w:b/>
          <w:sz w:val="16"/>
        </w:rPr>
        <w:t>3. **Inflation and Federal Reserve Policy**: The October CPI inflation report showed a rise to 2.6</w:t>
      </w:r>
    </w:p>
    <w:p w14:paraId="1FE582D5">
      <w:pPr>
        <w:jc w:val="left"/>
      </w:pPr>
      <w:r>
        <w:rPr>
          <w:rFonts w:ascii="Times New Roman" w:hAnsi="Times New Roman" w:eastAsia="Consolas"/>
          <w:sz w:val="16"/>
        </w:rPr>
        <w:t>### Sector-Specific Insights</w:t>
      </w:r>
    </w:p>
    <w:p w14:paraId="1FE582D5">
      <w:pPr>
        <w:jc w:val="left"/>
      </w:pPr>
      <w:r>
        <w:rPr>
          <w:rFonts w:ascii="Times New Roman" w:hAnsi="Times New Roman" w:eastAsia="Consolas"/>
          <w:b/>
          <w:sz w:val="16"/>
        </w:rPr>
        <w:t>1. **Technology and AI**:</w:t>
      </w:r>
    </w:p>
    <w:p w14:paraId="1FE582D5">
      <w:pPr>
        <w:jc w:val="left"/>
      </w:pPr>
      <w:r>
        <w:rPr>
          <w:rFonts w:ascii="Times New Roman" w:hAnsi="Times New Roman" w:eastAsia="Consolas"/>
          <w:sz w:val="16"/>
        </w:rPr>
        <w:t>- **Apple**: Apple is expanding into the smart home market with a new AI-powered device, competing with Amazon and Google. Despite strong earnings, there are concerns about overvaluation and challenges in China.</w:t>
      </w:r>
    </w:p>
    <w:p w14:paraId="1FE582D5">
      <w:pPr>
        <w:jc w:val="left"/>
      </w:pPr>
      <w:r>
        <w:rPr>
          <w:rFonts w:ascii="Times New Roman" w:hAnsi="Times New Roman" w:eastAsia="Consolas"/>
          <w:sz w:val="16"/>
        </w:rPr>
        <w:t>- **Google (Alphabet)**: Google is facing pressure from AI competition in the search ad business and ongoing DOJ lawsuits. Analysts have mixed views on its stock, with some not considering it a favored stock currently.</w:t>
      </w:r>
    </w:p>
    <w:p w14:paraId="1FE582D5">
      <w:pPr>
        <w:jc w:val="left"/>
      </w:pPr>
      <w:r>
        <w:rPr>
          <w:rFonts w:ascii="Times New Roman" w:hAnsi="Times New Roman" w:eastAsia="Consolas"/>
          <w:sz w:val="16"/>
        </w:rPr>
        <w:t>- **Amazon**: Amazon is making significant moves into full autonomy and expanding its AI services through AWS. However, its stock recently declined due to broader market corrections and Federal Reserve comments on interest rates.</w:t>
      </w:r>
    </w:p>
    <w:p w14:paraId="1FE582D5">
      <w:pPr>
        <w:jc w:val="left"/>
      </w:pPr>
      <w:r>
        <w:rPr>
          <w:rFonts w:ascii="Times New Roman" w:hAnsi="Times New Roman" w:eastAsia="Consolas"/>
          <w:b/>
          <w:sz w:val="16"/>
        </w:rPr>
        <w:t>2. **Semiconductors**:</w:t>
      </w:r>
    </w:p>
    <w:p w14:paraId="1FE582D5">
      <w:pPr>
        <w:jc w:val="left"/>
      </w:pPr>
      <w:r>
        <w:rPr>
          <w:rFonts w:ascii="Times New Roman" w:hAnsi="Times New Roman" w:eastAsia="Consolas"/>
          <w:sz w:val="16"/>
        </w:rPr>
        <w:t>- **Taiwan Semiconductor Manufacturing Company (TSMC)**: The US has finalized a $6.6 billion subsidy for TSMC's semiconductor production in Arizona, highlighting the strategic importance of semiconductor manufacturing. Despite high demand driven by AI, TSMC is considered overvalued by some analysts due to geopolitical risks and its role in US-China economic competition.</w:t>
      </w:r>
    </w:p>
    <w:p w14:paraId="1FE582D5">
      <w:pPr>
        <w:jc w:val="left"/>
      </w:pPr>
      <w:r>
        <w:rPr>
          <w:rFonts w:ascii="Times New Roman" w:hAnsi="Times New Roman" w:eastAsia="Consolas"/>
          <w:b/>
          <w:sz w:val="16"/>
        </w:rPr>
        <w:t>3. **Investment Trends**:</w:t>
      </w:r>
    </w:p>
    <w:p w14:paraId="1FE582D5">
      <w:pPr>
        <w:jc w:val="left"/>
      </w:pPr>
      <w:r>
        <w:rPr>
          <w:rFonts w:ascii="Times New Roman" w:hAnsi="Times New Roman" w:eastAsia="Consolas"/>
          <w:sz w:val="16"/>
        </w:rPr>
        <w:t>- **AI and Tech Stocks**: There is a continued focus on AI-centric tech giants like Google, Meta, TSMC, Adobe, and Broadcom for potential double-digit returns. The rapid adoption of generative AI is likened to the growth of Facebook, indicating significant investment opportunities in AI technologies.</w:t>
      </w:r>
    </w:p>
    <w:p w14:paraId="1FE582D5">
      <w:pPr>
        <w:jc w:val="left"/>
      </w:pPr>
      <w:r>
        <w:rPr>
          <w:rFonts w:ascii="Times New Roman" w:hAnsi="Times New Roman" w:eastAsia="Consolas"/>
          <w:sz w:val="16"/>
        </w:rPr>
        <w:t>### Market Sentiment and Investor Behavior</w:t>
      </w:r>
    </w:p>
    <w:p w14:paraId="1FE582D5">
      <w:pPr>
        <w:jc w:val="left"/>
      </w:pPr>
      <w:r>
        <w:rPr>
          <w:rFonts w:ascii="Times New Roman" w:hAnsi="Times New Roman" w:eastAsia="Consolas"/>
          <w:b/>
          <w:sz w:val="16"/>
        </w:rPr>
        <w:t>1. **Portfolio Management**: Major investment firms like Fisher Asset Management and GMO Capital have shown increased portfolio values, with significant holdings in tech giants such as Apple, Microsoft, Nvidia, Amazon, and Alphabet.</w:t>
      </w:r>
    </w:p>
    <w:p w14:paraId="1FE582D5">
      <w:pPr>
        <w:jc w:val="left"/>
      </w:pPr>
      <w:r>
        <w:rPr>
          <w:rFonts w:ascii="Times New Roman" w:hAnsi="Times New Roman" w:eastAsia="Consolas"/>
          <w:b/>
          <w:sz w:val="16"/>
        </w:rPr>
        <w:t>2. **Investor Interest**: There is heightened investor interest in Apple, as indicated by increased searches and discussions about its stock prospects. This reflects broader market attention on tech stocks amidst evolving economic conditions.</w:t>
      </w:r>
    </w:p>
    <w:p w14:paraId="1FE582D5">
      <w:pPr>
        <w:jc w:val="left"/>
      </w:pPr>
      <w:r>
        <w:rPr>
          <w:rFonts w:ascii="Times New Roman" w:hAnsi="Times New Roman" w:eastAsia="Consolas"/>
          <w:sz w:val="16"/>
        </w:rPr>
        <w:t>### Conclusion</w:t>
      </w:r>
    </w:p>
    <w:p w14:paraId="1FE582D5">
      <w:pPr>
        <w:jc w:val="left"/>
      </w:pPr>
      <w:r>
        <w:rPr>
          <w:rFonts w:ascii="Times New Roman" w:hAnsi="Times New Roman" w:eastAsia="Consolas"/>
          <w:sz w:val="16"/>
        </w:rPr>
        <w:t>The current global economic landscape is characterized by geopolitical tensions, particularly between the US and China, impacting multinational companies. The technology sector, especially AI and semiconductor industries, remains a focal point for investors, with significant government support and market interest. Inflation management by the Federal Reserve continues to influence market dynamics, affecting investor expectations and stock performance. Traders should consider these factors when making investment decisions, focusing on sectors with strong growth potential and navigating geopolitical risks.</w:t>
      </w:r>
    </w:p>
    <w:p w14:paraId="1FE582D5">
      <w:pPr>
        <w:jc w:val="left"/>
      </w:pPr>
      <w:r>
        <w:rPr>
          <w:rFonts w:ascii="Times New Roman" w:hAnsi="Times New Roman" w:eastAsia="Consolas"/>
          <w:sz w:val="16"/>
        </w:rPr>
        <w:t>================================ Tool Calls ================================</w:t>
      </w:r>
    </w:p>
    <w:p w14:paraId="1FE582D5">
      <w:pPr>
        <w:jc w:val="left"/>
      </w:pPr>
      <w:r>
        <w:rPr>
          <w:rFonts w:ascii="Times New Roman" w:hAnsi="Times New Roman" w:eastAsia="Consolas"/>
          <w:sz w:val="16"/>
        </w:rPr>
        <w:t>Tool Calls:</w:t>
      </w:r>
    </w:p>
    <w:p w14:paraId="1FE582D5">
      <w:pPr>
        <w:jc w:val="left"/>
      </w:pPr>
      <w:r>
        <w:rPr>
          <w:rFonts w:ascii="Times New Roman" w:hAnsi="Times New Roman" w:eastAsia="Consolas"/>
          <w:sz w:val="16"/>
        </w:rPr>
        <w:t xml:space="preserve">  get_EODHD_news (call_RCXogBfhGwyi0IuWCWhpNpQJ)</w:t>
      </w:r>
    </w:p>
    <w:p w14:paraId="1FE582D5">
      <w:pPr>
        <w:jc w:val="left"/>
      </w:pPr>
      <w:r>
        <w:rPr>
          <w:rFonts w:ascii="Times New Roman" w:hAnsi="Times New Roman" w:eastAsia="Consolas"/>
          <w:sz w:val="16"/>
        </w:rPr>
        <w:t xml:space="preserve"> Call ID: call_RCXogBfhGwyi0IuWCWhpNpQJ</w:t>
      </w:r>
    </w:p>
    <w:p w14:paraId="1FE582D5">
      <w:pPr>
        <w:jc w:val="left"/>
      </w:pPr>
      <w:r>
        <w:rPr>
          <w:rFonts w:ascii="Times New Roman" w:hAnsi="Times New Roman" w:eastAsia="Consolas"/>
          <w:sz w:val="16"/>
        </w:rPr>
        <w:t xml:space="preserve">  Args:</w:t>
      </w:r>
    </w:p>
    <w:p w14:paraId="1FE582D5">
      <w:pPr>
        <w:jc w:val="left"/>
      </w:pPr>
      <w:r>
        <w:rPr>
          <w:rFonts w:ascii="Times New Roman" w:hAnsi="Times New Roman" w:eastAsia="Consolas"/>
          <w:sz w:val="16"/>
        </w:rPr>
        <w:t xml:space="preserve">    start_date: 2024-11-12</w:t>
      </w:r>
    </w:p>
    <w:p w14:paraId="1FE582D5">
      <w:pPr>
        <w:jc w:val="left"/>
      </w:pPr>
      <w:r>
        <w:rPr>
          <w:rFonts w:ascii="Times New Roman" w:hAnsi="Times New Roman" w:eastAsia="Consolas"/>
          <w:sz w:val="16"/>
        </w:rPr>
        <w:t xml:space="preserve">    end_date: 2024-11-19</w:t>
      </w:r>
    </w:p>
    <w:p w14:paraId="1FE582D5">
      <w:pPr>
        <w:jc w:val="left"/>
      </w:pPr>
      <w:r>
        <w:rPr>
          <w:rFonts w:ascii="Times New Roman" w:hAnsi="Times New Roman" w:eastAsia="Consolas"/>
          <w:sz w:val="16"/>
        </w:rPr>
        <w:t xml:space="preserve">  get_finnhub_news (call_zXlMVeXHxfA2X4bDTXmIfeij)</w:t>
      </w:r>
    </w:p>
    <w:p w14:paraId="1FE582D5">
      <w:pPr>
        <w:jc w:val="left"/>
      </w:pPr>
      <w:r>
        <w:rPr>
          <w:rFonts w:ascii="Times New Roman" w:hAnsi="Times New Roman" w:eastAsia="Consolas"/>
          <w:sz w:val="16"/>
        </w:rPr>
        <w:t xml:space="preserve"> Call ID: call_zXlMVeXHxfA2X4bDTXmIfeij</w:t>
      </w:r>
    </w:p>
    <w:p w14:paraId="1FE582D5">
      <w:pPr>
        <w:jc w:val="left"/>
      </w:pPr>
      <w:r>
        <w:rPr>
          <w:rFonts w:ascii="Times New Roman" w:hAnsi="Times New Roman" w:eastAsia="Consolas"/>
          <w:sz w:val="16"/>
        </w:rPr>
        <w:t xml:space="preserve">  Args:</w:t>
      </w:r>
    </w:p>
    <w:p w14:paraId="1FE582D5">
      <w:pPr>
        <w:jc w:val="left"/>
      </w:pPr>
      <w:r>
        <w:rPr>
          <w:rFonts w:ascii="Times New Roman" w:hAnsi="Times New Roman" w:eastAsia="Consolas"/>
          <w:sz w:val="16"/>
        </w:rPr>
        <w:t xml:space="preserve">    ticker: AAPL</w:t>
      </w:r>
    </w:p>
    <w:p w14:paraId="1FE582D5">
      <w:pPr>
        <w:jc w:val="left"/>
      </w:pPr>
      <w:r>
        <w:rPr>
          <w:rFonts w:ascii="Times New Roman" w:hAnsi="Times New Roman" w:eastAsia="Consolas"/>
          <w:sz w:val="16"/>
        </w:rPr>
        <w:t xml:space="preserve">    start_date: 2024-11-12</w:t>
      </w:r>
    </w:p>
    <w:p w14:paraId="1FE582D5">
      <w:pPr>
        <w:jc w:val="left"/>
      </w:pPr>
      <w:r>
        <w:rPr>
          <w:rFonts w:ascii="Times New Roman" w:hAnsi="Times New Roman" w:eastAsia="Consolas"/>
          <w:sz w:val="16"/>
        </w:rPr>
        <w:t xml:space="preserve">    end_date: 2024-11-19</w:t>
      </w:r>
    </w:p>
    <w:p w14:paraId="1FE582D5">
      <w:pPr>
        <w:jc w:val="left"/>
      </w:pPr>
      <w:r>
        <w:rPr>
          <w:rFonts w:ascii="Times New Roman" w:hAnsi="Times New Roman" w:eastAsia="Consolas"/>
          <w:sz w:val="16"/>
        </w:rPr>
        <w:t xml:space="preserve">  get_finnhub_news (call_jSKV1zMfHVqrR4GYAeEzjsoy)</w:t>
      </w:r>
    </w:p>
    <w:p w14:paraId="1FE582D5">
      <w:pPr>
        <w:jc w:val="left"/>
      </w:pPr>
      <w:r>
        <w:rPr>
          <w:rFonts w:ascii="Times New Roman" w:hAnsi="Times New Roman" w:eastAsia="Consolas"/>
          <w:sz w:val="16"/>
        </w:rPr>
        <w:t xml:space="preserve"> Call ID: call_jSKV1zMfHVqrR4GYAeEzjsoy</w:t>
      </w:r>
    </w:p>
    <w:p w14:paraId="1FE582D5">
      <w:pPr>
        <w:jc w:val="left"/>
      </w:pPr>
      <w:r>
        <w:rPr>
          <w:rFonts w:ascii="Times New Roman" w:hAnsi="Times New Roman" w:eastAsia="Consolas"/>
          <w:sz w:val="16"/>
        </w:rPr>
        <w:t xml:space="preserve">  Args:</w:t>
      </w:r>
    </w:p>
    <w:p w14:paraId="1FE582D5">
      <w:pPr>
        <w:jc w:val="left"/>
      </w:pPr>
      <w:r>
        <w:rPr>
          <w:rFonts w:ascii="Times New Roman" w:hAnsi="Times New Roman" w:eastAsia="Consolas"/>
          <w:sz w:val="16"/>
        </w:rPr>
        <w:t xml:space="preserve">    ticker: TSM</w:t>
      </w:r>
    </w:p>
    <w:p w14:paraId="1FE582D5">
      <w:pPr>
        <w:jc w:val="left"/>
      </w:pPr>
      <w:r>
        <w:rPr>
          <w:rFonts w:ascii="Times New Roman" w:hAnsi="Times New Roman" w:eastAsia="Consolas"/>
          <w:sz w:val="16"/>
        </w:rPr>
        <w:t xml:space="preserve">    start_date: 2024-11-12</w:t>
      </w:r>
    </w:p>
    <w:p w14:paraId="1FE582D5">
      <w:pPr>
        <w:jc w:val="left"/>
      </w:pPr>
      <w:r>
        <w:rPr>
          <w:rFonts w:ascii="Times New Roman" w:hAnsi="Times New Roman" w:eastAsia="Consolas"/>
          <w:sz w:val="16"/>
        </w:rPr>
        <w:t xml:space="preserve">    end_date: 2024-11-19</w:t>
      </w:r>
    </w:p>
    <w:p w14:paraId="1FE582D5">
      <w:pPr>
        <w:jc w:val="left"/>
      </w:pPr>
      <w:r>
        <w:rPr>
          <w:rFonts w:ascii="Times New Roman" w:hAnsi="Times New Roman" w:eastAsia="Consolas"/>
          <w:sz w:val="16"/>
        </w:rPr>
        <w:t xml:space="preserve">  get_finnhub_news (call_7rrmR2Qo5K8O2WbxQc8zDpxB)</w:t>
      </w:r>
    </w:p>
    <w:p w14:paraId="1FE582D5">
      <w:pPr>
        <w:jc w:val="left"/>
      </w:pPr>
      <w:r>
        <w:rPr>
          <w:rFonts w:ascii="Times New Roman" w:hAnsi="Times New Roman" w:eastAsia="Consolas"/>
          <w:sz w:val="16"/>
        </w:rPr>
        <w:t xml:space="preserve"> Call ID: call_7rrmR2Qo5K8O2WbxQc8zDpxB</w:t>
      </w:r>
    </w:p>
    <w:p w14:paraId="1FE582D5">
      <w:pPr>
        <w:jc w:val="left"/>
      </w:pPr>
      <w:r>
        <w:rPr>
          <w:rFonts w:ascii="Times New Roman" w:hAnsi="Times New Roman" w:eastAsia="Consolas"/>
          <w:sz w:val="16"/>
        </w:rPr>
        <w:t xml:space="preserve">  Args:</w:t>
      </w:r>
    </w:p>
    <w:p w14:paraId="1FE582D5">
      <w:pPr>
        <w:jc w:val="left"/>
      </w:pPr>
      <w:r>
        <w:rPr>
          <w:rFonts w:ascii="Times New Roman" w:hAnsi="Times New Roman" w:eastAsia="Consolas"/>
          <w:sz w:val="16"/>
        </w:rPr>
        <w:t xml:space="preserve">    ticker: GOOGL</w:t>
      </w:r>
    </w:p>
    <w:p w14:paraId="1FE582D5">
      <w:pPr>
        <w:jc w:val="left"/>
      </w:pPr>
      <w:r>
        <w:rPr>
          <w:rFonts w:ascii="Times New Roman" w:hAnsi="Times New Roman" w:eastAsia="Consolas"/>
          <w:sz w:val="16"/>
        </w:rPr>
        <w:t xml:space="preserve">    start_date: 2024-11-12</w:t>
      </w:r>
    </w:p>
    <w:p w14:paraId="1FE582D5">
      <w:pPr>
        <w:jc w:val="left"/>
      </w:pPr>
      <w:r>
        <w:rPr>
          <w:rFonts w:ascii="Times New Roman" w:hAnsi="Times New Roman" w:eastAsia="Consolas"/>
          <w:sz w:val="16"/>
        </w:rPr>
        <w:t xml:space="preserve">    end_date: 2024-11-19</w:t>
      </w:r>
    </w:p>
    <w:p w14:paraId="1FE582D5">
      <w:pPr>
        <w:jc w:val="left"/>
      </w:pPr>
      <w:r>
        <w:rPr>
          <w:rFonts w:ascii="Times New Roman" w:hAnsi="Times New Roman" w:eastAsia="Consolas"/>
          <w:sz w:val="16"/>
        </w:rPr>
        <w:t xml:space="preserve">  get_finnhub_news (call_XmPHBNBRJINGDZmBeUSnUgps)</w:t>
      </w:r>
    </w:p>
    <w:p w14:paraId="1FE582D5">
      <w:pPr>
        <w:jc w:val="left"/>
      </w:pPr>
      <w:r>
        <w:rPr>
          <w:rFonts w:ascii="Times New Roman" w:hAnsi="Times New Roman" w:eastAsia="Consolas"/>
          <w:sz w:val="16"/>
        </w:rPr>
        <w:t xml:space="preserve"> Call ID: call_XmPHBNBRJINGDZmBeUSnUgps</w:t>
      </w:r>
    </w:p>
    <w:p w14:paraId="1FE582D5">
      <w:pPr>
        <w:jc w:val="left"/>
      </w:pPr>
      <w:r>
        <w:rPr>
          <w:rFonts w:ascii="Times New Roman" w:hAnsi="Times New Roman" w:eastAsia="Consolas"/>
          <w:sz w:val="16"/>
        </w:rPr>
        <w:t xml:space="preserve">  Args:</w:t>
      </w:r>
    </w:p>
    <w:p w14:paraId="1FE582D5">
      <w:pPr>
        <w:jc w:val="left"/>
      </w:pPr>
      <w:r>
        <w:rPr>
          <w:rFonts w:ascii="Times New Roman" w:hAnsi="Times New Roman" w:eastAsia="Consolas"/>
          <w:sz w:val="16"/>
        </w:rPr>
        <w:t xml:space="preserve">    ticker: AMZN</w:t>
      </w:r>
    </w:p>
    <w:p w14:paraId="1FE582D5">
      <w:pPr>
        <w:jc w:val="left"/>
      </w:pPr>
      <w:r>
        <w:rPr>
          <w:rFonts w:ascii="Times New Roman" w:hAnsi="Times New Roman" w:eastAsia="Consolas"/>
          <w:sz w:val="16"/>
        </w:rPr>
        <w:t xml:space="preserve">    start_date: 2024-11-12</w:t>
      </w:r>
    </w:p>
    <w:p w14:paraId="1FE582D5">
      <w:pPr>
        <w:jc w:val="left"/>
      </w:pPr>
      <w:r>
        <w:rPr>
          <w:rFonts w:ascii="Times New Roman" w:hAnsi="Times New Roman" w:eastAsia="Consolas"/>
          <w:sz w:val="16"/>
        </w:rPr>
        <w:t xml:space="preserve">    end_date: 2024-11-19</w:t>
      </w:r>
    </w:p>
    <w:p w14:paraId="1FE582D5">
      <w:pPr>
        <w:jc w:val="left"/>
      </w:pPr>
      <w:r>
        <w:rPr>
          <w:rFonts w:ascii="Times New Roman" w:hAnsi="Times New Roman" w:eastAsia="Times New Roman"/>
          <w:b/>
          <w:sz w:val="21"/>
        </w:rPr>
        <w:t>TradingAgents: Social Media Analysts Team – Apple (AAPL)</w:t>
      </w:r>
    </w:p>
    <w:p w14:paraId="1FE582D5">
      <w:pPr>
        <w:jc w:val="left"/>
      </w:pPr>
      <w:r>
        <w:rPr>
          <w:rFonts w:ascii="Times New Roman" w:hAnsi="Times New Roman" w:eastAsia="Consolas"/>
          <w:sz w:val="16"/>
        </w:rPr>
        <w:t>[style=agentbase]</w:t>
      </w:r>
    </w:p>
    <w:p w14:paraId="1FE582D5">
      <w:pPr>
        <w:jc w:val="left"/>
      </w:pPr>
      <w:r>
        <w:rPr>
          <w:rFonts w:ascii="Times New Roman" w:hAnsi="Times New Roman" w:eastAsia="Consolas"/>
          <w:sz w:val="16"/>
        </w:rPr>
        <w:t>[Social Media Analyst]:</w:t>
      </w:r>
    </w:p>
    <w:p w14:paraId="1FE582D5">
      <w:pPr>
        <w:jc w:val="left"/>
      </w:pPr>
      <w:r>
        <w:rPr>
          <w:rFonts w:ascii="Times New Roman" w:hAnsi="Times New Roman" w:eastAsia="Consolas"/>
          <w:sz w:val="16"/>
        </w:rPr>
        <w:t>================================== Report ==================================</w:t>
      </w:r>
    </w:p>
    <w:p w14:paraId="1FE582D5">
      <w:pPr>
        <w:jc w:val="left"/>
      </w:pPr>
      <w:r>
        <w:rPr>
          <w:rFonts w:ascii="Times New Roman" w:hAnsi="Times New Roman" w:eastAsia="Consolas"/>
          <w:sz w:val="16"/>
        </w:rPr>
        <w:t>### Comprehensive Analysis of Apple Inc. (AAPL) Social Media and Sentiment Trends (November 12 - November 19, 2024)</w:t>
      </w:r>
    </w:p>
    <w:p w14:paraId="1FE582D5">
      <w:pPr>
        <w:jc w:val="left"/>
      </w:pPr>
      <w:r>
        <w:rPr>
          <w:rFonts w:ascii="Times New Roman" w:hAnsi="Times New Roman" w:eastAsia="Consolas"/>
          <w:sz w:val="16"/>
        </w:rPr>
        <w:t>#### Social Media Insights</w:t>
      </w:r>
    </w:p>
    <w:p w14:paraId="1FE582D5">
      <w:pPr>
        <w:jc w:val="left"/>
      </w:pPr>
      <w:r>
        <w:rPr>
          <w:rFonts w:ascii="Times New Roman" w:hAnsi="Times New Roman" w:eastAsia="Consolas"/>
          <w:sz w:val="16"/>
        </w:rPr>
        <w:t>Upon reviewing the Reddit data for Apple Inc. over the past week, it appears there were no significant posts or discussions captured in the dataset. This absence of data could suggest a lack of major events or announcements that typically drive social media engagement, or it might indicate a gap in data collection. For investors, this means relying more heavily on sentiment analysis and news reports for insights during this period.</w:t>
      </w:r>
    </w:p>
    <w:p w14:paraId="1FE582D5">
      <w:pPr>
        <w:jc w:val="left"/>
      </w:pPr>
      <w:r>
        <w:rPr>
          <w:rFonts w:ascii="Times New Roman" w:hAnsi="Times New Roman" w:eastAsia="Consolas"/>
          <w:sz w:val="16"/>
        </w:rPr>
        <w:t>#### Sentiment Analysis</w:t>
      </w:r>
    </w:p>
    <w:p w14:paraId="1FE582D5">
      <w:pPr>
        <w:jc w:val="left"/>
      </w:pPr>
      <w:r>
        <w:rPr>
          <w:rFonts w:ascii="Times New Roman" w:hAnsi="Times New Roman" w:eastAsia="Consolas"/>
          <w:sz w:val="16"/>
        </w:rPr>
        <w:t>The sentiment data for Apple Inc. (AAPL) from November 4, 2024, to November 17, 2024, reveals a dynamic landscape of public perception:</w:t>
      </w:r>
    </w:p>
    <w:p w14:paraId="1FE582D5">
      <w:pPr>
        <w:jc w:val="left"/>
      </w:pPr>
      <w:r>
        <w:rPr>
          <w:rFonts w:ascii="Times New Roman" w:hAnsi="Times New Roman" w:eastAsia="Consolas"/>
          <w:b/>
          <w:sz w:val="16"/>
        </w:rPr>
        <w:t>1. **Positive Sentiment Peaks**:</w:t>
      </w:r>
    </w:p>
    <w:p w14:paraId="1FE582D5">
      <w:pPr>
        <w:jc w:val="left"/>
      </w:pPr>
      <w:r>
        <w:rPr>
          <w:rFonts w:ascii="Times New Roman" w:hAnsi="Times New Roman" w:eastAsia="Consolas"/>
          <w:sz w:val="16"/>
        </w:rPr>
        <w:t>- **November 15, 2024**: A significant positive sentiment was recorded with a normalized score of 0.5445, indicating favorable news or developments.</w:t>
      </w:r>
    </w:p>
    <w:p w14:paraId="1FE582D5">
      <w:pPr>
        <w:jc w:val="left"/>
      </w:pPr>
      <w:r>
        <w:rPr>
          <w:rFonts w:ascii="Times New Roman" w:hAnsi="Times New Roman" w:eastAsia="Consolas"/>
          <w:sz w:val="16"/>
        </w:rPr>
        <w:t>- **November 11, 2024**: Another strong positive sentiment day with a score of 0.426, suggesting positive market reactions or announcements.</w:t>
      </w:r>
    </w:p>
    <w:p w14:paraId="1FE582D5">
      <w:pPr>
        <w:jc w:val="left"/>
      </w:pPr>
      <w:r>
        <w:rPr>
          <w:rFonts w:ascii="Times New Roman" w:hAnsi="Times New Roman" w:eastAsia="Consolas"/>
          <w:b/>
          <w:sz w:val="16"/>
        </w:rPr>
        <w:t>2. **Moderate Positive Sentiment**:</w:t>
      </w:r>
    </w:p>
    <w:p w14:paraId="1FE582D5">
      <w:pPr>
        <w:jc w:val="left"/>
      </w:pPr>
      <w:r>
        <w:rPr>
          <w:rFonts w:ascii="Times New Roman" w:hAnsi="Times New Roman" w:eastAsia="Consolas"/>
          <w:sz w:val="16"/>
        </w:rPr>
        <w:t>- Several days, including November 14, 13, 10, and 9, showed moderately positive sentiment, reflecting a generally favorable outlook towards AAPL.</w:t>
      </w:r>
    </w:p>
    <w:p w14:paraId="1FE582D5">
      <w:pPr>
        <w:jc w:val="left"/>
      </w:pPr>
      <w:r>
        <w:rPr>
          <w:rFonts w:ascii="Times New Roman" w:hAnsi="Times New Roman" w:eastAsia="Consolas"/>
          <w:b/>
          <w:sz w:val="16"/>
        </w:rPr>
        <w:t>3. **Negative Sentiment**:</w:t>
      </w:r>
    </w:p>
    <w:p w14:paraId="1FE582D5">
      <w:pPr>
        <w:jc w:val="left"/>
      </w:pPr>
      <w:r>
        <w:rPr>
          <w:rFonts w:ascii="Times New Roman" w:hAnsi="Times New Roman" w:eastAsia="Consolas"/>
          <w:sz w:val="16"/>
        </w:rPr>
        <w:t>- **November 12, 2024**: A negative sentiment score of -0.201 was observed, possibly due to unfavorable news or market conditions.</w:t>
      </w:r>
    </w:p>
    <w:p w14:paraId="1FE582D5">
      <w:pPr>
        <w:jc w:val="left"/>
      </w:pPr>
      <w:r>
        <w:rPr>
          <w:rFonts w:ascii="Times New Roman" w:hAnsi="Times New Roman" w:eastAsia="Consolas"/>
          <w:sz w:val="16"/>
        </w:rPr>
        <w:t>- **November 4, 2024**: The period started with a negative sentiment score of -0.141, indicating initial concerns or negative news.</w:t>
      </w:r>
    </w:p>
    <w:p w14:paraId="1FE582D5">
      <w:pPr>
        <w:jc w:val="left"/>
      </w:pPr>
      <w:r>
        <w:rPr>
          <w:rFonts w:ascii="Times New Roman" w:hAnsi="Times New Roman" w:eastAsia="Consolas"/>
          <w:b/>
          <w:sz w:val="16"/>
        </w:rPr>
        <w:t>4. **Neutral Sentiment**:</w:t>
      </w:r>
    </w:p>
    <w:p w14:paraId="1FE582D5">
      <w:pPr>
        <w:jc w:val="left"/>
      </w:pPr>
      <w:r>
        <w:rPr>
          <w:rFonts w:ascii="Times New Roman" w:hAnsi="Times New Roman" w:eastAsia="Consolas"/>
          <w:sz w:val="16"/>
        </w:rPr>
        <w:t>- **November 17, 2024**: The sentiment was neutral, suggesting a lack of significant positive or negative news impacting perceptions.</w:t>
      </w:r>
    </w:p>
    <w:p w14:paraId="1FE582D5">
      <w:pPr>
        <w:jc w:val="left"/>
      </w:pPr>
      <w:r>
        <w:rPr>
          <w:rFonts w:ascii="Times New Roman" w:hAnsi="Times New Roman" w:eastAsia="Consolas"/>
          <w:b/>
          <w:sz w:val="16"/>
        </w:rPr>
        <w:t>5. **Engagement Levels**:</w:t>
      </w:r>
    </w:p>
    <w:p w14:paraId="1FE582D5">
      <w:pPr>
        <w:jc w:val="left"/>
      </w:pPr>
      <w:r>
        <w:rPr>
          <w:rFonts w:ascii="Times New Roman" w:hAnsi="Times New Roman" w:eastAsia="Consolas"/>
          <w:sz w:val="16"/>
        </w:rPr>
        <w:t>- The highest engagement was noted on November 6, 2024, with a sentiment score of 0.0756, indicating increased interest or discussions, albeit with a slightly positive sentiment.</w:t>
      </w:r>
    </w:p>
    <w:p w14:paraId="1FE582D5">
      <w:pPr>
        <w:jc w:val="left"/>
      </w:pPr>
      <w:r>
        <w:rPr>
          <w:rFonts w:ascii="Times New Roman" w:hAnsi="Times New Roman" w:eastAsia="Consolas"/>
          <w:sz w:val="16"/>
        </w:rPr>
        <w:t>#### Implications for Traders and Investors</w:t>
      </w:r>
    </w:p>
    <w:p w14:paraId="1FE582D5">
      <w:pPr>
        <w:jc w:val="left"/>
      </w:pPr>
      <w:r>
        <w:rPr>
          <w:rFonts w:ascii="Times New Roman" w:hAnsi="Times New Roman" w:eastAsia="Consolas"/>
          <w:sz w:val="16"/>
        </w:rPr>
        <w:t>- **Positive Sentiment Days**: The spikes in positive sentiment, particularly on November 15 and 11, could be indicative of favorable developments or market conditions that investors might want to capitalize on.</w:t>
      </w:r>
    </w:p>
    <w:p w14:paraId="1FE582D5">
      <w:pPr>
        <w:jc w:val="left"/>
      </w:pPr>
      <w:r>
        <w:rPr>
          <w:rFonts w:ascii="Times New Roman" w:hAnsi="Times New Roman" w:eastAsia="Consolas"/>
          <w:sz w:val="16"/>
        </w:rPr>
        <w:t>- **Negative Sentiment Days**: The negative sentiment on November 12 and 4 suggests caution, as these days might have been influenced by adverse news or market reactions.</w:t>
      </w:r>
    </w:p>
    <w:p w14:paraId="1FE582D5">
      <w:pPr>
        <w:jc w:val="left"/>
      </w:pPr>
      <w:r>
        <w:rPr>
          <w:rFonts w:ascii="Times New Roman" w:hAnsi="Times New Roman" w:eastAsia="Consolas"/>
          <w:sz w:val="16"/>
        </w:rPr>
        <w:t>- **Overall Trend**: The sentiment trend over the period is predominantly positive, suggesting a generally favorable outlook for AAPL. However, the occasional dips into negative sentiment highlight the importance of staying informed about potential risks or negative news.</w:t>
      </w:r>
    </w:p>
    <w:p w14:paraId="1FE582D5">
      <w:pPr>
        <w:jc w:val="left"/>
      </w:pPr>
      <w:r>
        <w:rPr>
          <w:rFonts w:ascii="Times New Roman" w:hAnsi="Times New Roman" w:eastAsia="Consolas"/>
          <w:sz w:val="16"/>
        </w:rPr>
        <w:t>In conclusion, while the lack of Reddit data limits insights from social media discussions, the sentiment analysis provides a valuable perspective on market perceptions of Apple Inc. during this period. Investors should consider these sentiment trends alongside other market data and news to make informed decisions.</w:t>
      </w:r>
    </w:p>
    <w:p w14:paraId="1FE582D5">
      <w:pPr>
        <w:jc w:val="left"/>
      </w:pPr>
      <w:r>
        <w:rPr>
          <w:rFonts w:ascii="Times New Roman" w:hAnsi="Times New Roman" w:eastAsia="Consolas"/>
          <w:sz w:val="16"/>
        </w:rPr>
        <w:t>================================ Tool Calls ================================</w:t>
      </w:r>
    </w:p>
    <w:p w14:paraId="1FE582D5">
      <w:pPr>
        <w:jc w:val="left"/>
      </w:pPr>
      <w:r>
        <w:rPr>
          <w:rFonts w:ascii="Times New Roman" w:hAnsi="Times New Roman" w:eastAsia="Consolas"/>
          <w:sz w:val="16"/>
        </w:rPr>
        <w:t>Tool Calls:</w:t>
      </w:r>
    </w:p>
    <w:p w14:paraId="1FE582D5">
      <w:pPr>
        <w:jc w:val="left"/>
      </w:pPr>
      <w:r>
        <w:rPr>
          <w:rFonts w:ascii="Times New Roman" w:hAnsi="Times New Roman" w:eastAsia="Consolas"/>
          <w:sz w:val="16"/>
        </w:rPr>
        <w:t xml:space="preserve">  get_reddit_stock_info (call_MfJT2mtj22GO32q7Xu5z2htS)</w:t>
      </w:r>
    </w:p>
    <w:p w14:paraId="1FE582D5">
      <w:pPr>
        <w:jc w:val="left"/>
      </w:pPr>
      <w:r>
        <w:rPr>
          <w:rFonts w:ascii="Times New Roman" w:hAnsi="Times New Roman" w:eastAsia="Consolas"/>
          <w:sz w:val="16"/>
        </w:rPr>
        <w:t xml:space="preserve"> Call ID: call_MfJT2mtj22GO32q7Xu5z2htS</w:t>
      </w:r>
    </w:p>
    <w:p w14:paraId="1FE582D5">
      <w:pPr>
        <w:jc w:val="left"/>
      </w:pPr>
      <w:r>
        <w:rPr>
          <w:rFonts w:ascii="Times New Roman" w:hAnsi="Times New Roman" w:eastAsia="Consolas"/>
          <w:sz w:val="16"/>
        </w:rPr>
        <w:t xml:space="preserve">  Args:</w:t>
      </w:r>
    </w:p>
    <w:p w14:paraId="1FE582D5">
      <w:pPr>
        <w:jc w:val="left"/>
      </w:pPr>
      <w:r>
        <w:rPr>
          <w:rFonts w:ascii="Times New Roman" w:hAnsi="Times New Roman" w:eastAsia="Consolas"/>
          <w:sz w:val="16"/>
        </w:rPr>
        <w:t xml:space="preserve">    query: Apple Inc</w:t>
      </w:r>
    </w:p>
    <w:p w14:paraId="1FE582D5">
      <w:pPr>
        <w:jc w:val="left"/>
      </w:pPr>
      <w:r>
        <w:rPr>
          <w:rFonts w:ascii="Times New Roman" w:hAnsi="Times New Roman" w:eastAsia="Consolas"/>
          <w:sz w:val="16"/>
        </w:rPr>
        <w:t xml:space="preserve">    start_date: 2024-11-12</w:t>
      </w:r>
    </w:p>
    <w:p w14:paraId="1FE582D5">
      <w:pPr>
        <w:jc w:val="left"/>
      </w:pPr>
      <w:r>
        <w:rPr>
          <w:rFonts w:ascii="Times New Roman" w:hAnsi="Times New Roman" w:eastAsia="Consolas"/>
          <w:sz w:val="16"/>
        </w:rPr>
        <w:t xml:space="preserve">    end_date: 2024-11-19</w:t>
      </w:r>
    </w:p>
    <w:p w14:paraId="1FE582D5">
      <w:pPr>
        <w:jc w:val="left"/>
      </w:pPr>
      <w:r>
        <w:rPr>
          <w:rFonts w:ascii="Times New Roman" w:hAnsi="Times New Roman" w:eastAsia="Consolas"/>
          <w:sz w:val="16"/>
        </w:rPr>
        <w:t xml:space="preserve">  get_EODHD_sentiment (call_So5Csrkq4CJKpi9jiY4ibbB2)</w:t>
      </w:r>
    </w:p>
    <w:p w14:paraId="1FE582D5">
      <w:pPr>
        <w:jc w:val="left"/>
      </w:pPr>
      <w:r>
        <w:rPr>
          <w:rFonts w:ascii="Times New Roman" w:hAnsi="Times New Roman" w:eastAsia="Consolas"/>
          <w:sz w:val="16"/>
        </w:rPr>
        <w:t xml:space="preserve"> Call ID: call_So5Csrkq4CJKpi9jiY4ibbB2</w:t>
      </w:r>
    </w:p>
    <w:p w14:paraId="1FE582D5">
      <w:pPr>
        <w:jc w:val="left"/>
      </w:pPr>
      <w:r>
        <w:rPr>
          <w:rFonts w:ascii="Times New Roman" w:hAnsi="Times New Roman" w:eastAsia="Consolas"/>
          <w:sz w:val="16"/>
        </w:rPr>
        <w:t xml:space="preserve">  Args:</w:t>
      </w:r>
    </w:p>
    <w:p w14:paraId="1FE582D5">
      <w:pPr>
        <w:jc w:val="left"/>
      </w:pPr>
      <w:r>
        <w:rPr>
          <w:rFonts w:ascii="Times New Roman" w:hAnsi="Times New Roman" w:eastAsia="Consolas"/>
          <w:sz w:val="16"/>
        </w:rPr>
        <w:t xml:space="preserve">    symbol: AAPL</w:t>
      </w:r>
    </w:p>
    <w:p w14:paraId="1FE582D5">
      <w:pPr>
        <w:jc w:val="left"/>
      </w:pPr>
      <w:r>
        <w:rPr>
          <w:rFonts w:ascii="Times New Roman" w:hAnsi="Times New Roman" w:eastAsia="Consolas"/>
          <w:sz w:val="16"/>
        </w:rPr>
        <w:t xml:space="preserve">    curr_date: 2024-11-19</w:t>
      </w:r>
    </w:p>
    <w:p w14:paraId="1FE582D5">
      <w:pPr>
        <w:jc w:val="left"/>
      </w:pPr>
      <w:r>
        <w:rPr>
          <w:rFonts w:ascii="Times New Roman" w:hAnsi="Times New Roman" w:eastAsia="Consolas"/>
          <w:b/>
          <w:sz w:val="16"/>
        </w:rPr>
        <w:t>EODHD client initialized</w:t>
      </w:r>
    </w:p>
    <w:p w14:paraId="1FE582D5">
      <w:pPr>
        <w:jc w:val="left"/>
      </w:pPr>
      <w:r>
        <w:rPr>
          <w:rFonts w:ascii="Times New Roman" w:hAnsi="Times New Roman" w:eastAsia="Consolas"/>
          <w:b/>
          <w:sz w:val="16"/>
        </w:rPr>
        <w:t>Reddit client initialized</w:t>
      </w:r>
    </w:p>
    <w:p w14:paraId="1FE582D5">
      <w:pPr>
        <w:jc w:val="left"/>
      </w:pPr>
      <w:r>
        <w:rPr>
          <w:rFonts w:ascii="Times New Roman" w:hAnsi="Times New Roman" w:eastAsia="Consolas"/>
          <w:sz w:val="16"/>
        </w:rPr>
        <w:t>Searching in subreddit: wallstreetbets</w:t>
      </w:r>
    </w:p>
    <w:p w14:paraId="1FE582D5">
      <w:pPr>
        <w:jc w:val="left"/>
      </w:pPr>
      <w:r>
        <w:rPr>
          <w:rFonts w:ascii="Times New Roman" w:hAnsi="Times New Roman" w:eastAsia="Consolas"/>
          <w:sz w:val="16"/>
        </w:rPr>
        <w:t>Searching in subreddit: stocks</w:t>
      </w:r>
    </w:p>
    <w:p w14:paraId="1FE582D5">
      <w:pPr>
        <w:jc w:val="left"/>
      </w:pPr>
      <w:r>
        <w:rPr>
          <w:rFonts w:ascii="Times New Roman" w:hAnsi="Times New Roman" w:eastAsia="Consolas"/>
          <w:sz w:val="16"/>
        </w:rPr>
        <w:t>Searching in subreddit: investing</w:t>
      </w:r>
    </w:p>
    <w:p w14:paraId="1FE582D5">
      <w:pPr>
        <w:jc w:val="left"/>
      </w:pPr>
      <w:r>
        <w:rPr>
          <w:rFonts w:ascii="Times New Roman" w:hAnsi="Times New Roman" w:eastAsia="Consolas"/>
          <w:sz w:val="16"/>
        </w:rPr>
        <w:t>Searching in subreddit: SecurityAnalysis</w:t>
      </w:r>
    </w:p>
    <w:p w14:paraId="1FE582D5">
      <w:pPr>
        <w:jc w:val="left"/>
      </w:pPr>
      <w:r>
        <w:rPr>
          <w:rFonts w:ascii="Times New Roman" w:hAnsi="Times New Roman" w:eastAsia="Consolas"/>
          <w:sz w:val="16"/>
        </w:rPr>
        <w:t>Searching in subreddit: Finance</w:t>
      </w:r>
    </w:p>
    <w:p w14:paraId="1FE582D5">
      <w:pPr>
        <w:jc w:val="left"/>
      </w:pPr>
      <w:r>
        <w:rPr>
          <w:rFonts w:ascii="Times New Roman" w:hAnsi="Times New Roman" w:eastAsia="Consolas"/>
          <w:sz w:val="16"/>
        </w:rPr>
        <w:t>Searching in subreddit: Economics</w:t>
      </w:r>
    </w:p>
    <w:p w14:paraId="1FE582D5">
      <w:pPr>
        <w:jc w:val="left"/>
      </w:pPr>
      <w:r>
        <w:rPr>
          <w:rFonts w:ascii="Times New Roman" w:hAnsi="Times New Roman" w:eastAsia="Consolas"/>
          <w:sz w:val="16"/>
        </w:rPr>
        <w:t>The market sentiment data for AAPL over the period from November 4, 2024, to November 17, 2024, provides insights into the prevailing attitudes and perceptions surrounding the stock. Below is a detailed analysis of the sentiment trends observed during this period:</w:t>
      </w:r>
    </w:p>
    <w:p w14:paraId="1FE582D5">
      <w:pPr>
        <w:jc w:val="left"/>
      </w:pPr>
      <w:r>
        <w:rPr>
          <w:rFonts w:ascii="Times New Roman" w:hAnsi="Times New Roman" w:eastAsia="Consolas"/>
          <w:b/>
          <w:sz w:val="16"/>
        </w:rPr>
        <w:t>1. **November 17, 2024**: The sentiment count was 1, with a normalized sentiment score of 0. This indicates a neutral sentiment on this day, suggesting no significant positive or negative sentiment was detected.</w:t>
      </w:r>
    </w:p>
    <w:p w14:paraId="1FE582D5">
      <w:pPr>
        <w:jc w:val="left"/>
      </w:pPr>
      <w:r>
        <w:rPr>
          <w:rFonts w:ascii="Times New Roman" w:hAnsi="Times New Roman" w:eastAsia="Consolas"/>
          <w:b/>
          <w:sz w:val="16"/>
        </w:rPr>
        <w:t>2. **November 16, 2024**: The sentiment count was 1, with a normalized sentiment score of -0.06. This reflects a slightly negative sentiment, although the impact appears minimal given the low count and score.</w:t>
      </w:r>
    </w:p>
    <w:p w14:paraId="1FE582D5">
      <w:pPr>
        <w:jc w:val="left"/>
      </w:pPr>
      <w:r>
        <w:rPr>
          <w:rFonts w:ascii="Times New Roman" w:hAnsi="Times New Roman" w:eastAsia="Consolas"/>
          <w:b/>
          <w:sz w:val="16"/>
        </w:rPr>
        <w:t>3. **November 15, 2024**: The sentiment count increased to 2, with a normalized sentiment score of 0.5445. This marks a significant positive sentiment, indicating a favorable perception of AAPL on this day.</w:t>
      </w:r>
    </w:p>
    <w:p w14:paraId="1FE582D5">
      <w:pPr>
        <w:jc w:val="left"/>
      </w:pPr>
      <w:r>
        <w:rPr>
          <w:rFonts w:ascii="Times New Roman" w:hAnsi="Times New Roman" w:eastAsia="Consolas"/>
          <w:b/>
          <w:sz w:val="16"/>
        </w:rPr>
        <w:t>4. **November 14, 2024**: The sentiment count was 2, with a normalized sentiment score of 0.17. This suggests a moderately positive sentiment, showing a generally favorable outlook.</w:t>
      </w:r>
    </w:p>
    <w:p w14:paraId="1FE582D5">
      <w:pPr>
        <w:jc w:val="left"/>
      </w:pPr>
      <w:r>
        <w:rPr>
          <w:rFonts w:ascii="Times New Roman" w:hAnsi="Times New Roman" w:eastAsia="Consolas"/>
          <w:b/>
          <w:sz w:val="16"/>
        </w:rPr>
        <w:t>5. **November 13, 2024**: The sentiment count was 2, with a normalized sentiment score of 0.3245. This indicates a positive sentiment, with a noticeable improvement in perception compared to the previous day.</w:t>
      </w:r>
    </w:p>
    <w:p w14:paraId="1FE582D5">
      <w:pPr>
        <w:jc w:val="left"/>
      </w:pPr>
      <w:r>
        <w:rPr>
          <w:rFonts w:ascii="Times New Roman" w:hAnsi="Times New Roman" w:eastAsia="Consolas"/>
          <w:b/>
          <w:sz w:val="16"/>
        </w:rPr>
        <w:t>6. **November 12, 2024**: The sentiment count was 2, with a normalized sentiment score of -0.201. This reflects a negative sentiment, suggesting some unfavorable views or news impacting AAPL.</w:t>
      </w:r>
    </w:p>
    <w:p w14:paraId="1FE582D5">
      <w:pPr>
        <w:jc w:val="left"/>
      </w:pPr>
      <w:r>
        <w:rPr>
          <w:rFonts w:ascii="Times New Roman" w:hAnsi="Times New Roman" w:eastAsia="Consolas"/>
          <w:b/>
          <w:sz w:val="16"/>
        </w:rPr>
        <w:t>7. **November 11, 2024**: The sentiment count was 3, with a normalized sentiment score of 0.426. This indicates a strong positive sentiment, with increased engagement and favorable perception.</w:t>
      </w:r>
    </w:p>
    <w:p w14:paraId="1FE582D5">
      <w:pPr>
        <w:jc w:val="left"/>
      </w:pPr>
      <w:r>
        <w:rPr>
          <w:rFonts w:ascii="Times New Roman" w:hAnsi="Times New Roman" w:eastAsia="Consolas"/>
          <w:b/>
          <w:sz w:val="16"/>
        </w:rPr>
        <w:t>8. **November 10, 2024**: The sentiment count was 3, with a normalized sentiment score of 0.3157. This suggests a positive sentiment, maintaining a favorable outlook similar to the previous day.</w:t>
      </w:r>
    </w:p>
    <w:p w14:paraId="1FE582D5">
      <w:pPr>
        <w:jc w:val="left"/>
      </w:pPr>
      <w:r>
        <w:rPr>
          <w:rFonts w:ascii="Times New Roman" w:hAnsi="Times New Roman" w:eastAsia="Consolas"/>
          <w:b/>
          <w:sz w:val="16"/>
        </w:rPr>
        <w:t>9. **November 09, 2024**: The sentiment count was 3, with a normalized sentiment score of 0.221. This indicates a positive sentiment, though slightly less pronounced than the previous days.</w:t>
      </w:r>
    </w:p>
    <w:p w14:paraId="1FE582D5">
      <w:pPr>
        <w:jc w:val="left"/>
      </w:pPr>
      <w:r>
        <w:rPr>
          <w:rFonts w:ascii="Times New Roman" w:hAnsi="Times New Roman" w:eastAsia="Consolas"/>
          <w:b/>
          <w:sz w:val="16"/>
        </w:rPr>
        <w:t>10. **November 08, 2024**: The sentiment count was 1, with a normalized sentiment score of 0.422. This reflects a strong positive sentiment, despite the lower engagement count.</w:t>
      </w:r>
    </w:p>
    <w:p w14:paraId="1FE582D5">
      <w:pPr>
        <w:jc w:val="left"/>
      </w:pPr>
      <w:r>
        <w:rPr>
          <w:rFonts w:ascii="Times New Roman" w:hAnsi="Times New Roman" w:eastAsia="Consolas"/>
          <w:b/>
          <w:sz w:val="16"/>
        </w:rPr>
        <w:t>11. **November 07, 2024**: The sentiment count was 2, with a normalized sentiment score of 0.144. This suggests a mildly positive sentiment, indicating a generally favorable view.</w:t>
      </w:r>
    </w:p>
    <w:p w14:paraId="1FE582D5">
      <w:pPr>
        <w:jc w:val="left"/>
      </w:pPr>
      <w:r>
        <w:rPr>
          <w:rFonts w:ascii="Times New Roman" w:hAnsi="Times New Roman" w:eastAsia="Consolas"/>
          <w:b/>
          <w:sz w:val="16"/>
        </w:rPr>
        <w:t>12. **November 06, 2024**: The sentiment count was 5, with a normalized sentiment score of 0.0756. This shows a slightly positive sentiment with the highest engagement count, suggesting increased interest or discussion around AAPL.</w:t>
      </w:r>
    </w:p>
    <w:p w14:paraId="1FE582D5">
      <w:pPr>
        <w:jc w:val="left"/>
      </w:pPr>
      <w:r>
        <w:rPr>
          <w:rFonts w:ascii="Times New Roman" w:hAnsi="Times New Roman" w:eastAsia="Consolas"/>
          <w:b/>
          <w:sz w:val="16"/>
        </w:rPr>
        <w:t>13. **November 05, 2024**: The sentiment count was 4, with a normalized sentiment score of 0.304. This indicates a positive sentiment, with a relatively high level of engagement.</w:t>
      </w:r>
    </w:p>
    <w:p w14:paraId="1FE582D5">
      <w:pPr>
        <w:jc w:val="left"/>
      </w:pPr>
      <w:r>
        <w:rPr>
          <w:rFonts w:ascii="Times New Roman" w:hAnsi="Times New Roman" w:eastAsia="Consolas"/>
          <w:b/>
          <w:sz w:val="16"/>
        </w:rPr>
        <w:t>14. **November 04, 2024**: The sentiment count was 3, with a normalized sentiment score of -0.141. This reflects a negative sentiment, suggesting some unfavorable sentiment or news at the start of the period.</w:t>
      </w:r>
    </w:p>
    <w:p w14:paraId="1FE582D5">
      <w:pPr>
        <w:jc w:val="left"/>
      </w:pPr>
      <w:r>
        <w:rPr>
          <w:rFonts w:ascii="Times New Roman" w:hAnsi="Times New Roman" w:eastAsia="Consolas"/>
          <w:sz w:val="16"/>
        </w:rPr>
        <w:t>**Summary**: Over the analyzed period, AAPL experienced fluctuations in market sentiment, with notable positive sentiment spikes on November 15 and November 11. The sentiment was predominantly positive, with occasional dips into negative territory, particularly on November 12 and November 04. The engagement levels varied, with the highest count observed on November 06, indicating heightened interest or discussion on that day. Overall, the sentiment trend suggests a generally favorable outlook for AAPL during this period, with some days of negative sentiment that may warrant further investigation.</w:t>
      </w:r>
    </w:p>
    <w:p w14:paraId="1FE582D5">
      <w:pPr>
        <w:jc w:val="left"/>
      </w:pPr>
      <w:r>
        <w:rPr>
          <w:rFonts w:ascii="Times New Roman" w:hAnsi="Times New Roman" w:eastAsia="Times New Roman"/>
          <w:b/>
          <w:sz w:val="21"/>
        </w:rPr>
        <w:t>TradingAgents: Fundamentals Analyst Team – Apple (AAPL)</w:t>
      </w:r>
    </w:p>
    <w:p w14:paraId="1FE582D5">
      <w:pPr>
        <w:jc w:val="left"/>
      </w:pPr>
      <w:r>
        <w:rPr>
          <w:rFonts w:ascii="Times New Roman" w:hAnsi="Times New Roman" w:eastAsia="Consolas"/>
          <w:sz w:val="16"/>
        </w:rPr>
        <w:t>[style=agentbase]</w:t>
      </w:r>
    </w:p>
    <w:p w14:paraId="1FE582D5">
      <w:pPr>
        <w:jc w:val="left"/>
      </w:pPr>
      <w:r>
        <w:rPr>
          <w:rFonts w:ascii="Times New Roman" w:hAnsi="Times New Roman" w:eastAsia="Consolas"/>
          <w:sz w:val="16"/>
        </w:rPr>
        <w:t>[Fundamentals Analyst]:</w:t>
      </w:r>
    </w:p>
    <w:p w14:paraId="1FE582D5">
      <w:pPr>
        <w:jc w:val="left"/>
      </w:pPr>
      <w:r>
        <w:rPr>
          <w:rFonts w:ascii="Times New Roman" w:hAnsi="Times New Roman" w:eastAsia="Consolas"/>
          <w:sz w:val="16"/>
        </w:rPr>
        <w:t>================================== Report ==================================</w:t>
      </w:r>
    </w:p>
    <w:p w14:paraId="1FE582D5">
      <w:pPr>
        <w:jc w:val="left"/>
      </w:pPr>
      <w:r>
        <w:rPr>
          <w:rFonts w:ascii="Times New Roman" w:hAnsi="Times New Roman" w:eastAsia="Consolas"/>
          <w:sz w:val="16"/>
        </w:rPr>
        <w:t>### Comprehensive Fundamental Analysis Report for Apple Inc. (AAPL)</w:t>
      </w:r>
    </w:p>
    <w:p w14:paraId="1FE582D5">
      <w:pPr>
        <w:jc w:val="left"/>
      </w:pPr>
      <w:r>
        <w:rPr>
          <w:rFonts w:ascii="Times New Roman" w:hAnsi="Times New Roman" w:eastAsia="Consolas"/>
          <w:sz w:val="16"/>
        </w:rPr>
        <w:t>#### Company Profile</w:t>
      </w:r>
    </w:p>
    <w:p w14:paraId="1FE582D5">
      <w:pPr>
        <w:jc w:val="left"/>
      </w:pPr>
      <w:r>
        <w:rPr>
          <w:rFonts w:ascii="Times New Roman" w:hAnsi="Times New Roman" w:eastAsia="Consolas"/>
          <w:sz w:val="16"/>
        </w:rPr>
        <w:t>Apple Inc. is a prominent player in the Technology sector, known for its innovative products and significant market influence. Incorporated in 1980, Apple has a market capitalization of approximately $3.55 trillion USD, with 15,115.82 million shares outstanding. The company is listed on the NASDAQ under the ticker AAPL.</w:t>
      </w:r>
    </w:p>
    <w:p w14:paraId="1FE582D5">
      <w:pPr>
        <w:jc w:val="left"/>
      </w:pPr>
      <w:r>
        <w:rPr>
          <w:rFonts w:ascii="Times New Roman" w:hAnsi="Times New Roman" w:eastAsia="Consolas"/>
          <w:sz w:val="16"/>
        </w:rPr>
        <w:t>#### Financial Overview</w:t>
      </w:r>
    </w:p>
    <w:p w14:paraId="1FE582D5">
      <w:pPr>
        <w:jc w:val="left"/>
      </w:pPr>
      <w:r>
        <w:rPr>
          <w:rFonts w:ascii="Times New Roman" w:hAnsi="Times New Roman" w:eastAsia="Consolas"/>
          <w:sz w:val="16"/>
        </w:rPr>
        <w:t>- **52-Week Price Range**: $164.075 - $237.49</w:t>
      </w:r>
    </w:p>
    <w:p w14:paraId="1FE582D5">
      <w:pPr>
        <w:jc w:val="left"/>
      </w:pPr>
      <w:r>
        <w:rPr>
          <w:rFonts w:ascii="Times New Roman" w:hAnsi="Times New Roman" w:eastAsia="Consolas"/>
          <w:sz w:val="16"/>
        </w:rPr>
        <w:t>- **Price Returns**:</w:t>
      </w:r>
    </w:p>
    <w:p w14:paraId="1FE582D5">
      <w:pPr>
        <w:jc w:val="left"/>
      </w:pPr>
      <w:r>
        <w:rPr>
          <w:rFonts w:ascii="Times New Roman" w:hAnsi="Times New Roman" w:eastAsia="Consolas"/>
          <w:sz w:val="16"/>
        </w:rPr>
        <w:t>- 5-Day: 2.805</w:t>
      </w:r>
    </w:p>
    <w:p w14:paraId="1FE582D5">
      <w:pPr>
        <w:jc w:val="left"/>
      </w:pPr>
      <w:r>
        <w:rPr>
          <w:rFonts w:ascii="Times New Roman" w:hAnsi="Times New Roman" w:eastAsia="Consolas"/>
          <w:sz w:val="16"/>
        </w:rPr>
        <w:t>- 13-Week: 3.7264</w:t>
      </w:r>
    </w:p>
    <w:p w14:paraId="1FE582D5">
      <w:pPr>
        <w:jc w:val="left"/>
      </w:pPr>
      <w:r>
        <w:rPr>
          <w:rFonts w:ascii="Times New Roman" w:hAnsi="Times New Roman" w:eastAsia="Consolas"/>
          <w:sz w:val="16"/>
        </w:rPr>
        <w:t>- 26-Week: 23.6604</w:t>
      </w:r>
    </w:p>
    <w:p w14:paraId="1FE582D5">
      <w:pPr>
        <w:jc w:val="left"/>
      </w:pPr>
      <w:r>
        <w:rPr>
          <w:rFonts w:ascii="Times New Roman" w:hAnsi="Times New Roman" w:eastAsia="Consolas"/>
          <w:sz w:val="16"/>
        </w:rPr>
        <w:t>- 52-Week: 24.0587</w:t>
      </w:r>
    </w:p>
    <w:p w14:paraId="1FE582D5">
      <w:pPr>
        <w:jc w:val="left"/>
      </w:pPr>
      <w:r>
        <w:rPr>
          <w:rFonts w:ascii="Times New Roman" w:hAnsi="Times New Roman" w:eastAsia="Consolas"/>
          <w:sz w:val="16"/>
        </w:rPr>
        <w:t>- Year-to-Date: 22.0225</w:t>
      </w:r>
    </w:p>
    <w:p w14:paraId="1FE582D5">
      <w:pPr>
        <w:jc w:val="left"/>
      </w:pPr>
      <w:r>
        <w:rPr>
          <w:rFonts w:ascii="Times New Roman" w:hAnsi="Times New Roman" w:eastAsia="Consolas"/>
          <w:sz w:val="16"/>
        </w:rPr>
        <w:t>- **Relative Performance**: Underperformed the S&amp;P 500 by -7.6652</w:t>
      </w:r>
    </w:p>
    <w:p w14:paraId="1FE582D5">
      <w:pPr>
        <w:jc w:val="left"/>
      </w:pPr>
      <w:r>
        <w:rPr>
          <w:rFonts w:ascii="Times New Roman" w:hAnsi="Times New Roman" w:eastAsia="Consolas"/>
          <w:sz w:val="16"/>
        </w:rPr>
        <w:t>#### Profitability Metrics</w:t>
      </w:r>
    </w:p>
    <w:p w14:paraId="1FE582D5">
      <w:pPr>
        <w:jc w:val="left"/>
      </w:pPr>
      <w:r>
        <w:rPr>
          <w:rFonts w:ascii="Times New Roman" w:hAnsi="Times New Roman" w:eastAsia="Consolas"/>
          <w:sz w:val="16"/>
        </w:rPr>
        <w:t>- **Gross Margin**: 46.21</w:t>
      </w:r>
    </w:p>
    <w:p w14:paraId="1FE582D5">
      <w:pPr>
        <w:jc w:val="left"/>
      </w:pPr>
      <w:r>
        <w:rPr>
          <w:rFonts w:ascii="Times New Roman" w:hAnsi="Times New Roman" w:eastAsia="Consolas"/>
          <w:sz w:val="16"/>
        </w:rPr>
        <w:t>- **Operating Margin**: 31.51</w:t>
      </w:r>
    </w:p>
    <w:p w14:paraId="1FE582D5">
      <w:pPr>
        <w:jc w:val="left"/>
      </w:pPr>
      <w:r>
        <w:rPr>
          <w:rFonts w:ascii="Times New Roman" w:hAnsi="Times New Roman" w:eastAsia="Consolas"/>
          <w:sz w:val="16"/>
        </w:rPr>
        <w:t>- **Net Profit Margin**: 23.97</w:t>
      </w:r>
    </w:p>
    <w:p w14:paraId="1FE582D5">
      <w:pPr>
        <w:jc w:val="left"/>
      </w:pPr>
      <w:r>
        <w:rPr>
          <w:rFonts w:ascii="Times New Roman" w:hAnsi="Times New Roman" w:eastAsia="Consolas"/>
          <w:sz w:val="16"/>
        </w:rPr>
        <w:t>- **Return on Equity (ROE)**: 164.59</w:t>
      </w:r>
    </w:p>
    <w:p w14:paraId="1FE582D5">
      <w:pPr>
        <w:jc w:val="left"/>
      </w:pPr>
      <w:r>
        <w:rPr>
          <w:rFonts w:ascii="Times New Roman" w:hAnsi="Times New Roman" w:eastAsia="Consolas"/>
          <w:sz w:val="16"/>
        </w:rPr>
        <w:t>- **Return on Assets (ROA)**: 25.68</w:t>
      </w:r>
    </w:p>
    <w:p w14:paraId="1FE582D5">
      <w:pPr>
        <w:jc w:val="left"/>
      </w:pPr>
      <w:r>
        <w:rPr>
          <w:rFonts w:ascii="Times New Roman" w:hAnsi="Times New Roman" w:eastAsia="Consolas"/>
          <w:sz w:val="16"/>
        </w:rPr>
        <w:t>#### Growth Metrics</w:t>
      </w:r>
    </w:p>
    <w:p w14:paraId="1FE582D5">
      <w:pPr>
        <w:jc w:val="left"/>
      </w:pPr>
      <w:r>
        <w:rPr>
          <w:rFonts w:ascii="Times New Roman" w:hAnsi="Times New Roman" w:eastAsia="Consolas"/>
          <w:sz w:val="16"/>
        </w:rPr>
        <w:t>- **EPS Growth**:</w:t>
      </w:r>
    </w:p>
    <w:p w14:paraId="1FE582D5">
      <w:pPr>
        <w:jc w:val="left"/>
      </w:pPr>
      <w:r>
        <w:rPr>
          <w:rFonts w:ascii="Times New Roman" w:hAnsi="Times New Roman" w:eastAsia="Consolas"/>
          <w:sz w:val="16"/>
        </w:rPr>
        <w:t>- 3-Year: 2.71</w:t>
      </w:r>
    </w:p>
    <w:p w14:paraId="1FE582D5">
      <w:pPr>
        <w:jc w:val="left"/>
      </w:pPr>
      <w:r>
        <w:rPr>
          <w:rFonts w:ascii="Times New Roman" w:hAnsi="Times New Roman" w:eastAsia="Consolas"/>
          <w:sz w:val="16"/>
        </w:rPr>
        <w:t>- 5-Year: 15.41</w:t>
      </w:r>
    </w:p>
    <w:p w14:paraId="1FE582D5">
      <w:pPr>
        <w:jc w:val="left"/>
      </w:pPr>
      <w:r>
        <w:rPr>
          <w:rFonts w:ascii="Times New Roman" w:hAnsi="Times New Roman" w:eastAsia="Consolas"/>
          <w:sz w:val="16"/>
        </w:rPr>
        <w:t>- Quarterly YoY: -34</w:t>
      </w:r>
    </w:p>
    <w:p w14:paraId="1FE582D5">
      <w:pPr>
        <w:jc w:val="left"/>
      </w:pPr>
      <w:r>
        <w:rPr>
          <w:rFonts w:ascii="Times New Roman" w:hAnsi="Times New Roman" w:eastAsia="Consolas"/>
          <w:sz w:val="16"/>
        </w:rPr>
        <w:t>- **Revenue Growth**:</w:t>
      </w:r>
    </w:p>
    <w:p w14:paraId="1FE582D5">
      <w:pPr>
        <w:jc w:val="left"/>
      </w:pPr>
      <w:r>
        <w:rPr>
          <w:rFonts w:ascii="Times New Roman" w:hAnsi="Times New Roman" w:eastAsia="Consolas"/>
          <w:sz w:val="16"/>
        </w:rPr>
        <w:t>- 3-Year: 2.25</w:t>
      </w:r>
    </w:p>
    <w:p w14:paraId="1FE582D5">
      <w:pPr>
        <w:jc w:val="left"/>
      </w:pPr>
      <w:r>
        <w:rPr>
          <w:rFonts w:ascii="Times New Roman" w:hAnsi="Times New Roman" w:eastAsia="Consolas"/>
          <w:sz w:val="16"/>
        </w:rPr>
        <w:t>- 5-Year: 8.49</w:t>
      </w:r>
    </w:p>
    <w:p w14:paraId="1FE582D5">
      <w:pPr>
        <w:jc w:val="left"/>
      </w:pPr>
      <w:r>
        <w:rPr>
          <w:rFonts w:ascii="Times New Roman" w:hAnsi="Times New Roman" w:eastAsia="Consolas"/>
          <w:sz w:val="16"/>
        </w:rPr>
        <w:t>- Quarterly YoY: 6.07</w:t>
      </w:r>
    </w:p>
    <w:p w14:paraId="1FE582D5">
      <w:pPr>
        <w:jc w:val="left"/>
      </w:pPr>
      <w:r>
        <w:rPr>
          <w:rFonts w:ascii="Times New Roman" w:hAnsi="Times New Roman" w:eastAsia="Consolas"/>
          <w:sz w:val="16"/>
        </w:rPr>
        <w:t>#### Liquidity and Solvency</w:t>
      </w:r>
    </w:p>
    <w:p w14:paraId="1FE582D5">
      <w:pPr>
        <w:jc w:val="left"/>
      </w:pPr>
      <w:r>
        <w:rPr>
          <w:rFonts w:ascii="Times New Roman" w:hAnsi="Times New Roman" w:eastAsia="Consolas"/>
          <w:sz w:val="16"/>
        </w:rPr>
        <w:t>- **Current Ratio**: 0.8673</w:t>
      </w:r>
    </w:p>
    <w:p w14:paraId="1FE582D5">
      <w:pPr>
        <w:jc w:val="left"/>
      </w:pPr>
      <w:r>
        <w:rPr>
          <w:rFonts w:ascii="Times New Roman" w:hAnsi="Times New Roman" w:eastAsia="Consolas"/>
          <w:sz w:val="16"/>
        </w:rPr>
        <w:t>- **Quick Ratio**: 0.826</w:t>
      </w:r>
    </w:p>
    <w:p w14:paraId="1FE582D5">
      <w:pPr>
        <w:jc w:val="left"/>
      </w:pPr>
      <w:r>
        <w:rPr>
          <w:rFonts w:ascii="Times New Roman" w:hAnsi="Times New Roman" w:eastAsia="Consolas"/>
          <w:sz w:val="16"/>
        </w:rPr>
        <w:t>- **Long-Term Debt to Equity**: 1.5057</w:t>
      </w:r>
    </w:p>
    <w:p w14:paraId="1FE582D5">
      <w:pPr>
        <w:jc w:val="left"/>
      </w:pPr>
      <w:r>
        <w:rPr>
          <w:rFonts w:ascii="Times New Roman" w:hAnsi="Times New Roman" w:eastAsia="Consolas"/>
          <w:sz w:val="16"/>
        </w:rPr>
        <w:t>- **Total Debt to Equity**: 1.8723</w:t>
      </w:r>
    </w:p>
    <w:p w14:paraId="1FE582D5">
      <w:pPr>
        <w:jc w:val="left"/>
      </w:pPr>
      <w:r>
        <w:rPr>
          <w:rFonts w:ascii="Times New Roman" w:hAnsi="Times New Roman" w:eastAsia="Consolas"/>
          <w:sz w:val="16"/>
        </w:rPr>
        <w:t>#### Valuation Metrics</w:t>
      </w:r>
    </w:p>
    <w:p w14:paraId="1FE582D5">
      <w:pPr>
        <w:jc w:val="left"/>
      </w:pPr>
      <w:r>
        <w:rPr>
          <w:rFonts w:ascii="Times New Roman" w:hAnsi="Times New Roman" w:eastAsia="Consolas"/>
          <w:sz w:val="16"/>
        </w:rPr>
        <w:t>- **P/E Ratio**: 37.793</w:t>
      </w:r>
    </w:p>
    <w:p w14:paraId="1FE582D5">
      <w:pPr>
        <w:jc w:val="left"/>
      </w:pPr>
      <w:r>
        <w:rPr>
          <w:rFonts w:ascii="Times New Roman" w:hAnsi="Times New Roman" w:eastAsia="Consolas"/>
          <w:sz w:val="16"/>
        </w:rPr>
        <w:t>- **P/B Ratio**: 62.2048</w:t>
      </w:r>
    </w:p>
    <w:p w14:paraId="1FE582D5">
      <w:pPr>
        <w:jc w:val="left"/>
      </w:pPr>
      <w:r>
        <w:rPr>
          <w:rFonts w:ascii="Times New Roman" w:hAnsi="Times New Roman" w:eastAsia="Consolas"/>
          <w:sz w:val="16"/>
        </w:rPr>
        <w:t>- **P/CF Ratio**: 30.0517</w:t>
      </w:r>
    </w:p>
    <w:p w14:paraId="1FE582D5">
      <w:pPr>
        <w:jc w:val="left"/>
      </w:pPr>
      <w:r>
        <w:rPr>
          <w:rFonts w:ascii="Times New Roman" w:hAnsi="Times New Roman" w:eastAsia="Consolas"/>
          <w:sz w:val="16"/>
        </w:rPr>
        <w:t>#### Cash Flow and Dividends</w:t>
      </w:r>
    </w:p>
    <w:p w14:paraId="1FE582D5">
      <w:pPr>
        <w:jc w:val="left"/>
      </w:pPr>
      <w:r>
        <w:rPr>
          <w:rFonts w:ascii="Times New Roman" w:hAnsi="Times New Roman" w:eastAsia="Consolas"/>
          <w:sz w:val="16"/>
        </w:rPr>
        <w:t>- **Cash Flow Per Share**: $7.1978</w:t>
      </w:r>
    </w:p>
    <w:p w14:paraId="1FE582D5">
      <w:pPr>
        <w:jc w:val="left"/>
      </w:pPr>
      <w:r>
        <w:rPr>
          <w:rFonts w:ascii="Times New Roman" w:hAnsi="Times New Roman" w:eastAsia="Consolas"/>
          <w:sz w:val="16"/>
        </w:rPr>
        <w:t>- **Dividend Yield**: 0.4287</w:t>
      </w:r>
    </w:p>
    <w:p w14:paraId="1FE582D5">
      <w:pPr>
        <w:jc w:val="left"/>
      </w:pPr>
      <w:r>
        <w:rPr>
          <w:rFonts w:ascii="Times New Roman" w:hAnsi="Times New Roman" w:eastAsia="Consolas"/>
          <w:sz w:val="16"/>
        </w:rPr>
        <w:t>- **Payout Ratio**: 16.25</w:t>
      </w:r>
    </w:p>
    <w:p w14:paraId="1FE582D5">
      <w:pPr>
        <w:jc w:val="left"/>
      </w:pPr>
      <w:r>
        <w:rPr>
          <w:rFonts w:ascii="Times New Roman" w:hAnsi="Times New Roman" w:eastAsia="Consolas"/>
          <w:sz w:val="16"/>
        </w:rPr>
        <w:t>#### Insider Sentiment</w:t>
      </w:r>
    </w:p>
    <w:p w14:paraId="1FE582D5">
      <w:pPr>
        <w:jc w:val="left"/>
      </w:pPr>
      <w:r>
        <w:rPr>
          <w:rFonts w:ascii="Times New Roman" w:hAnsi="Times New Roman" w:eastAsia="Consolas"/>
          <w:sz w:val="16"/>
        </w:rPr>
        <w:t>The insider sentiment for 2024 shows a predominantly negative trend, with several months exhibiting the most negative Monthly Share Purchase Ratio (MSPR) possible. Notably, September showed a dramatic shift to positive sentiment, suggesting a temporary bullish outlook.</w:t>
      </w:r>
    </w:p>
    <w:p w14:paraId="1FE582D5">
      <w:pPr>
        <w:jc w:val="left"/>
      </w:pPr>
      <w:r>
        <w:rPr>
          <w:rFonts w:ascii="Times New Roman" w:hAnsi="Times New Roman" w:eastAsia="Consolas"/>
          <w:sz w:val="16"/>
        </w:rPr>
        <w:t>#### Insider Transactions</w:t>
      </w:r>
    </w:p>
    <w:p w14:paraId="1FE582D5">
      <w:pPr>
        <w:jc w:val="left"/>
      </w:pPr>
      <w:r>
        <w:rPr>
          <w:rFonts w:ascii="Times New Roman" w:hAnsi="Times New Roman" w:eastAsia="Consolas"/>
          <w:sz w:val="16"/>
        </w:rPr>
        <w:t>Recent insider transactions include significant sales by executives:</w:t>
      </w:r>
    </w:p>
    <w:p w14:paraId="1FE582D5">
      <w:pPr>
        <w:jc w:val="left"/>
      </w:pPr>
      <w:r>
        <w:rPr>
          <w:rFonts w:ascii="Times New Roman" w:hAnsi="Times New Roman" w:eastAsia="Consolas"/>
          <w:sz w:val="16"/>
        </w:rPr>
        <w:t>- **Chris Kondo** sold 4,130 shares at $228.87.</w:t>
      </w:r>
    </w:p>
    <w:p w14:paraId="1FE582D5">
      <w:pPr>
        <w:jc w:val="left"/>
      </w:pPr>
      <w:r>
        <w:rPr>
          <w:rFonts w:ascii="Times New Roman" w:hAnsi="Times New Roman" w:eastAsia="Consolas"/>
          <w:sz w:val="16"/>
        </w:rPr>
        <w:t>- **Arthur D. Levinson** sold 150,000 shares over two transactions at prices around $224.68 to $228.66.</w:t>
      </w:r>
    </w:p>
    <w:p w14:paraId="1FE582D5">
      <w:pPr>
        <w:jc w:val="left"/>
      </w:pPr>
      <w:r>
        <w:rPr>
          <w:rFonts w:ascii="Times New Roman" w:hAnsi="Times New Roman" w:eastAsia="Consolas"/>
          <w:sz w:val="16"/>
        </w:rPr>
        <w:t>- **Katherine L. Adams** gifted 8,000 shares.</w:t>
      </w:r>
    </w:p>
    <w:p w14:paraId="1FE582D5">
      <w:pPr>
        <w:jc w:val="left"/>
      </w:pPr>
      <w:r>
        <w:rPr>
          <w:rFonts w:ascii="Times New Roman" w:hAnsi="Times New Roman" w:eastAsia="Consolas"/>
          <w:sz w:val="16"/>
        </w:rPr>
        <w:t>#### Analysis and Insights</w:t>
      </w:r>
    </w:p>
    <w:p w14:paraId="1FE582D5">
      <w:pPr>
        <w:jc w:val="left"/>
      </w:pPr>
      <w:r>
        <w:rPr>
          <w:rFonts w:ascii="Times New Roman" w:hAnsi="Times New Roman" w:eastAsia="Consolas"/>
          <w:sz w:val="16"/>
        </w:rPr>
        <w:t>- **Strengths**: Apple demonstrates strong profitability and growth potential, supported by high margins and efficient asset utilization.</w:t>
      </w:r>
    </w:p>
    <w:p w14:paraId="1FE582D5">
      <w:pPr>
        <w:jc w:val="left"/>
      </w:pPr>
      <w:r>
        <w:rPr>
          <w:rFonts w:ascii="Times New Roman" w:hAnsi="Times New Roman" w:eastAsia="Consolas"/>
          <w:sz w:val="16"/>
        </w:rPr>
        <w:t>- **Weaknesses**: Liquidity constraints and high leverage pose potential risks, especially in a rising interest rate environment.</w:t>
      </w:r>
    </w:p>
    <w:p w14:paraId="1FE582D5">
      <w:pPr>
        <w:jc w:val="left"/>
      </w:pPr>
      <w:r>
        <w:rPr>
          <w:rFonts w:ascii="Times New Roman" w:hAnsi="Times New Roman" w:eastAsia="Consolas"/>
          <w:sz w:val="16"/>
        </w:rPr>
        <w:t>- **Valuation**: The stock is trading at a premium, which may be justified by its strong brand and growth prospects, but caution is advised due to potential overvaluation.</w:t>
      </w:r>
    </w:p>
    <w:p w14:paraId="1FE582D5">
      <w:pPr>
        <w:jc w:val="left"/>
      </w:pPr>
      <w:r>
        <w:rPr>
          <w:rFonts w:ascii="Times New Roman" w:hAnsi="Times New Roman" w:eastAsia="Consolas"/>
          <w:sz w:val="16"/>
        </w:rPr>
        <w:t>#### Investment Considerations</w:t>
      </w:r>
    </w:p>
    <w:p w14:paraId="1FE582D5">
      <w:pPr>
        <w:jc w:val="left"/>
      </w:pPr>
      <w:r>
        <w:rPr>
          <w:rFonts w:ascii="Times New Roman" w:hAnsi="Times New Roman" w:eastAsia="Consolas"/>
          <w:sz w:val="16"/>
        </w:rPr>
        <w:t>- **Caution on Valuation**: Insider sales suggest potential concerns about stock valuation. Investors should consider reviewing their positions.</w:t>
      </w:r>
    </w:p>
    <w:p w14:paraId="1FE582D5">
      <w:pPr>
        <w:jc w:val="left"/>
      </w:pPr>
      <w:r>
        <w:rPr>
          <w:rFonts w:ascii="Times New Roman" w:hAnsi="Times New Roman" w:eastAsia="Consolas"/>
          <w:sz w:val="16"/>
        </w:rPr>
        <w:t>- **Monitor Insider Activity**: Continued monitoring of insider transactions is recommended to validate concerns about stock valuation or company performance.</w:t>
      </w:r>
    </w:p>
    <w:p w14:paraId="1FE582D5">
      <w:pPr>
        <w:jc w:val="left"/>
      </w:pPr>
      <w:r>
        <w:rPr>
          <w:rFonts w:ascii="Times New Roman" w:hAnsi="Times New Roman" w:eastAsia="Consolas"/>
          <w:sz w:val="16"/>
        </w:rPr>
        <w:t>- **Short-term Strategy**: Given the negative insider sentiment, short-term bearish strategies might be considered.</w:t>
      </w:r>
    </w:p>
    <w:p w14:paraId="1FE582D5">
      <w:pPr>
        <w:jc w:val="left"/>
      </w:pPr>
      <w:r>
        <w:rPr>
          <w:rFonts w:ascii="Times New Roman" w:hAnsi="Times New Roman" w:eastAsia="Consolas"/>
          <w:sz w:val="16"/>
        </w:rPr>
        <w:t>#### Conclusion</w:t>
      </w:r>
    </w:p>
    <w:p w14:paraId="1FE582D5">
      <w:pPr>
        <w:jc w:val="left"/>
      </w:pPr>
      <w:r>
        <w:rPr>
          <w:rFonts w:ascii="Times New Roman" w:hAnsi="Times New Roman" w:eastAsia="Consolas"/>
          <w:sz w:val="16"/>
        </w:rPr>
        <w:t>Apple Inc. remains a financially robust company with impressive profitability and growth metrics. However, potential investors should weigh the high valuation and leverage against the company's strong market position and growth potential. The insider sentiment and transactions suggest caution, particularly regarding stock valuation. Investors should consider these factors alongside broader market conditions and company performance when making investment decisions.</w:t>
      </w:r>
    </w:p>
    <w:p w14:paraId="1FE582D5">
      <w:pPr>
        <w:jc w:val="left"/>
      </w:pPr>
      <w:r>
        <w:rPr>
          <w:rFonts w:ascii="Times New Roman" w:hAnsi="Times New Roman" w:eastAsia="Consolas"/>
          <w:sz w:val="16"/>
        </w:rPr>
        <w:t>================================ Tool Calls ================================</w:t>
      </w:r>
    </w:p>
    <w:p w14:paraId="1FE582D5">
      <w:pPr>
        <w:jc w:val="left"/>
      </w:pPr>
      <w:r>
        <w:rPr>
          <w:rFonts w:ascii="Times New Roman" w:hAnsi="Times New Roman" w:eastAsia="Consolas"/>
          <w:sz w:val="16"/>
        </w:rPr>
        <w:t>Tool Calls:</w:t>
      </w:r>
    </w:p>
    <w:p w14:paraId="1FE582D5">
      <w:pPr>
        <w:jc w:val="left"/>
      </w:pPr>
      <w:r>
        <w:rPr>
          <w:rFonts w:ascii="Times New Roman" w:hAnsi="Times New Roman" w:eastAsia="Consolas"/>
          <w:sz w:val="16"/>
        </w:rPr>
        <w:t xml:space="preserve">  get_finnhub_company_profile (call_ScxiITX7Hf6yUuOr8g41a6WP)</w:t>
      </w:r>
    </w:p>
    <w:p w14:paraId="1FE582D5">
      <w:pPr>
        <w:jc w:val="left"/>
      </w:pPr>
      <w:r>
        <w:rPr>
          <w:rFonts w:ascii="Times New Roman" w:hAnsi="Times New Roman" w:eastAsia="Consolas"/>
          <w:sz w:val="16"/>
        </w:rPr>
        <w:t xml:space="preserve"> Call ID: call_ScxiITX7Hf6yUuOr8g41a6WP</w:t>
      </w:r>
    </w:p>
    <w:p w14:paraId="1FE582D5">
      <w:pPr>
        <w:jc w:val="left"/>
      </w:pPr>
      <w:r>
        <w:rPr>
          <w:rFonts w:ascii="Times New Roman" w:hAnsi="Times New Roman" w:eastAsia="Consolas"/>
          <w:sz w:val="16"/>
        </w:rPr>
        <w:t xml:space="preserve">  Args:</w:t>
      </w:r>
    </w:p>
    <w:p w14:paraId="1FE582D5">
      <w:pPr>
        <w:jc w:val="left"/>
      </w:pPr>
      <w:r>
        <w:rPr>
          <w:rFonts w:ascii="Times New Roman" w:hAnsi="Times New Roman" w:eastAsia="Consolas"/>
          <w:sz w:val="16"/>
        </w:rPr>
        <w:t xml:space="preserve">    ticker: AAPL</w:t>
      </w:r>
    </w:p>
    <w:p w14:paraId="1FE582D5">
      <w:pPr>
        <w:jc w:val="left"/>
      </w:pPr>
      <w:r>
        <w:rPr>
          <w:rFonts w:ascii="Times New Roman" w:hAnsi="Times New Roman" w:eastAsia="Consolas"/>
          <w:sz w:val="16"/>
        </w:rPr>
        <w:t>Tool Calls:</w:t>
      </w:r>
    </w:p>
    <w:p w14:paraId="1FE582D5">
      <w:pPr>
        <w:jc w:val="left"/>
      </w:pPr>
      <w:r>
        <w:rPr>
          <w:rFonts w:ascii="Times New Roman" w:hAnsi="Times New Roman" w:eastAsia="Consolas"/>
          <w:sz w:val="16"/>
        </w:rPr>
        <w:t xml:space="preserve">  get_finnhub_company_financials_history (call_jwgyq9XbocVWIMsOpagIArQO)</w:t>
      </w:r>
    </w:p>
    <w:p w14:paraId="1FE582D5">
      <w:pPr>
        <w:jc w:val="left"/>
      </w:pPr>
      <w:r>
        <w:rPr>
          <w:rFonts w:ascii="Times New Roman" w:hAnsi="Times New Roman" w:eastAsia="Consolas"/>
          <w:sz w:val="16"/>
        </w:rPr>
        <w:t xml:space="preserve"> Call ID: call_jwgyq9XbocVWIMsOpagIArQO</w:t>
      </w:r>
    </w:p>
    <w:p w14:paraId="1FE582D5">
      <w:pPr>
        <w:jc w:val="left"/>
      </w:pPr>
      <w:r>
        <w:rPr>
          <w:rFonts w:ascii="Times New Roman" w:hAnsi="Times New Roman" w:eastAsia="Consolas"/>
          <w:sz w:val="16"/>
        </w:rPr>
        <w:t xml:space="preserve">  Args:</w:t>
      </w:r>
    </w:p>
    <w:p w14:paraId="1FE582D5">
      <w:pPr>
        <w:jc w:val="left"/>
      </w:pPr>
      <w:r>
        <w:rPr>
          <w:rFonts w:ascii="Times New Roman" w:hAnsi="Times New Roman" w:eastAsia="Consolas"/>
          <w:sz w:val="16"/>
        </w:rPr>
        <w:t xml:space="preserve">    ticker: AAPL</w:t>
      </w:r>
    </w:p>
    <w:p w14:paraId="1FE582D5">
      <w:pPr>
        <w:jc w:val="left"/>
      </w:pPr>
      <w:r>
        <w:rPr>
          <w:rFonts w:ascii="Times New Roman" w:hAnsi="Times New Roman" w:eastAsia="Consolas"/>
          <w:sz w:val="16"/>
        </w:rPr>
        <w:t xml:space="preserve">    freq: quarterly</w:t>
      </w:r>
    </w:p>
    <w:p w14:paraId="1FE582D5">
      <w:pPr>
        <w:jc w:val="left"/>
      </w:pPr>
      <w:r>
        <w:rPr>
          <w:rFonts w:ascii="Times New Roman" w:hAnsi="Times New Roman" w:eastAsia="Consolas"/>
          <w:sz w:val="16"/>
        </w:rPr>
        <w:t xml:space="preserve">    end_date: 2024-11-19</w:t>
      </w:r>
    </w:p>
    <w:p w14:paraId="1FE582D5">
      <w:pPr>
        <w:jc w:val="left"/>
      </w:pPr>
      <w:r>
        <w:rPr>
          <w:rFonts w:ascii="Times New Roman" w:hAnsi="Times New Roman" w:eastAsia="Consolas"/>
          <w:sz w:val="16"/>
        </w:rPr>
        <w:t xml:space="preserve">  get_finnhub_basic_company_financials (call_o2JV2EjmMuTK3Z85debseS9C)</w:t>
      </w:r>
    </w:p>
    <w:p w14:paraId="1FE582D5">
      <w:pPr>
        <w:jc w:val="left"/>
      </w:pPr>
      <w:r>
        <w:rPr>
          <w:rFonts w:ascii="Times New Roman" w:hAnsi="Times New Roman" w:eastAsia="Consolas"/>
          <w:sz w:val="16"/>
        </w:rPr>
        <w:t xml:space="preserve"> Call ID: call_o2JV2EjmMuTK3Z85debseS9C</w:t>
      </w:r>
    </w:p>
    <w:p w14:paraId="1FE582D5">
      <w:pPr>
        <w:jc w:val="left"/>
      </w:pPr>
      <w:r>
        <w:rPr>
          <w:rFonts w:ascii="Times New Roman" w:hAnsi="Times New Roman" w:eastAsia="Consolas"/>
          <w:sz w:val="16"/>
        </w:rPr>
        <w:t xml:space="preserve">  Args:</w:t>
      </w:r>
    </w:p>
    <w:p w14:paraId="1FE582D5">
      <w:pPr>
        <w:jc w:val="left"/>
      </w:pPr>
      <w:r>
        <w:rPr>
          <w:rFonts w:ascii="Times New Roman" w:hAnsi="Times New Roman" w:eastAsia="Consolas"/>
          <w:sz w:val="16"/>
        </w:rPr>
        <w:t xml:space="preserve">    ticker: AAPL</w:t>
      </w:r>
    </w:p>
    <w:p w14:paraId="1FE582D5">
      <w:pPr>
        <w:jc w:val="left"/>
      </w:pPr>
      <w:r>
        <w:rPr>
          <w:rFonts w:ascii="Times New Roman" w:hAnsi="Times New Roman" w:eastAsia="Consolas"/>
          <w:sz w:val="16"/>
        </w:rPr>
        <w:t xml:space="preserve">  get_finnhub_company_insider_sentiment (call_DqhGKetFeNB3zWlHLJdrTE8H)</w:t>
      </w:r>
    </w:p>
    <w:p w14:paraId="1FE582D5">
      <w:pPr>
        <w:jc w:val="left"/>
      </w:pPr>
      <w:r>
        <w:rPr>
          <w:rFonts w:ascii="Times New Roman" w:hAnsi="Times New Roman" w:eastAsia="Consolas"/>
          <w:sz w:val="16"/>
        </w:rPr>
        <w:t xml:space="preserve"> Call ID: call_DqhGKetFeNB3zWlHLJdrTE8H</w:t>
      </w:r>
    </w:p>
    <w:p w14:paraId="1FE582D5">
      <w:pPr>
        <w:jc w:val="left"/>
      </w:pPr>
      <w:r>
        <w:rPr>
          <w:rFonts w:ascii="Times New Roman" w:hAnsi="Times New Roman" w:eastAsia="Consolas"/>
          <w:sz w:val="16"/>
        </w:rPr>
        <w:t xml:space="preserve">  Args:</w:t>
      </w:r>
    </w:p>
    <w:p w14:paraId="1FE582D5">
      <w:pPr>
        <w:jc w:val="left"/>
      </w:pPr>
      <w:r>
        <w:rPr>
          <w:rFonts w:ascii="Times New Roman" w:hAnsi="Times New Roman" w:eastAsia="Times New Roman"/>
          <w:b/>
          <w:sz w:val="21"/>
        </w:rPr>
        <w:t>TradingAgents: Researcher Team Bullish Opinion – Apple (AAPL)</w:t>
      </w:r>
    </w:p>
    <w:p w14:paraId="1FE582D5">
      <w:pPr>
        <w:jc w:val="left"/>
      </w:pPr>
      <w:r>
        <w:rPr>
          <w:rFonts w:ascii="Times New Roman" w:hAnsi="Times New Roman" w:eastAsia="Consolas"/>
          <w:sz w:val="16"/>
        </w:rPr>
        <w:t>[style=agentbase]</w:t>
      </w:r>
    </w:p>
    <w:p w14:paraId="1FE582D5">
      <w:pPr>
        <w:jc w:val="left"/>
      </w:pPr>
      <w:r>
        <w:rPr>
          <w:rFonts w:ascii="Times New Roman" w:hAnsi="Times New Roman" w:eastAsia="Consolas"/>
          <w:sz w:val="16"/>
        </w:rPr>
        <w:t>[Bullish Researcher]</w:t>
      </w:r>
    </w:p>
    <w:p w14:paraId="1FE582D5">
      <w:pPr>
        <w:jc w:val="left"/>
      </w:pPr>
      <w:r>
        <w:rPr>
          <w:rFonts w:ascii="Times New Roman" w:hAnsi="Times New Roman" w:eastAsia="Consolas"/>
          <w:sz w:val="16"/>
        </w:rPr>
        <w:t>Bull Researcher: Alright, let's dive into why Apple is a solid investment opportunity right now, despite some of the bearish concerns that have been raised.</w:t>
      </w:r>
    </w:p>
    <w:p w14:paraId="1FE582D5">
      <w:pPr>
        <w:jc w:val="left"/>
      </w:pPr>
      <w:r>
        <w:rPr>
          <w:rFonts w:ascii="Times New Roman" w:hAnsi="Times New Roman" w:eastAsia="Consolas"/>
          <w:sz w:val="16"/>
        </w:rPr>
        <w:t>First off, let's talk about growth potential. Apple's expansion into the smart home market with a new AI-powered device is a significant move. This isn't just about keeping up with competitors like Amazon and Google; it's about leveraging their existing ecosystem to create a seamless user experience. Apple's ability to integrate new products into its ecosystem is a huge competitive advantage. This isn't just a new product; it's a strategic expansion that could drive significant revenue growth.</w:t>
      </w:r>
    </w:p>
    <w:p w14:paraId="1FE582D5">
      <w:pPr>
        <w:jc w:val="left"/>
      </w:pPr>
      <w:r>
        <w:rPr>
          <w:rFonts w:ascii="Times New Roman" w:hAnsi="Times New Roman" w:eastAsia="Consolas"/>
          <w:sz w:val="16"/>
        </w:rPr>
        <w:t>Now, I know the bear argument might point to challenges in China due to geopolitical tensions. But let's not forget that Apple has a history of navigating complex international markets successfully. Their strong brand loyalty and innovative product lineup give them a buffer against these challenges. Plus, the global demand for Apple's products remains robust, as evidenced by their impressive revenue growth metrics over the past five years.</w:t>
      </w:r>
    </w:p>
    <w:p w14:paraId="1FE582D5">
      <w:pPr>
        <w:jc w:val="left"/>
      </w:pPr>
      <w:r>
        <w:rPr>
          <w:rFonts w:ascii="Times New Roman" w:hAnsi="Times New Roman" w:eastAsia="Consolas"/>
          <w:sz w:val="16"/>
        </w:rPr>
        <w:t>Speaking of financials, Apple's profitability metrics are outstanding. With a gross margin of 46.21</w:t>
      </w:r>
    </w:p>
    <w:p w14:paraId="1FE582D5">
      <w:pPr>
        <w:jc w:val="left"/>
      </w:pPr>
      <w:r>
        <w:rPr>
          <w:rFonts w:ascii="Times New Roman" w:hAnsi="Times New Roman" w:eastAsia="Consolas"/>
          <w:sz w:val="16"/>
        </w:rPr>
        <w:t>The bear argument might also highlight insider sales as a red flag. However, insider sales can happen for a variety of reasons, not necessarily because insiders believe the stock is overvalued. It's crucial to look at the broader picture. The fact that major investment firms are increasing their holdings in Apple suggests that institutional investors see long-term value here.</w:t>
      </w:r>
    </w:p>
    <w:p w14:paraId="1FE582D5">
      <w:pPr>
        <w:jc w:val="left"/>
      </w:pPr>
      <w:r>
        <w:rPr>
          <w:rFonts w:ascii="Times New Roman" w:hAnsi="Times New Roman" w:eastAsia="Consolas"/>
          <w:sz w:val="16"/>
        </w:rPr>
        <w:t>Let's address the liquidity and leverage concerns. While Apple's current and quick ratios are below 1, indicating potential liquidity constraints, it's important to remember that Apple generates substantial cash flow. Their cash flow per share is strong, and they have a history of effectively managing their debt. This financial strength gives them the flexibility to invest in growth opportunities and weather economic uncertainties.</w:t>
      </w:r>
    </w:p>
    <w:p w14:paraId="1FE582D5">
      <w:pPr>
        <w:jc w:val="left"/>
      </w:pPr>
      <w:r>
        <w:rPr>
          <w:rFonts w:ascii="Times New Roman" w:hAnsi="Times New Roman" w:eastAsia="Consolas"/>
          <w:sz w:val="16"/>
        </w:rPr>
        <w:t>Finally, let's talk about market sentiment. Despite some fluctuations, the overall sentiment trend for Apple is predominantly positive. The spikes in positive sentiment, particularly on days with favorable news, indicate that the market is generally optimistic about Apple's prospects. This aligns with the technical indicators showing a bullish market sentiment, such as the upward trend in Bollinger Bands and MACD values.</w:t>
      </w:r>
    </w:p>
    <w:p w14:paraId="1FE582D5">
      <w:pPr>
        <w:jc w:val="left"/>
      </w:pPr>
      <w:r>
        <w:rPr>
          <w:rFonts w:ascii="Times New Roman" w:hAnsi="Times New Roman" w:eastAsia="Consolas"/>
          <w:sz w:val="16"/>
        </w:rPr>
        <w:t>In conclusion, while there are always risks to consider, Apple's strong growth potential, competitive advantages, and robust financial performance make it a compelling investment opportunity. The bearish concerns, while valid, are outweighed by the company's strengths and the positive market sentiment. Investing in Apple means betting on a company with a proven track record of innovation and success.</w:t>
      </w:r>
    </w:p>
    <w:p w14:paraId="1FE582D5">
      <w:pPr>
        <w:jc w:val="left"/>
      </w:pPr>
      <w:r>
        <w:rPr>
          <w:rFonts w:ascii="Times New Roman" w:hAnsi="Times New Roman" w:eastAsia="Times New Roman"/>
          <w:b/>
          <w:sz w:val="21"/>
        </w:rPr>
        <w:t>TradingAgents: Researcher Team Bearish Opinion – Apple (AAPL)</w:t>
      </w:r>
    </w:p>
    <w:p w14:paraId="1FE582D5">
      <w:pPr>
        <w:jc w:val="left"/>
      </w:pPr>
      <w:r>
        <w:rPr>
          <w:rFonts w:ascii="Times New Roman" w:hAnsi="Times New Roman" w:eastAsia="Consolas"/>
          <w:sz w:val="16"/>
        </w:rPr>
        <w:t>[style=agentbase]</w:t>
      </w:r>
    </w:p>
    <w:p w14:paraId="1FE582D5">
      <w:pPr>
        <w:jc w:val="left"/>
      </w:pPr>
      <w:r>
        <w:rPr>
          <w:rFonts w:ascii="Times New Roman" w:hAnsi="Times New Roman" w:eastAsia="Consolas"/>
          <w:sz w:val="16"/>
        </w:rPr>
        <w:t>[Bearish Researcher]</w:t>
      </w:r>
    </w:p>
    <w:p w14:paraId="1FE582D5">
      <w:pPr>
        <w:jc w:val="left"/>
      </w:pPr>
      <w:r>
        <w:rPr>
          <w:rFonts w:ascii="Times New Roman" w:hAnsi="Times New Roman" w:eastAsia="Consolas"/>
          <w:sz w:val="16"/>
        </w:rPr>
        <w:t>Bear Researcher: Alright, let's dive into why investing in Apple right now might be riskier than it seems, despite the bullish enthusiasm.</w:t>
      </w:r>
    </w:p>
    <w:p w14:paraId="1FE582D5">
      <w:pPr>
        <w:jc w:val="left"/>
      </w:pPr>
      <w:r>
        <w:rPr>
          <w:rFonts w:ascii="Times New Roman" w:hAnsi="Times New Roman" w:eastAsia="Consolas"/>
          <w:sz w:val="16"/>
        </w:rPr>
        <w:t>First, let's tackle the growth potential argument. Yes, Apple is expanding into the smart home market with a new AI-powered device, but let's not overlook the intense competition from established players like Amazon and Google. These companies have been in the smart home space for years and have a significant head start. Apple's late entry could mean they face an uphill battle to capture market share, and there's no guarantee that their ecosystem will be enough to sway consumers away from competitors.</w:t>
      </w:r>
    </w:p>
    <w:p w14:paraId="1FE582D5">
      <w:pPr>
        <w:jc w:val="left"/>
      </w:pPr>
      <w:r>
        <w:rPr>
          <w:rFonts w:ascii="Times New Roman" w:hAnsi="Times New Roman" w:eastAsia="Consolas"/>
          <w:sz w:val="16"/>
        </w:rPr>
        <w:t>Now, about the geopolitical tensions with China. The bullish view suggests Apple can navigate these challenges due to brand loyalty and innovation. However, the reality is that geopolitical tensions can lead to sudden regulatory changes, tariffs, or even consumer boycotts, which could severely impact Apple's supply chain and sales in one of its largest markets. The risks here are not just theoretical; they're very real and could have substantial financial implications.</w:t>
      </w:r>
    </w:p>
    <w:p w14:paraId="1FE582D5">
      <w:pPr>
        <w:jc w:val="left"/>
      </w:pPr>
      <w:r>
        <w:rPr>
          <w:rFonts w:ascii="Times New Roman" w:hAnsi="Times New Roman" w:eastAsia="Consolas"/>
          <w:sz w:val="16"/>
        </w:rPr>
        <w:t>Regarding financials, while Apple's profitability metrics are indeed strong, the high PE ratio is a red flag. It suggests that the stock is priced for perfection, leaving little room for error. Any misstep or negative news could lead to a significant correction. The bullish argument glosses over this by attributing it to investor confidence, but high valuations can also indicate overvaluation, which is a risk in itself.</w:t>
      </w:r>
    </w:p>
    <w:p w14:paraId="1FE582D5">
      <w:pPr>
        <w:jc w:val="left"/>
      </w:pPr>
      <w:r>
        <w:rPr>
          <w:rFonts w:ascii="Times New Roman" w:hAnsi="Times New Roman" w:eastAsia="Consolas"/>
          <w:sz w:val="16"/>
        </w:rPr>
        <w:t>Insider sales are another point of concern. While it's true that insiders sell for various reasons, the pattern of significant sales by top executives could indicate a lack of confidence in the stock's current valuation. This isn't something to dismiss lightly, especially when combined with the negative insider sentiment observed throughout the year.</w:t>
      </w:r>
    </w:p>
    <w:p w14:paraId="1FE582D5">
      <w:pPr>
        <w:jc w:val="left"/>
      </w:pPr>
      <w:r>
        <w:rPr>
          <w:rFonts w:ascii="Times New Roman" w:hAnsi="Times New Roman" w:eastAsia="Consolas"/>
          <w:sz w:val="16"/>
        </w:rPr>
        <w:t>On liquidity and leverage, the bullish argument mentions Apple's strong cash flow, but the current and quick ratios below 1 are concerning. This indicates potential liquidity issues, which could be problematic if economic conditions worsen or if Apple needs to make significant investments to stay competitive. High leverage also means increased risk, especially in a rising interest rate environment where debt servicing costs could escalate.</w:t>
      </w:r>
    </w:p>
    <w:p w14:paraId="1FE582D5">
      <w:pPr>
        <w:jc w:val="left"/>
      </w:pPr>
      <w:r>
        <w:rPr>
          <w:rFonts w:ascii="Times New Roman" w:hAnsi="Times New Roman" w:eastAsia="Consolas"/>
          <w:sz w:val="16"/>
        </w:rPr>
        <w:t>Finally, let's address market sentiment. While there have been spikes in positive sentiment, the overall picture is mixed, with notable negative sentiment days. This volatility in sentiment suggests that the market is uncertain about Apple's future, which aligns with the technical indicators showing potential for price corrections and ongoing volatility.</w:t>
      </w:r>
    </w:p>
    <w:p w14:paraId="1FE582D5">
      <w:pPr>
        <w:jc w:val="left"/>
      </w:pPr>
      <w:r>
        <w:rPr>
          <w:rFonts w:ascii="Times New Roman" w:hAnsi="Times New Roman" w:eastAsia="Consolas"/>
          <w:sz w:val="16"/>
        </w:rPr>
        <w:t>In conclusion, while Apple is undoubtedly a strong company with a history of success, the current investment landscape is fraught with risks. High valuation, geopolitical tensions, insider sales, and liquidity concerns all point to potential vulnerabilities. The bullish arguments, while highlighting Apple's strengths, don't fully account for these risks. As a bear, I believe it's crucial to approach Apple with caution, considering the potential for downside in the current market environment.</w:t>
      </w:r>
    </w:p>
    <w:p w14:paraId="1FE582D5">
      <w:pPr>
        <w:jc w:val="left"/>
      </w:pPr>
      <w:r>
        <w:rPr>
          <w:rFonts w:ascii="Times New Roman" w:hAnsi="Times New Roman" w:eastAsia="Times New Roman"/>
          <w:b/>
          <w:sz w:val="21"/>
        </w:rPr>
        <w:t>TradingAgents: Risk Management Team Aggressive Agent – Apple (AAPL)</w:t>
      </w:r>
    </w:p>
    <w:p w14:paraId="1FE582D5">
      <w:pPr>
        <w:jc w:val="left"/>
      </w:pPr>
      <w:r>
        <w:rPr>
          <w:rFonts w:ascii="Times New Roman" w:hAnsi="Times New Roman" w:eastAsia="Consolas"/>
          <w:sz w:val="16"/>
        </w:rPr>
        <w:t>[style=agentbase]</w:t>
      </w:r>
    </w:p>
    <w:p w14:paraId="1FE582D5">
      <w:pPr>
        <w:jc w:val="left"/>
      </w:pPr>
      <w:r>
        <w:rPr>
          <w:rFonts w:ascii="Times New Roman" w:hAnsi="Times New Roman" w:eastAsia="Consolas"/>
          <w:sz w:val="16"/>
        </w:rPr>
        <w:t>[Risky Analyst]</w:t>
      </w:r>
    </w:p>
    <w:p w14:paraId="1FE582D5">
      <w:pPr>
        <w:jc w:val="left"/>
      </w:pPr>
      <w:r>
        <w:rPr>
          <w:rFonts w:ascii="Times New Roman" w:hAnsi="Times New Roman" w:eastAsia="Consolas"/>
          <w:sz w:val="16"/>
        </w:rPr>
        <w:t>Risky Analyst: Let's dive into why a high-reward, high-risk approach with Apple Inc. (AAPL) is the optimal strategy right now, especially when considering the current market dynamics and sentiment.</w:t>
      </w:r>
    </w:p>
    <w:p w14:paraId="1FE582D5">
      <w:pPr>
        <w:jc w:val="left"/>
      </w:pPr>
      <w:r>
        <w:rPr>
          <w:rFonts w:ascii="Times New Roman" w:hAnsi="Times New Roman" w:eastAsia="Consolas"/>
          <w:sz w:val="16"/>
        </w:rPr>
        <w:t>First, let's address the conservative analyst's likely concerns about the potential for price corrections due to overbought conditions and high valuation. While it's true that the RSI and CCI indicate overbought conditions, these are signs of strong upward momentum. The market is clearly bullish, as evidenced by the consistent upward trend in Bollinger Bands and MACD values. This bullish sentiment is further supported by the positive social media sentiment peaks on November 15 and 11, suggesting favorable developments that could drive the stock higher. By focusing too much on potential corrections, the conservative view might miss the opportunity to capitalize on this momentum.</w:t>
      </w:r>
    </w:p>
    <w:p w14:paraId="1FE582D5">
      <w:pPr>
        <w:jc w:val="left"/>
      </w:pPr>
      <w:r>
        <w:rPr>
          <w:rFonts w:ascii="Times New Roman" w:hAnsi="Times New Roman" w:eastAsia="Consolas"/>
          <w:sz w:val="16"/>
        </w:rPr>
        <w:t>Now, regarding the neutral analyst's probable stance on the weakening trend strength indicated by the ADX and the stable supertrend suggesting consolidation, these are precisely the conditions that set the stage for potential breakouts. The market's current consolidation phase, coupled with the heightened volatility indicated by the ATR, presents a ripe environment for significant upward movements. The neutral perspective might overlook the potential for these breakouts, which could lead to substantial gains for those willing to take the risk.</w:t>
      </w:r>
    </w:p>
    <w:p w14:paraId="1FE582D5">
      <w:pPr>
        <w:jc w:val="left"/>
      </w:pPr>
      <w:r>
        <w:rPr>
          <w:rFonts w:ascii="Times New Roman" w:hAnsi="Times New Roman" w:eastAsia="Consolas"/>
          <w:sz w:val="16"/>
        </w:rPr>
        <w:t>Furthermore, the global economic and political environment, while presenting challenges such as US-China tensions, also offers opportunities. The return of Donald Trump and potential deregulation could spur innovation and spending in the tech sector, benefiting companies like Apple. The expansion into the smart home market with AI-powered devices positions Apple to capture new growth areas, which the conservative and neutral views might underestimate.</w:t>
      </w:r>
    </w:p>
    <w:p w14:paraId="1FE582D5">
      <w:pPr>
        <w:jc w:val="left"/>
      </w:pPr>
      <w:r>
        <w:rPr>
          <w:rFonts w:ascii="Times New Roman" w:hAnsi="Times New Roman" w:eastAsia="Consolas"/>
          <w:sz w:val="16"/>
        </w:rPr>
        <w:t>From a fundamental standpoint, Apple's strong profitability metrics, such as a 46.21</w:t>
      </w:r>
    </w:p>
    <w:p w14:paraId="1FE582D5">
      <w:pPr>
        <w:jc w:val="left"/>
      </w:pPr>
      <w:r>
        <w:rPr>
          <w:rFonts w:ascii="Times New Roman" w:hAnsi="Times New Roman" w:eastAsia="Consolas"/>
          <w:sz w:val="16"/>
        </w:rPr>
        <w:t>In conclusion, while there are risks associated with investing in Apple at this juncture, the potential rewards far outweigh them. The market's bullish sentiment, coupled with Apple's strategic initiatives and strong financials, presents a compelling case for a high-reward approach. By embracing this strategy, traders can position themselves to outpace market norms and capitalize on the opportunities that others might overlook due to excessive caution.</w:t>
      </w:r>
    </w:p>
    <w:p w14:paraId="1FE582D5">
      <w:pPr>
        <w:jc w:val="left"/>
      </w:pPr>
      <w:r>
        <w:rPr>
          <w:rFonts w:ascii="Times New Roman" w:hAnsi="Times New Roman" w:eastAsia="Consolas"/>
          <w:sz w:val="16"/>
        </w:rPr>
        <w:t>Safe Analyst: Let's take a closer look at the arguments presented by the Risky Analyst and why a conservative approach is more prudent in this situation.</w:t>
      </w:r>
    </w:p>
    <w:p w14:paraId="1FE582D5">
      <w:pPr>
        <w:jc w:val="left"/>
      </w:pPr>
      <w:r>
        <w:rPr>
          <w:rFonts w:ascii="Times New Roman" w:hAnsi="Times New Roman" w:eastAsia="Times New Roman"/>
          <w:b/>
          <w:sz w:val="21"/>
        </w:rPr>
        <w:t>TradingAgents: Risk Management Team Conservative Agent – Apple (AAPL)</w:t>
      </w:r>
    </w:p>
    <w:p w14:paraId="1FE582D5">
      <w:pPr>
        <w:jc w:val="left"/>
      </w:pPr>
      <w:r>
        <w:rPr>
          <w:rFonts w:ascii="Times New Roman" w:hAnsi="Times New Roman" w:eastAsia="Consolas"/>
          <w:sz w:val="16"/>
        </w:rPr>
        <w:t>[style=agentbase]</w:t>
      </w:r>
    </w:p>
    <w:p w14:paraId="1FE582D5">
      <w:pPr>
        <w:jc w:val="left"/>
      </w:pPr>
      <w:r>
        <w:rPr>
          <w:rFonts w:ascii="Times New Roman" w:hAnsi="Times New Roman" w:eastAsia="Consolas"/>
          <w:sz w:val="16"/>
        </w:rPr>
        <w:t>[Safe Analyst]</w:t>
      </w:r>
    </w:p>
    <w:p w14:paraId="1FE582D5">
      <w:pPr>
        <w:jc w:val="left"/>
      </w:pPr>
      <w:r>
        <w:rPr>
          <w:rFonts w:ascii="Times New Roman" w:hAnsi="Times New Roman" w:eastAsia="Consolas"/>
          <w:sz w:val="16"/>
        </w:rPr>
        <w:t>Firstly, the Risky Analyst highlights the overbought conditions indicated by the RSI and CCI as signs of strong upward momentum. However, these indicators also suggest that the stock is potentially overvalued and ripe for a correction. Ignoring these signals could lead to significant losses if the market corrects, which is a real possibility given the high volatility indicated by the ATR. The conservative approach would be to wait for these indicators to stabilize before making any aggressive moves, thereby minimizing the risk of buying at a peak.</w:t>
      </w:r>
    </w:p>
    <w:p w14:paraId="1FE582D5">
      <w:pPr>
        <w:jc w:val="left"/>
      </w:pPr>
      <w:r>
        <w:rPr>
          <w:rFonts w:ascii="Times New Roman" w:hAnsi="Times New Roman" w:eastAsia="Consolas"/>
          <w:sz w:val="16"/>
        </w:rPr>
        <w:t>Regarding the potential for breakouts during the consolidation phase, as suggested by the ADX and supertrend indicators, it's important to remember that consolidation can also lead to breakdowns, not just breakouts. The heightened volatility and fluctuating volume further increase the uncertainty. A cautious strategy would involve waiting for clearer signals of a breakout before committing significant resources, thus protecting the firm's assets from unnecessary exposure to risk.</w:t>
      </w:r>
    </w:p>
    <w:p w14:paraId="1FE582D5">
      <w:pPr>
        <w:jc w:val="left"/>
      </w:pPr>
      <w:r>
        <w:rPr>
          <w:rFonts w:ascii="Times New Roman" w:hAnsi="Times New Roman" w:eastAsia="Consolas"/>
          <w:sz w:val="16"/>
        </w:rPr>
        <w:t>The Risky Analyst also mentions the potential benefits of deregulation and Apple's expansion into new markets. While these are positive developments, they are speculative and contingent on numerous external factors, such as geopolitical tensions and economic policies, which are currently unpredictable. The ongoing US-China tensions, for instance, pose a significant risk to Apple's operations and supply chain, which could negatively impact its stock performance. A conservative approach would involve closely monitoring these developments and adjusting strategies accordingly, rather than making premature investments based on uncertain outcomes.</w:t>
      </w:r>
    </w:p>
    <w:p w14:paraId="1FE582D5">
      <w:pPr>
        <w:jc w:val="left"/>
      </w:pPr>
      <w:r>
        <w:rPr>
          <w:rFonts w:ascii="Times New Roman" w:hAnsi="Times New Roman" w:eastAsia="Consolas"/>
          <w:sz w:val="16"/>
        </w:rPr>
        <w:t>From a fundamental perspective, while Apple's profitability metrics are indeed strong, the high valuation and insider sales are red flags that cannot be ignored. The P/E and P/B ratios suggest that the stock is trading at a premium, which could lead to a sharp decline if market sentiment shifts. Insider sales further indicate that those closest to the company might believe the stock is overvalued. A conservative strategy would involve reassessing the valuation and waiting for a more favorable entry point, ensuring that investments are made at a sustainable price level.</w:t>
      </w:r>
    </w:p>
    <w:p w14:paraId="1FE582D5">
      <w:pPr>
        <w:jc w:val="left"/>
      </w:pPr>
      <w:r>
        <w:rPr>
          <w:rFonts w:ascii="Times New Roman" w:hAnsi="Times New Roman" w:eastAsia="Consolas"/>
          <w:sz w:val="16"/>
        </w:rPr>
        <w:t>In conclusion, while the potential for high rewards exists, the associated risks are substantial and could jeopardize the firm's assets. A conservative approach prioritizes stability and long-term growth by carefully evaluating market conditions and avoiding unnecessary exposure to volatility. By focusing on risk mitigation and asset protection, we can ensure steady, reliable growth without succumbing to the allure of short-term gains that may not be sustainable.</w:t>
      </w:r>
    </w:p>
    <w:p w14:paraId="1FE582D5">
      <w:pPr>
        <w:jc w:val="left"/>
      </w:pPr>
      <w:r>
        <w:rPr>
          <w:rFonts w:ascii="Times New Roman" w:hAnsi="Times New Roman" w:eastAsia="Consolas"/>
          <w:sz w:val="16"/>
        </w:rPr>
        <w:t>Neutral Analyst: Alright, let's dive into this discussion and find a balanced perspective between the Risky and Safe Analysts' viewpoints on Apple Inc. (AAPL).</w:t>
      </w:r>
    </w:p>
    <w:p w14:paraId="1FE582D5">
      <w:pPr>
        <w:jc w:val="left"/>
      </w:pPr>
      <w:r>
        <w:rPr>
          <w:rFonts w:ascii="Times New Roman" w:hAnsi="Times New Roman" w:eastAsia="Times New Roman"/>
          <w:b/>
          <w:sz w:val="21"/>
        </w:rPr>
        <w:t>TradingAgents: Risk Management Team Neutral Agent – Apple (AAPL)</w:t>
      </w:r>
    </w:p>
    <w:p w14:paraId="1FE582D5">
      <w:pPr>
        <w:jc w:val="left"/>
      </w:pPr>
      <w:r>
        <w:rPr>
          <w:rFonts w:ascii="Times New Roman" w:hAnsi="Times New Roman" w:eastAsia="Consolas"/>
          <w:sz w:val="16"/>
        </w:rPr>
        <w:t>[style=agentbase]</w:t>
      </w:r>
    </w:p>
    <w:p w14:paraId="1FE582D5">
      <w:pPr>
        <w:jc w:val="left"/>
      </w:pPr>
      <w:r>
        <w:rPr>
          <w:rFonts w:ascii="Times New Roman" w:hAnsi="Times New Roman" w:eastAsia="Consolas"/>
          <w:sz w:val="16"/>
        </w:rPr>
        <w:t>[Neutral Analyst]</w:t>
      </w:r>
    </w:p>
    <w:p w14:paraId="1FE582D5">
      <w:pPr>
        <w:jc w:val="left"/>
      </w:pPr>
      <w:r>
        <w:rPr>
          <w:rFonts w:ascii="Times New Roman" w:hAnsi="Times New Roman" w:eastAsia="Consolas"/>
          <w:sz w:val="16"/>
        </w:rPr>
        <w:t>Starting with the Risky Analyst's perspective, there's a strong emphasis on the bullish momentum and potential for high rewards. It's true that indicators like the RSI and MACD suggest upward momentum, and the positive sentiment peaks could signal favorable developments. However, the Risky Analyst might be underestimating the potential for a market correction. The overbought conditions and high volatility indicated by the ATR suggest that the market could swing either way. While the potential for breakouts exists, it's crucial to remember that these conditions can also lead to significant downturns. A more balanced approach would involve setting stop-loss orders or considering options strategies to hedge against potential losses while still participating in the upside.</w:t>
      </w:r>
    </w:p>
    <w:p w14:paraId="1FE582D5">
      <w:pPr>
        <w:jc w:val="left"/>
      </w:pPr>
      <w:r>
        <w:rPr>
          <w:rFonts w:ascii="Times New Roman" w:hAnsi="Times New Roman" w:eastAsia="Consolas"/>
          <w:sz w:val="16"/>
        </w:rPr>
        <w:t>On the other hand, the Safe Analyst is right to point out the risks associated with overvaluation and insider sales. The high P/E and P/B ratios do suggest that Apple might be trading at a premium, and insider sales could be a red flag. However, the Safe Analyst might be overly cautious by suggesting waiting for a more favorable entry point. Given Apple's strong profitability metrics and strategic initiatives, there could be missed opportunities if one waits too long. Instead, a moderate approach could involve gradually building a position in Apple, allowing for dollar-cost averaging to mitigate the risk of buying at a peak.</w:t>
      </w:r>
    </w:p>
    <w:p w14:paraId="1FE582D5">
      <w:pPr>
        <w:jc w:val="left"/>
      </w:pPr>
      <w:r>
        <w:rPr>
          <w:rFonts w:ascii="Times New Roman" w:hAnsi="Times New Roman" w:eastAsia="Consolas"/>
          <w:sz w:val="16"/>
        </w:rPr>
        <w:t>Regarding the geopolitical and economic factors, both analysts have valid points. The Risky Analyst sees potential in deregulation and Apple's expansion into new markets, while the Safe Analyst rightly highlights the unpredictability of these factors. A balanced strategy would involve closely monitoring these developments and being ready to adjust positions as new information becomes available. Diversifying investments across different sectors or geographies could also help mitigate the risks associated with geopolitical tensions.</w:t>
      </w:r>
    </w:p>
    <w:p w14:paraId="1FE582D5">
      <w:pPr>
        <w:jc w:val="left"/>
      </w:pPr>
      <w:r>
        <w:rPr>
          <w:rFonts w:ascii="Times New Roman" w:hAnsi="Times New Roman" w:eastAsia="Consolas"/>
          <w:sz w:val="16"/>
        </w:rPr>
        <w:t>In conclusion, a moderate risk strategy would involve a careful balance of taking advantage of Apple's growth potential while safeguarding against extreme volatility. This could include using a mix of technical analysis to time entries and exits, fundamental analysis to assess long-term value, and diversification to spread risk. By adopting this balanced approach, investors can aim for steady growth without exposing themselves to unnecessary risks.</w:t>
      </w:r>
    </w:p>
    <w:p w14:paraId="1FE582D5">
      <w:pPr>
        <w:jc w:val="left"/>
      </w:pPr>
      <w:r>
        <w:rPr>
          <w:rFonts w:ascii="Times New Roman" w:hAnsi="Times New Roman" w:eastAsia="Times New Roman"/>
          <w:b/>
          <w:sz w:val="21"/>
        </w:rPr>
        <w:t>TradingAgents: Fund Manager – Apple (AAPL)</w:t>
      </w:r>
    </w:p>
    <w:p w14:paraId="1FE582D5">
      <w:pPr>
        <w:jc w:val="left"/>
      </w:pPr>
      <w:r>
        <w:rPr>
          <w:rFonts w:ascii="Times New Roman" w:hAnsi="Times New Roman" w:eastAsia="Consolas"/>
          <w:sz w:val="16"/>
        </w:rPr>
        <w:t>[style=agentbase]</w:t>
      </w:r>
    </w:p>
    <w:p w14:paraId="1FE582D5">
      <w:pPr>
        <w:jc w:val="left"/>
      </w:pPr>
      <w:r>
        <w:rPr>
          <w:rFonts w:ascii="Times New Roman" w:hAnsi="Times New Roman" w:eastAsia="Consolas"/>
          <w:sz w:val="16"/>
        </w:rPr>
        <w:t>[Manager]</w:t>
      </w:r>
    </w:p>
    <w:p w14:paraId="1FE582D5">
      <w:pPr>
        <w:jc w:val="left"/>
      </w:pPr>
      <w:r>
        <w:rPr>
          <w:rFonts w:ascii="Times New Roman" w:hAnsi="Times New Roman" w:eastAsia="Consolas"/>
          <w:sz w:val="16"/>
        </w:rPr>
        <w:t>Based on the investment plan provided and the analysis of both bullish and bearish perspectives, I concur with the recommendation to **Buy** Apple (AAPL) shares. Here is a summary of the rationale:</w:t>
      </w:r>
    </w:p>
    <w:p w14:paraId="1FE582D5">
      <w:pPr>
        <w:jc w:val="left"/>
      </w:pPr>
      <w:r>
        <w:rPr>
          <w:rFonts w:ascii="Times New Roman" w:hAnsi="Times New Roman" w:eastAsia="Consolas"/>
          <w:b/>
          <w:sz w:val="16"/>
        </w:rPr>
        <w:t>1. **Strong Fundamentals and Growth Prospects:** Apple's consistent earnings growth and robust market capitalization highlight its financial strength and potential for continued expansion. The company's innovation, particularly in AI and other cutting-edge technologies, positions it well for future growth.</w:t>
      </w:r>
    </w:p>
    <w:p w14:paraId="1FE582D5">
      <w:pPr>
        <w:jc w:val="left"/>
      </w:pPr>
      <w:r>
        <w:rPr>
          <w:rFonts w:ascii="Times New Roman" w:hAnsi="Times New Roman" w:eastAsia="Consolas"/>
          <w:b/>
          <w:sz w:val="16"/>
        </w:rPr>
        <w:t>2. **Innovation and Market Leadership:** Apple's commitment to innovation and maintaining a competitive edge through its ecosystem strengthens its market position. This is crucial in sustaining long-term growth and profitability.</w:t>
      </w:r>
    </w:p>
    <w:p w14:paraId="1FE582D5">
      <w:pPr>
        <w:jc w:val="left"/>
      </w:pPr>
      <w:r>
        <w:rPr>
          <w:rFonts w:ascii="Times New Roman" w:hAnsi="Times New Roman" w:eastAsia="Consolas"/>
          <w:b/>
          <w:sz w:val="16"/>
        </w:rPr>
        <w:t>3. **Resilience to External Risks:** Despite concerns about geopolitical tensions and financial risks, Apple's strategic partnerships and global supply chain management mitigate these challenges effectively.</w:t>
      </w:r>
    </w:p>
    <w:p w14:paraId="1FE582D5">
      <w:pPr>
        <w:jc w:val="left"/>
      </w:pPr>
      <w:r>
        <w:rPr>
          <w:rFonts w:ascii="Times New Roman" w:hAnsi="Times New Roman" w:eastAsia="Consolas"/>
          <w:b/>
          <w:sz w:val="16"/>
        </w:rPr>
        <w:t>4. **Positive Market Sentiment:** The overall positive sentiment towards Apple, despite some volatility, indicates strong investor confidence in its long-term prospects.</w:t>
      </w:r>
    </w:p>
    <w:p w14:paraId="1FE582D5">
      <w:pPr>
        <w:jc w:val="left"/>
      </w:pPr>
      <w:r>
        <w:rPr>
          <w:rFonts w:ascii="Times New Roman" w:hAnsi="Times New Roman" w:eastAsia="Consolas"/>
          <w:sz w:val="16"/>
        </w:rPr>
        <w:t>While the concerns about high valuation ratios and insider selling are valid, they are outweighed by Apple's strong fundamentals and growth potential. The high P/E ratio can be justified by Apple's market leadership and sustained growth trajectory. Additionally, the proposed risk management strategies, such as setting stop-loss orders and maintaining a diversified portfolio, provide a prudent approach to mitigating potential risks.</w:t>
      </w:r>
    </w:p>
    <w:p w14:paraId="1FE582D5">
      <w:pPr>
        <w:jc w:val="left"/>
      </w:pPr>
      <w:r>
        <w:rPr>
          <w:rFonts w:ascii="Times New Roman" w:hAnsi="Times New Roman" w:eastAsia="Consolas"/>
          <w:sz w:val="16"/>
        </w:rPr>
        <w:t>Therefore, considering the comprehensive analysis and the investment plan's emphasis on long-term growth and resilience, I recommend a **Buy** for Apple shares.</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8A7440">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45816">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82781">
    <w:pPr>
      <w:pStyle w:val="8"/>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33773230"/>
    </w:sdtPr>
    <w:sdtContent>
      <w:p w14:paraId="4E8F5D04">
        <w:pPr>
          <w:pStyle w:val="8"/>
          <w:jc w:val="center"/>
        </w:pPr>
        <w:r>
          <w:fldChar w:fldCharType="begin"/>
        </w:r>
        <w:r>
          <w:instrText xml:space="preserve">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78134615"/>
    </w:sdtPr>
    <w:sdtContent>
      <w:p w14:paraId="0923EE6D">
        <w:pPr>
          <w:pStyle w:val="8"/>
          <w:jc w:val="center"/>
        </w:pPr>
        <w:r>
          <w:fldChar w:fldCharType="begin"/>
        </w:r>
        <w:r>
          <w:instrText xml:space="preserve">PAGE   \* MERGEFORMAT</w:instrText>
        </w:r>
        <w:r>
          <w:fldChar w:fldCharType="separate"/>
        </w:r>
        <w:r>
          <w:rPr>
            <w:lang w:val="zh-CN"/>
          </w:rPr>
          <w:t>2</w:t>
        </w:r>
        <w: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32668409"/>
    </w:sdtPr>
    <w:sdtContent>
      <w:p w14:paraId="50F65D87">
        <w:pPr>
          <w:pStyle w:val="8"/>
          <w:jc w:val="center"/>
        </w:pPr>
        <w:r>
          <w:fldChar w:fldCharType="begin"/>
        </w:r>
        <w:r>
          <w:instrText xml:space="preserve">PAGE   \* MERGEFORMAT</w:instrText>
        </w:r>
        <w:r>
          <w:fldChar w:fldCharType="separate"/>
        </w:r>
        <w:r>
          <w:rPr>
            <w:lang w:val="zh-CN"/>
          </w:rPr>
          <w:t>2</w:t>
        </w:r>
        <w:r>
          <w:fldChar w:fldCharType="end"/>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2212"/>
    </w:sdtPr>
    <w:sdtContent>
      <w:p w14:paraId="3D629508">
        <w:pPr>
          <w:pStyle w:val="8"/>
          <w:jc w:val="center"/>
        </w:pPr>
        <w:r>
          <w:fldChar w:fldCharType="begin"/>
        </w:r>
        <w:r>
          <w:instrText xml:space="preserve">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DA2BE8">
    <w:pPr>
      <w:pStyle w:val="9"/>
      <w:pBdr>
        <w:bottom w:val="none" w:color="auto" w:sz="0" w:space="0"/>
      </w:pBdr>
      <w:rPr>
        <w:b/>
        <w:bC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CDE83D">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6DE7B5">
    <w:pPr>
      <w:pStyle w:val="9"/>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55CED8">
    <w:pPr>
      <w:pStyle w:val="9"/>
      <w:pBdr>
        <w:bottom w:val="single" w:color="auto" w:sz="4" w:space="1"/>
      </w:pBdr>
      <w:rPr>
        <w:b/>
        <w:bCs/>
      </w:rPr>
    </w:pPr>
    <w:r>
      <w:rPr>
        <w:rFonts w:hint="eastAsia"/>
        <w:b/>
        <w:bCs/>
      </w:rPr>
      <w:t>目录</w:t>
    </w:r>
  </w:p>
  <w:p w14:paraId="4EED198C">
    <w:pPr>
      <w:pStyle w:val="9"/>
      <w:pBdr>
        <w:bottom w:val="none" w:color="auto" w:sz="0" w:space="0"/>
      </w:pBdr>
      <w:rPr>
        <w:b/>
        <w:bCs/>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3FD76A">
    <w:pPr>
      <w:pStyle w:val="9"/>
      <w:pBdr>
        <w:bottom w:val="single" w:color="auto" w:sz="4" w:space="1"/>
      </w:pBdr>
      <w:rPr>
        <w:b/>
        <w:bCs/>
      </w:rPr>
    </w:pPr>
    <w:r>
      <w:rPr>
        <w:rFonts w:hint="eastAsia"/>
        <w:b/>
        <w:bCs/>
      </w:rPr>
      <w:t>开题报告</w:t>
    </w:r>
  </w:p>
  <w:p w14:paraId="2837D601">
    <w:pPr>
      <w:pStyle w:val="9"/>
      <w:pBdr>
        <w:bottom w:val="none" w:color="auto" w:sz="0" w:space="0"/>
      </w:pBdr>
      <w:rPr>
        <w:b/>
        <w:bCs/>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5026E">
    <w:pPr>
      <w:pStyle w:val="9"/>
      <w:pBdr>
        <w:bottom w:val="single" w:color="auto" w:sz="4" w:space="1"/>
      </w:pBdr>
      <w:rPr>
        <w:b/>
        <w:bCs/>
      </w:rPr>
    </w:pPr>
    <w:r>
      <w:rPr>
        <w:rFonts w:hint="eastAsia"/>
        <w:b/>
        <w:bCs/>
      </w:rPr>
      <w:t>主要源代码</w:t>
    </w:r>
  </w:p>
  <w:p w14:paraId="701B0CA6">
    <w:pPr>
      <w:pStyle w:val="9"/>
      <w:pBdr>
        <w:bottom w:val="none" w:color="auto" w:sz="0" w:space="0"/>
      </w:pBdr>
      <w:rPr>
        <w:b/>
        <w:bCs/>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845A91">
    <w:pPr>
      <w:pStyle w:val="9"/>
      <w:pBdr>
        <w:bottom w:val="single" w:color="auto" w:sz="4" w:space="1"/>
      </w:pBdr>
      <w:rPr>
        <w:b/>
        <w:bCs/>
      </w:rPr>
    </w:pPr>
    <w:r>
      <w:rPr>
        <w:rFonts w:hint="eastAsia"/>
        <w:b/>
        <w:bCs/>
      </w:rPr>
      <w:t>外文文献译文</w:t>
    </w:r>
  </w:p>
  <w:p w14:paraId="6F9327B7">
    <w:pPr>
      <w:pStyle w:val="9"/>
      <w:pBdr>
        <w:bottom w:val="none" w:color="auto" w:sz="0" w:space="0"/>
      </w:pBdr>
      <w:rPr>
        <w:b/>
        <w:bCs/>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14027">
    <w:pPr>
      <w:pStyle w:val="9"/>
      <w:pBdr>
        <w:bottom w:val="single" w:color="auto" w:sz="4" w:space="1"/>
      </w:pBdr>
      <w:rPr>
        <w:rFonts w:hint="default"/>
        <w:lang w:val="en-US" w:eastAsia="zh-CN"/>
      </w:rPr>
    </w:pPr>
    <w:r>
      <w:rPr>
        <w:rFonts w:hint="eastAsia"/>
        <w:lang w:val="en-US" w:eastAsia="zh-CN"/>
      </w:rPr>
      <w:t>检测报告单</w:t>
    </w:r>
  </w:p>
  <w:p w14:paraId="089D9A11">
    <w:pPr>
      <w:pStyle w:val="9"/>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AC7F04"/>
    <w:multiLevelType w:val="multilevel"/>
    <w:tmpl w:val="8EAC7F04"/>
    <w:lvl w:ilvl="0" w:tentative="0">
      <w:start w:val="1"/>
      <w:numFmt w:val="decimal"/>
      <w:lvlText w:val="(%1)"/>
      <w:lvlJc w:val="left"/>
      <w:pPr>
        <w:tabs>
          <w:tab w:val="left" w:pos="420"/>
        </w:tabs>
        <w:ind w:left="845" w:hanging="425"/>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96D9CFA4"/>
    <w:multiLevelType w:val="multilevel"/>
    <w:tmpl w:val="96D9CFA4"/>
    <w:lvl w:ilvl="0" w:tentative="0">
      <w:start w:val="1"/>
      <w:numFmt w:val="decimal"/>
      <w:lvlText w:val="(%1)"/>
      <w:lvlJc w:val="left"/>
      <w:pPr>
        <w:tabs>
          <w:tab w:val="left" w:pos="420"/>
        </w:tabs>
        <w:ind w:left="845" w:hanging="425"/>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9D91D8D8"/>
    <w:multiLevelType w:val="multilevel"/>
    <w:tmpl w:val="9D91D8D8"/>
    <w:lvl w:ilvl="0" w:tentative="0">
      <w:start w:val="1"/>
      <w:numFmt w:val="decimal"/>
      <w:lvlText w:val="%1."/>
      <w:lvlJc w:val="left"/>
      <w:pPr>
        <w:ind w:left="425" w:hanging="425"/>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A237F0BD"/>
    <w:multiLevelType w:val="multilevel"/>
    <w:tmpl w:val="A237F0BD"/>
    <w:lvl w:ilvl="0" w:tentative="0">
      <w:start w:val="1"/>
      <w:numFmt w:val="decimal"/>
      <w:lvlText w:val="(%1)"/>
      <w:lvlJc w:val="left"/>
      <w:pPr>
        <w:tabs>
          <w:tab w:val="left" w:pos="420"/>
        </w:tabs>
        <w:ind w:left="845" w:hanging="425"/>
      </w:pPr>
    </w:lvl>
    <w:lvl w:ilvl="1" w:tentative="0">
      <w:start w:val="1"/>
      <w:numFmt w:val="decimalEnclosedCircleChinese"/>
      <w:lvlText w:val="%2"/>
      <w:lvlJc w:val="left"/>
      <w:pPr>
        <w:tabs>
          <w:tab w:val="left" w:pos="840"/>
        </w:tabs>
        <w:ind w:left="1260" w:hanging="420"/>
      </w:pPr>
    </w:lvl>
    <w:lvl w:ilvl="2" w:tentative="0">
      <w:start w:val="1"/>
      <w:numFmt w:val="decimal"/>
      <w:lvlText w:val="%3)"/>
      <w:lvlJc w:val="left"/>
      <w:pPr>
        <w:tabs>
          <w:tab w:val="left" w:pos="1260"/>
        </w:tabs>
        <w:ind w:left="1680" w:hanging="420"/>
      </w:pPr>
    </w:lvl>
    <w:lvl w:ilvl="3" w:tentative="0">
      <w:start w:val="1"/>
      <w:numFmt w:val="lowerLetter"/>
      <w:lvlText w:val="%4."/>
      <w:lvlJc w:val="left"/>
      <w:pPr>
        <w:tabs>
          <w:tab w:val="left" w:pos="1680"/>
        </w:tabs>
        <w:ind w:left="2100" w:hanging="420"/>
      </w:pPr>
    </w:lvl>
    <w:lvl w:ilvl="4" w:tentative="0">
      <w:start w:val="1"/>
      <w:numFmt w:val="lowerLetter"/>
      <w:lvlText w:val="%5)"/>
      <w:lvlJc w:val="left"/>
      <w:pPr>
        <w:tabs>
          <w:tab w:val="left" w:pos="2100"/>
        </w:tabs>
        <w:ind w:left="2520" w:hanging="420"/>
      </w:pPr>
    </w:lvl>
    <w:lvl w:ilvl="5" w:tentative="0">
      <w:start w:val="1"/>
      <w:numFmt w:val="lowerRoman"/>
      <w:lvlText w:val="%6."/>
      <w:lvlJc w:val="left"/>
      <w:pPr>
        <w:tabs>
          <w:tab w:val="left" w:pos="2520"/>
        </w:tabs>
        <w:ind w:left="2940" w:hanging="420"/>
      </w:pPr>
    </w:lvl>
    <w:lvl w:ilvl="6" w:tentative="0">
      <w:start w:val="1"/>
      <w:numFmt w:val="lowerRoman"/>
      <w:lvlText w:val="%7)"/>
      <w:lvlJc w:val="left"/>
      <w:pPr>
        <w:tabs>
          <w:tab w:val="left" w:pos="2940"/>
        </w:tabs>
        <w:ind w:left="3360" w:hanging="420"/>
      </w:pPr>
    </w:lvl>
    <w:lvl w:ilvl="7" w:tentative="0">
      <w:start w:val="1"/>
      <w:numFmt w:val="lowerLetter"/>
      <w:lvlText w:val="%8."/>
      <w:lvlJc w:val="left"/>
      <w:pPr>
        <w:tabs>
          <w:tab w:val="left" w:pos="3360"/>
        </w:tabs>
        <w:ind w:left="3780" w:hanging="420"/>
      </w:pPr>
    </w:lvl>
    <w:lvl w:ilvl="8" w:tentative="0">
      <w:start w:val="1"/>
      <w:numFmt w:val="lowerLetter"/>
      <w:lvlText w:val="%9)"/>
      <w:lvlJc w:val="left"/>
      <w:pPr>
        <w:tabs>
          <w:tab w:val="left" w:pos="3780"/>
        </w:tabs>
        <w:ind w:left="4200" w:hanging="420"/>
      </w:pPr>
    </w:lvl>
  </w:abstractNum>
  <w:abstractNum w:abstractNumId="4">
    <w:nsid w:val="C23962CB"/>
    <w:multiLevelType w:val="multilevel"/>
    <w:tmpl w:val="C23962CB"/>
    <w:lvl w:ilvl="0" w:tentative="0">
      <w:start w:val="1"/>
      <w:numFmt w:val="decimal"/>
      <w:lvlText w:val="(%1)"/>
      <w:lvlJc w:val="left"/>
      <w:pPr>
        <w:tabs>
          <w:tab w:val="left" w:pos="420"/>
        </w:tabs>
        <w:ind w:left="845" w:hanging="425"/>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30A6F7C9"/>
    <w:multiLevelType w:val="multilevel"/>
    <w:tmpl w:val="30A6F7C9"/>
    <w:lvl w:ilvl="0" w:tentative="0">
      <w:start w:val="1"/>
      <w:numFmt w:val="decimal"/>
      <w:lvlText w:val="%1."/>
      <w:lvlJc w:val="left"/>
      <w:pPr>
        <w:ind w:left="360" w:hanging="36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4F375803"/>
    <w:multiLevelType w:val="multilevel"/>
    <w:tmpl w:val="4F375803"/>
    <w:lvl w:ilvl="0" w:tentative="0">
      <w:start w:val="4"/>
      <w:numFmt w:val="chineseCounting"/>
      <w:suff w:val="nothing"/>
      <w:lvlText w:val="%1、"/>
      <w:lvlJc w:val="left"/>
      <w:pPr>
        <w:ind w:left="0" w:firstLine="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
  </w:num>
  <w:num w:numId="2">
    <w:abstractNumId w:val="4"/>
  </w:num>
  <w:num w:numId="3">
    <w:abstractNumId w:val="5"/>
  </w:num>
  <w:num w:numId="4">
    <w:abstractNumId w:val="1"/>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1656"/>
    <w:rsid w:val="000246C7"/>
    <w:rsid w:val="00025029"/>
    <w:rsid w:val="000366AE"/>
    <w:rsid w:val="00046C94"/>
    <w:rsid w:val="00062CE9"/>
    <w:rsid w:val="00066BF5"/>
    <w:rsid w:val="00073983"/>
    <w:rsid w:val="00083147"/>
    <w:rsid w:val="00084278"/>
    <w:rsid w:val="000B493D"/>
    <w:rsid w:val="000C1DEA"/>
    <w:rsid w:val="000D57EB"/>
    <w:rsid w:val="00101D1B"/>
    <w:rsid w:val="001077D6"/>
    <w:rsid w:val="00114998"/>
    <w:rsid w:val="001436D6"/>
    <w:rsid w:val="0015394E"/>
    <w:rsid w:val="00157A71"/>
    <w:rsid w:val="0017009A"/>
    <w:rsid w:val="00170246"/>
    <w:rsid w:val="00194805"/>
    <w:rsid w:val="001A3C2D"/>
    <w:rsid w:val="001B1656"/>
    <w:rsid w:val="001D0AFD"/>
    <w:rsid w:val="001F173A"/>
    <w:rsid w:val="00207B61"/>
    <w:rsid w:val="00213777"/>
    <w:rsid w:val="00220257"/>
    <w:rsid w:val="00225917"/>
    <w:rsid w:val="00240776"/>
    <w:rsid w:val="002428F5"/>
    <w:rsid w:val="00246429"/>
    <w:rsid w:val="0025529D"/>
    <w:rsid w:val="00260187"/>
    <w:rsid w:val="002867BC"/>
    <w:rsid w:val="002D077F"/>
    <w:rsid w:val="002F63D9"/>
    <w:rsid w:val="00300C5F"/>
    <w:rsid w:val="003133CD"/>
    <w:rsid w:val="0031686C"/>
    <w:rsid w:val="00316CAF"/>
    <w:rsid w:val="00317397"/>
    <w:rsid w:val="003202A1"/>
    <w:rsid w:val="00325253"/>
    <w:rsid w:val="0034228A"/>
    <w:rsid w:val="003479BC"/>
    <w:rsid w:val="0038123A"/>
    <w:rsid w:val="00391F93"/>
    <w:rsid w:val="003C1A0D"/>
    <w:rsid w:val="00440F6E"/>
    <w:rsid w:val="00453BFF"/>
    <w:rsid w:val="00460151"/>
    <w:rsid w:val="0048254E"/>
    <w:rsid w:val="00482931"/>
    <w:rsid w:val="00491B07"/>
    <w:rsid w:val="004970B9"/>
    <w:rsid w:val="004A047E"/>
    <w:rsid w:val="004A5CB4"/>
    <w:rsid w:val="004D1F0D"/>
    <w:rsid w:val="004D245F"/>
    <w:rsid w:val="004F518B"/>
    <w:rsid w:val="004F5414"/>
    <w:rsid w:val="005027F0"/>
    <w:rsid w:val="00503661"/>
    <w:rsid w:val="00510EE1"/>
    <w:rsid w:val="00517A87"/>
    <w:rsid w:val="00523CC1"/>
    <w:rsid w:val="0058327F"/>
    <w:rsid w:val="005A0B0A"/>
    <w:rsid w:val="005B2A38"/>
    <w:rsid w:val="005C192A"/>
    <w:rsid w:val="005C2C5B"/>
    <w:rsid w:val="005D36D3"/>
    <w:rsid w:val="005F7B16"/>
    <w:rsid w:val="006009F5"/>
    <w:rsid w:val="00623BE1"/>
    <w:rsid w:val="0062451F"/>
    <w:rsid w:val="0063439A"/>
    <w:rsid w:val="0064772C"/>
    <w:rsid w:val="006520B8"/>
    <w:rsid w:val="00681BDD"/>
    <w:rsid w:val="006D4B89"/>
    <w:rsid w:val="006E57F6"/>
    <w:rsid w:val="00714473"/>
    <w:rsid w:val="007473A7"/>
    <w:rsid w:val="00770B39"/>
    <w:rsid w:val="007B698C"/>
    <w:rsid w:val="007F3669"/>
    <w:rsid w:val="008320A1"/>
    <w:rsid w:val="008372E9"/>
    <w:rsid w:val="008413BC"/>
    <w:rsid w:val="00850F1C"/>
    <w:rsid w:val="00851E32"/>
    <w:rsid w:val="008553E1"/>
    <w:rsid w:val="00867567"/>
    <w:rsid w:val="008817A8"/>
    <w:rsid w:val="00884E84"/>
    <w:rsid w:val="00884FE9"/>
    <w:rsid w:val="00886C8E"/>
    <w:rsid w:val="00893A1C"/>
    <w:rsid w:val="00894DA5"/>
    <w:rsid w:val="00897FEE"/>
    <w:rsid w:val="008A4953"/>
    <w:rsid w:val="008C2F33"/>
    <w:rsid w:val="008E7073"/>
    <w:rsid w:val="009054ED"/>
    <w:rsid w:val="00940763"/>
    <w:rsid w:val="00953B2C"/>
    <w:rsid w:val="009550B4"/>
    <w:rsid w:val="009564C1"/>
    <w:rsid w:val="00961ADE"/>
    <w:rsid w:val="00962A4A"/>
    <w:rsid w:val="009A4A88"/>
    <w:rsid w:val="009B0D99"/>
    <w:rsid w:val="009B7872"/>
    <w:rsid w:val="009C3954"/>
    <w:rsid w:val="009E65C6"/>
    <w:rsid w:val="009F2D39"/>
    <w:rsid w:val="009F4221"/>
    <w:rsid w:val="009F5462"/>
    <w:rsid w:val="00A143D5"/>
    <w:rsid w:val="00A32D1A"/>
    <w:rsid w:val="00A35259"/>
    <w:rsid w:val="00A4270F"/>
    <w:rsid w:val="00A442DB"/>
    <w:rsid w:val="00A475C1"/>
    <w:rsid w:val="00A57421"/>
    <w:rsid w:val="00AB2A4B"/>
    <w:rsid w:val="00AB3B2B"/>
    <w:rsid w:val="00AC4E81"/>
    <w:rsid w:val="00AD588B"/>
    <w:rsid w:val="00AF0DD5"/>
    <w:rsid w:val="00AF569E"/>
    <w:rsid w:val="00B02CF6"/>
    <w:rsid w:val="00B12EAF"/>
    <w:rsid w:val="00B13F4A"/>
    <w:rsid w:val="00B2349D"/>
    <w:rsid w:val="00B237B6"/>
    <w:rsid w:val="00B4034B"/>
    <w:rsid w:val="00B41DA7"/>
    <w:rsid w:val="00B43BB5"/>
    <w:rsid w:val="00B542F9"/>
    <w:rsid w:val="00B55DAF"/>
    <w:rsid w:val="00B57CEE"/>
    <w:rsid w:val="00B91833"/>
    <w:rsid w:val="00B93831"/>
    <w:rsid w:val="00BA061B"/>
    <w:rsid w:val="00BA1262"/>
    <w:rsid w:val="00BB4E89"/>
    <w:rsid w:val="00BC43FC"/>
    <w:rsid w:val="00C03699"/>
    <w:rsid w:val="00C257FB"/>
    <w:rsid w:val="00C3456C"/>
    <w:rsid w:val="00C41262"/>
    <w:rsid w:val="00C46DEB"/>
    <w:rsid w:val="00C478A1"/>
    <w:rsid w:val="00C74023"/>
    <w:rsid w:val="00C765DC"/>
    <w:rsid w:val="00C86C06"/>
    <w:rsid w:val="00C937F1"/>
    <w:rsid w:val="00CB7AD8"/>
    <w:rsid w:val="00CC3B4A"/>
    <w:rsid w:val="00CC7F94"/>
    <w:rsid w:val="00D002AA"/>
    <w:rsid w:val="00D015B9"/>
    <w:rsid w:val="00D13F4A"/>
    <w:rsid w:val="00D142AB"/>
    <w:rsid w:val="00D4668C"/>
    <w:rsid w:val="00D634B1"/>
    <w:rsid w:val="00D67596"/>
    <w:rsid w:val="00D80D19"/>
    <w:rsid w:val="00D841F9"/>
    <w:rsid w:val="00DE6B60"/>
    <w:rsid w:val="00DF33C6"/>
    <w:rsid w:val="00DF42F7"/>
    <w:rsid w:val="00DF73A3"/>
    <w:rsid w:val="00E00D58"/>
    <w:rsid w:val="00E02C61"/>
    <w:rsid w:val="00E27E91"/>
    <w:rsid w:val="00E60AF3"/>
    <w:rsid w:val="00E60E73"/>
    <w:rsid w:val="00E90802"/>
    <w:rsid w:val="00E908DF"/>
    <w:rsid w:val="00EC28D9"/>
    <w:rsid w:val="00ED3BD8"/>
    <w:rsid w:val="00EF3CFE"/>
    <w:rsid w:val="00F05E2E"/>
    <w:rsid w:val="00F102E6"/>
    <w:rsid w:val="00F11A3F"/>
    <w:rsid w:val="00F41061"/>
    <w:rsid w:val="00F86D2B"/>
    <w:rsid w:val="00FC6916"/>
    <w:rsid w:val="00FF127F"/>
    <w:rsid w:val="01042CD0"/>
    <w:rsid w:val="010F23CB"/>
    <w:rsid w:val="018A34B1"/>
    <w:rsid w:val="01E46C6A"/>
    <w:rsid w:val="02297DAC"/>
    <w:rsid w:val="02A0618D"/>
    <w:rsid w:val="02BA3F8E"/>
    <w:rsid w:val="02BE185D"/>
    <w:rsid w:val="035717DD"/>
    <w:rsid w:val="03724869"/>
    <w:rsid w:val="042E69E2"/>
    <w:rsid w:val="04CD61FB"/>
    <w:rsid w:val="04F433AE"/>
    <w:rsid w:val="050B6D23"/>
    <w:rsid w:val="056F1060"/>
    <w:rsid w:val="05834B0B"/>
    <w:rsid w:val="05A853B6"/>
    <w:rsid w:val="05B10F80"/>
    <w:rsid w:val="060C2D53"/>
    <w:rsid w:val="065C11C4"/>
    <w:rsid w:val="06DA4BFF"/>
    <w:rsid w:val="072B545A"/>
    <w:rsid w:val="077B5E33"/>
    <w:rsid w:val="07C84A57"/>
    <w:rsid w:val="07DD1D92"/>
    <w:rsid w:val="084E7652"/>
    <w:rsid w:val="0869623A"/>
    <w:rsid w:val="0942254A"/>
    <w:rsid w:val="0A067AB9"/>
    <w:rsid w:val="0A5C46AC"/>
    <w:rsid w:val="0AC05466"/>
    <w:rsid w:val="0B41524D"/>
    <w:rsid w:val="0B5A24E7"/>
    <w:rsid w:val="0B763970"/>
    <w:rsid w:val="0B865355"/>
    <w:rsid w:val="0BC315D7"/>
    <w:rsid w:val="0BFA53FB"/>
    <w:rsid w:val="0C480E8B"/>
    <w:rsid w:val="0CC2416B"/>
    <w:rsid w:val="0CFD1647"/>
    <w:rsid w:val="0D0230E3"/>
    <w:rsid w:val="0D224637"/>
    <w:rsid w:val="0D5A0848"/>
    <w:rsid w:val="0E2350DD"/>
    <w:rsid w:val="0E5E6115"/>
    <w:rsid w:val="0F5016BA"/>
    <w:rsid w:val="0F542633"/>
    <w:rsid w:val="0FBA1E69"/>
    <w:rsid w:val="0FC30926"/>
    <w:rsid w:val="10570F23"/>
    <w:rsid w:val="10795489"/>
    <w:rsid w:val="10A342B4"/>
    <w:rsid w:val="10E54DCB"/>
    <w:rsid w:val="11020FDA"/>
    <w:rsid w:val="11050ACA"/>
    <w:rsid w:val="11457119"/>
    <w:rsid w:val="11917DAE"/>
    <w:rsid w:val="126D2BDA"/>
    <w:rsid w:val="137837D5"/>
    <w:rsid w:val="13916D35"/>
    <w:rsid w:val="139330DB"/>
    <w:rsid w:val="13C22CA3"/>
    <w:rsid w:val="147F0B94"/>
    <w:rsid w:val="14FC0436"/>
    <w:rsid w:val="152B61D0"/>
    <w:rsid w:val="15597F0E"/>
    <w:rsid w:val="1561297C"/>
    <w:rsid w:val="15BB209F"/>
    <w:rsid w:val="161351D8"/>
    <w:rsid w:val="162E461F"/>
    <w:rsid w:val="16685D83"/>
    <w:rsid w:val="16881F81"/>
    <w:rsid w:val="16BA4105"/>
    <w:rsid w:val="16F01FAE"/>
    <w:rsid w:val="18377797"/>
    <w:rsid w:val="18CE4598"/>
    <w:rsid w:val="198016BA"/>
    <w:rsid w:val="19900B2A"/>
    <w:rsid w:val="199E7E8E"/>
    <w:rsid w:val="19D21766"/>
    <w:rsid w:val="1A027CBE"/>
    <w:rsid w:val="1A646862"/>
    <w:rsid w:val="1A7647E7"/>
    <w:rsid w:val="1AB85684"/>
    <w:rsid w:val="1BA43795"/>
    <w:rsid w:val="1BB93055"/>
    <w:rsid w:val="1BC84F5F"/>
    <w:rsid w:val="1BFE4A94"/>
    <w:rsid w:val="1C0539CF"/>
    <w:rsid w:val="1C580648"/>
    <w:rsid w:val="1C902FEE"/>
    <w:rsid w:val="1E202740"/>
    <w:rsid w:val="1E960FB4"/>
    <w:rsid w:val="1EC70C91"/>
    <w:rsid w:val="1ECC70CB"/>
    <w:rsid w:val="1F372797"/>
    <w:rsid w:val="1F8F5F24"/>
    <w:rsid w:val="202C7E22"/>
    <w:rsid w:val="204247FD"/>
    <w:rsid w:val="20797496"/>
    <w:rsid w:val="20DB35F6"/>
    <w:rsid w:val="20E410EC"/>
    <w:rsid w:val="20E97AC1"/>
    <w:rsid w:val="217E20BC"/>
    <w:rsid w:val="21893A88"/>
    <w:rsid w:val="222174D6"/>
    <w:rsid w:val="22B12860"/>
    <w:rsid w:val="22EE5862"/>
    <w:rsid w:val="23135718"/>
    <w:rsid w:val="23252E00"/>
    <w:rsid w:val="23517B9F"/>
    <w:rsid w:val="23827D58"/>
    <w:rsid w:val="23D62CA6"/>
    <w:rsid w:val="23DB3402"/>
    <w:rsid w:val="24500713"/>
    <w:rsid w:val="249C4B38"/>
    <w:rsid w:val="254554E2"/>
    <w:rsid w:val="255527AD"/>
    <w:rsid w:val="25BD32CA"/>
    <w:rsid w:val="26DB434F"/>
    <w:rsid w:val="287E31E4"/>
    <w:rsid w:val="28CA01D8"/>
    <w:rsid w:val="299711CA"/>
    <w:rsid w:val="29D15596"/>
    <w:rsid w:val="2A6A7ABC"/>
    <w:rsid w:val="2AFC4894"/>
    <w:rsid w:val="2BEF595E"/>
    <w:rsid w:val="2C0559CB"/>
    <w:rsid w:val="2C4F5114"/>
    <w:rsid w:val="2C7538F6"/>
    <w:rsid w:val="2C9C4985"/>
    <w:rsid w:val="2D0446E9"/>
    <w:rsid w:val="2D6A7DE3"/>
    <w:rsid w:val="2DF83A39"/>
    <w:rsid w:val="2E186B7F"/>
    <w:rsid w:val="2E6B5FB9"/>
    <w:rsid w:val="2E756E38"/>
    <w:rsid w:val="2E905A1F"/>
    <w:rsid w:val="2EB567DA"/>
    <w:rsid w:val="2F407445"/>
    <w:rsid w:val="2FB13E9F"/>
    <w:rsid w:val="3056697D"/>
    <w:rsid w:val="306727B0"/>
    <w:rsid w:val="30853C4C"/>
    <w:rsid w:val="30DD154C"/>
    <w:rsid w:val="31AB0043"/>
    <w:rsid w:val="323B2146"/>
    <w:rsid w:val="331717EE"/>
    <w:rsid w:val="335544A0"/>
    <w:rsid w:val="336C6340"/>
    <w:rsid w:val="33A559E7"/>
    <w:rsid w:val="33AB1A51"/>
    <w:rsid w:val="344A2458"/>
    <w:rsid w:val="344C23E9"/>
    <w:rsid w:val="34873421"/>
    <w:rsid w:val="35957514"/>
    <w:rsid w:val="359E7653"/>
    <w:rsid w:val="362065D4"/>
    <w:rsid w:val="36575075"/>
    <w:rsid w:val="373C4996"/>
    <w:rsid w:val="37865C12"/>
    <w:rsid w:val="38EF7C39"/>
    <w:rsid w:val="39856E6C"/>
    <w:rsid w:val="39CA4CB2"/>
    <w:rsid w:val="39CE38A0"/>
    <w:rsid w:val="3A443B62"/>
    <w:rsid w:val="3AAC1E33"/>
    <w:rsid w:val="3AB413D1"/>
    <w:rsid w:val="3B082DE1"/>
    <w:rsid w:val="3C137C90"/>
    <w:rsid w:val="3C2711FB"/>
    <w:rsid w:val="3C7324DC"/>
    <w:rsid w:val="3CF67395"/>
    <w:rsid w:val="3D7B3D3F"/>
    <w:rsid w:val="3EFF5338"/>
    <w:rsid w:val="3F20694C"/>
    <w:rsid w:val="3F3A688C"/>
    <w:rsid w:val="4021297B"/>
    <w:rsid w:val="40596D74"/>
    <w:rsid w:val="40C75A87"/>
    <w:rsid w:val="40CB3729"/>
    <w:rsid w:val="40F40090"/>
    <w:rsid w:val="418C2076"/>
    <w:rsid w:val="425E2DCE"/>
    <w:rsid w:val="43D321DE"/>
    <w:rsid w:val="43D85D3B"/>
    <w:rsid w:val="43D877F5"/>
    <w:rsid w:val="4401109E"/>
    <w:rsid w:val="44084FC5"/>
    <w:rsid w:val="4427252A"/>
    <w:rsid w:val="45861791"/>
    <w:rsid w:val="45A55DFD"/>
    <w:rsid w:val="461D4A07"/>
    <w:rsid w:val="465D2233"/>
    <w:rsid w:val="46F74436"/>
    <w:rsid w:val="472A1AF1"/>
    <w:rsid w:val="47317A9B"/>
    <w:rsid w:val="4881611D"/>
    <w:rsid w:val="48F86243"/>
    <w:rsid w:val="490270C2"/>
    <w:rsid w:val="4AAC19DB"/>
    <w:rsid w:val="4ABA0303"/>
    <w:rsid w:val="4AD41E7B"/>
    <w:rsid w:val="4AEC002A"/>
    <w:rsid w:val="4B337A07"/>
    <w:rsid w:val="4B4E6138"/>
    <w:rsid w:val="4B726781"/>
    <w:rsid w:val="4BB548C0"/>
    <w:rsid w:val="4CEE0089"/>
    <w:rsid w:val="4D465E9F"/>
    <w:rsid w:val="4D5679DC"/>
    <w:rsid w:val="4D761E2D"/>
    <w:rsid w:val="4D9835F0"/>
    <w:rsid w:val="4F5F1347"/>
    <w:rsid w:val="4FAC01FF"/>
    <w:rsid w:val="4FF736F9"/>
    <w:rsid w:val="50485D02"/>
    <w:rsid w:val="50A2101A"/>
    <w:rsid w:val="50BA37CA"/>
    <w:rsid w:val="50BD049E"/>
    <w:rsid w:val="50EF43D0"/>
    <w:rsid w:val="511A2E6A"/>
    <w:rsid w:val="513F5357"/>
    <w:rsid w:val="516A3A56"/>
    <w:rsid w:val="5181771E"/>
    <w:rsid w:val="5233653E"/>
    <w:rsid w:val="52CA0C50"/>
    <w:rsid w:val="52DF7CE3"/>
    <w:rsid w:val="534955AD"/>
    <w:rsid w:val="53780771"/>
    <w:rsid w:val="545A010B"/>
    <w:rsid w:val="552611C2"/>
    <w:rsid w:val="55B1434A"/>
    <w:rsid w:val="560E52F8"/>
    <w:rsid w:val="56301712"/>
    <w:rsid w:val="56C65BD3"/>
    <w:rsid w:val="579667D5"/>
    <w:rsid w:val="58670CF0"/>
    <w:rsid w:val="58844974"/>
    <w:rsid w:val="58B5167D"/>
    <w:rsid w:val="5923730C"/>
    <w:rsid w:val="5976568E"/>
    <w:rsid w:val="59BB12F3"/>
    <w:rsid w:val="59CF3A89"/>
    <w:rsid w:val="5A696FA1"/>
    <w:rsid w:val="5ACC5286"/>
    <w:rsid w:val="5B13515F"/>
    <w:rsid w:val="5B525C87"/>
    <w:rsid w:val="5B5E287E"/>
    <w:rsid w:val="5BA92D4B"/>
    <w:rsid w:val="5BC07095"/>
    <w:rsid w:val="5BCC5A39"/>
    <w:rsid w:val="5BED16CF"/>
    <w:rsid w:val="5BFF6264"/>
    <w:rsid w:val="5C6C2D78"/>
    <w:rsid w:val="5D22030C"/>
    <w:rsid w:val="5D356A97"/>
    <w:rsid w:val="5D445AA3"/>
    <w:rsid w:val="5D62488F"/>
    <w:rsid w:val="5D69550A"/>
    <w:rsid w:val="5DC50992"/>
    <w:rsid w:val="5E256F86"/>
    <w:rsid w:val="5EFA0B0F"/>
    <w:rsid w:val="5F0F04E8"/>
    <w:rsid w:val="5F181F4A"/>
    <w:rsid w:val="5F7C7776"/>
    <w:rsid w:val="5FAB3BB8"/>
    <w:rsid w:val="5FBE036F"/>
    <w:rsid w:val="60255718"/>
    <w:rsid w:val="604B7951"/>
    <w:rsid w:val="60BB42CE"/>
    <w:rsid w:val="618359D3"/>
    <w:rsid w:val="618B5A4F"/>
    <w:rsid w:val="62B45479"/>
    <w:rsid w:val="635E7261"/>
    <w:rsid w:val="637A221F"/>
    <w:rsid w:val="6441217E"/>
    <w:rsid w:val="6472185A"/>
    <w:rsid w:val="649F2069"/>
    <w:rsid w:val="64C92A71"/>
    <w:rsid w:val="64FE574A"/>
    <w:rsid w:val="653C55F0"/>
    <w:rsid w:val="654330A5"/>
    <w:rsid w:val="65827169"/>
    <w:rsid w:val="65CC61FB"/>
    <w:rsid w:val="6609788A"/>
    <w:rsid w:val="662621EA"/>
    <w:rsid w:val="66D71736"/>
    <w:rsid w:val="66E53E53"/>
    <w:rsid w:val="672D7487"/>
    <w:rsid w:val="673803AA"/>
    <w:rsid w:val="6760797E"/>
    <w:rsid w:val="68126ECA"/>
    <w:rsid w:val="6874548F"/>
    <w:rsid w:val="689B57EB"/>
    <w:rsid w:val="68A17036"/>
    <w:rsid w:val="68A36AEB"/>
    <w:rsid w:val="68C40B26"/>
    <w:rsid w:val="68CD2DF1"/>
    <w:rsid w:val="68E72104"/>
    <w:rsid w:val="696E741E"/>
    <w:rsid w:val="697E058F"/>
    <w:rsid w:val="6AB01882"/>
    <w:rsid w:val="6B1E5B86"/>
    <w:rsid w:val="6B2C02A3"/>
    <w:rsid w:val="6BC02799"/>
    <w:rsid w:val="6C615D2A"/>
    <w:rsid w:val="6CBC5656"/>
    <w:rsid w:val="6D5E2269"/>
    <w:rsid w:val="6DA2484C"/>
    <w:rsid w:val="71D13952"/>
    <w:rsid w:val="71E80C9B"/>
    <w:rsid w:val="728F1117"/>
    <w:rsid w:val="72C65A98"/>
    <w:rsid w:val="72CC4119"/>
    <w:rsid w:val="7366631C"/>
    <w:rsid w:val="73F13E37"/>
    <w:rsid w:val="74C72DEA"/>
    <w:rsid w:val="7513332B"/>
    <w:rsid w:val="764D47D1"/>
    <w:rsid w:val="77CA4EC1"/>
    <w:rsid w:val="783469E8"/>
    <w:rsid w:val="78372663"/>
    <w:rsid w:val="78727511"/>
    <w:rsid w:val="78BD078C"/>
    <w:rsid w:val="78D70008"/>
    <w:rsid w:val="794F724C"/>
    <w:rsid w:val="79616E48"/>
    <w:rsid w:val="798217BE"/>
    <w:rsid w:val="7A3C5A92"/>
    <w:rsid w:val="7ADA646C"/>
    <w:rsid w:val="7BD858DD"/>
    <w:rsid w:val="7D450C08"/>
    <w:rsid w:val="7D4D66E6"/>
    <w:rsid w:val="7D747887"/>
    <w:rsid w:val="7D761851"/>
    <w:rsid w:val="7E042841"/>
    <w:rsid w:val="7E231437"/>
    <w:rsid w:val="7E5751DF"/>
    <w:rsid w:val="7E6416AA"/>
    <w:rsid w:val="7EB97C47"/>
    <w:rsid w:val="7F45772D"/>
    <w:rsid w:val="7F530272"/>
    <w:rsid w:val="7F7B7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tLeast"/>
      <w:jc w:val="both"/>
    </w:pPr>
    <w:rPr>
      <w:rFonts w:ascii="Times New Roman" w:hAnsi="Times New Roman" w:eastAsia="宋体" w:cs="Times New Roman"/>
      <w:sz w:val="21"/>
      <w:lang w:val="en-US" w:eastAsia="zh-CN" w:bidi="ar-SA"/>
    </w:rPr>
  </w:style>
  <w:style w:type="paragraph" w:styleId="2">
    <w:name w:val="heading 1"/>
    <w:basedOn w:val="1"/>
    <w:next w:val="1"/>
    <w:link w:val="22"/>
    <w:qFormat/>
    <w:uiPriority w:val="0"/>
    <w:pPr>
      <w:keepNext/>
      <w:keepLines/>
      <w:spacing w:before="100" w:beforeLines="100" w:after="100" w:afterLines="100"/>
      <w:jc w:val="center"/>
      <w:outlineLvl w:val="0"/>
    </w:pPr>
    <w:rPr>
      <w:rFonts w:eastAsia="黑体"/>
      <w:bCs/>
      <w:kern w:val="44"/>
      <w:sz w:val="36"/>
      <w:szCs w:val="44"/>
    </w:rPr>
  </w:style>
  <w:style w:type="paragraph" w:styleId="3">
    <w:name w:val="heading 2"/>
    <w:basedOn w:val="1"/>
    <w:next w:val="1"/>
    <w:link w:val="26"/>
    <w:unhideWhenUsed/>
    <w:qFormat/>
    <w:uiPriority w:val="9"/>
    <w:pPr>
      <w:keepNext/>
      <w:keepLines/>
      <w:outlineLvl w:val="1"/>
    </w:pPr>
    <w:rPr>
      <w:rFonts w:cstheme="majorBidi"/>
      <w:b/>
      <w:bCs/>
      <w:sz w:val="24"/>
      <w:szCs w:val="32"/>
    </w:rPr>
  </w:style>
  <w:style w:type="paragraph" w:styleId="4">
    <w:name w:val="heading 3"/>
    <w:basedOn w:val="1"/>
    <w:next w:val="1"/>
    <w:link w:val="27"/>
    <w:unhideWhenUsed/>
    <w:qFormat/>
    <w:uiPriority w:val="9"/>
    <w:pPr>
      <w:keepNext/>
      <w:keepLines/>
      <w:outlineLvl w:val="2"/>
    </w:pPr>
    <w:rPr>
      <w:b/>
      <w:bCs/>
      <w:szCs w:val="32"/>
    </w:rPr>
  </w:style>
  <w:style w:type="paragraph" w:styleId="5">
    <w:name w:val="heading 4"/>
    <w:basedOn w:val="1"/>
    <w:next w:val="1"/>
    <w:link w:val="31"/>
    <w:unhideWhenUsed/>
    <w:qFormat/>
    <w:uiPriority w:val="9"/>
    <w:pPr>
      <w:keepNext/>
      <w:keepLines/>
      <w:spacing w:before="280" w:after="290" w:line="376" w:lineRule="atLeast"/>
      <w:outlineLvl w:val="3"/>
    </w:pPr>
    <w:rPr>
      <w:rFonts w:asciiTheme="majorHAnsi" w:hAnsiTheme="majorHAnsi" w:eastAsiaTheme="majorEastAsia" w:cstheme="majorBidi"/>
      <w:b/>
      <w:bCs/>
      <w:sz w:val="28"/>
      <w:szCs w:val="28"/>
    </w:rPr>
  </w:style>
  <w:style w:type="character" w:default="1" w:styleId="16">
    <w:name w:val="Default Paragraph Font"/>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6">
    <w:name w:val="toc 3"/>
    <w:basedOn w:val="1"/>
    <w:next w:val="1"/>
    <w:autoRedefine/>
    <w:unhideWhenUsed/>
    <w:qFormat/>
    <w:uiPriority w:val="39"/>
    <w:pPr>
      <w:widowControl/>
      <w:spacing w:after="100" w:line="259" w:lineRule="auto"/>
      <w:ind w:left="440"/>
      <w:jc w:val="left"/>
    </w:pPr>
    <w:rPr>
      <w:rFonts w:asciiTheme="minorHAnsi" w:hAnsiTheme="minorHAnsi" w:eastAsiaTheme="minorEastAsia"/>
      <w:sz w:val="22"/>
      <w:szCs w:val="22"/>
    </w:rPr>
  </w:style>
  <w:style w:type="paragraph" w:styleId="7">
    <w:name w:val="Plain Text"/>
    <w:basedOn w:val="1"/>
    <w:next w:val="1"/>
    <w:link w:val="23"/>
    <w:qFormat/>
    <w:uiPriority w:val="0"/>
    <w:rPr>
      <w:rFonts w:hAnsi="Courier New"/>
      <w:kern w:val="2"/>
    </w:rPr>
  </w:style>
  <w:style w:type="paragraph" w:styleId="8">
    <w:name w:val="footer"/>
    <w:basedOn w:val="1"/>
    <w:link w:val="21"/>
    <w:unhideWhenUsed/>
    <w:qFormat/>
    <w:uiPriority w:val="99"/>
    <w:pPr>
      <w:tabs>
        <w:tab w:val="center" w:pos="4153"/>
        <w:tab w:val="right" w:pos="8306"/>
      </w:tabs>
      <w:snapToGrid w:val="0"/>
    </w:pPr>
    <w:rPr>
      <w:sz w:val="18"/>
      <w:szCs w:val="18"/>
    </w:rPr>
  </w:style>
  <w:style w:type="paragraph" w:styleId="9">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autoRedefine/>
    <w:unhideWhenUsed/>
    <w:qFormat/>
    <w:uiPriority w:val="39"/>
  </w:style>
  <w:style w:type="paragraph" w:styleId="11">
    <w:name w:val="toc 2"/>
    <w:basedOn w:val="1"/>
    <w:next w:val="1"/>
    <w:autoRedefine/>
    <w:unhideWhenUsed/>
    <w:qFormat/>
    <w:uiPriority w:val="39"/>
    <w:pPr>
      <w:widowControl/>
      <w:spacing w:after="100" w:line="259" w:lineRule="auto"/>
      <w:ind w:left="220"/>
      <w:jc w:val="left"/>
    </w:pPr>
    <w:rPr>
      <w:rFonts w:asciiTheme="minorHAnsi" w:hAnsiTheme="minorHAnsi" w:eastAsiaTheme="minorEastAsia"/>
      <w:sz w:val="22"/>
      <w:szCs w:val="22"/>
    </w:rPr>
  </w:style>
  <w:style w:type="paragraph" w:styleId="12">
    <w:name w:val="Normal (Web)"/>
    <w:basedOn w:val="1"/>
    <w:semiHidden/>
    <w:unhideWhenUsed/>
    <w:qFormat/>
    <w:uiPriority w:val="99"/>
    <w:rPr>
      <w:sz w:val="24"/>
    </w:rPr>
  </w:style>
  <w:style w:type="paragraph" w:styleId="13">
    <w:name w:val="Title"/>
    <w:basedOn w:val="1"/>
    <w:next w:val="1"/>
    <w:link w:val="25"/>
    <w:qFormat/>
    <w:uiPriority w:val="10"/>
    <w:pPr>
      <w:jc w:val="left"/>
      <w:outlineLvl w:val="0"/>
    </w:pPr>
    <w:rPr>
      <w:rFonts w:cstheme="majorBidi"/>
      <w:b/>
      <w:bCs/>
      <w:sz w:val="24"/>
      <w:szCs w:val="32"/>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rPr>
  </w:style>
  <w:style w:type="character" w:styleId="18">
    <w:name w:val="page number"/>
    <w:basedOn w:val="16"/>
    <w:qFormat/>
    <w:uiPriority w:val="0"/>
    <w:rPr>
      <w:rFonts w:hint="default" w:ascii="Times New Roman" w:hAnsi="Times New Roman" w:cs="Times New Roman"/>
    </w:rPr>
  </w:style>
  <w:style w:type="character" w:styleId="19">
    <w:name w:val="Hyperlink"/>
    <w:basedOn w:val="16"/>
    <w:unhideWhenUsed/>
    <w:qFormat/>
    <w:uiPriority w:val="99"/>
    <w:rPr>
      <w:color w:val="0563C1" w:themeColor="hyperlink"/>
      <w:u w:val="single"/>
      <w14:textFill>
        <w14:solidFill>
          <w14:schemeClr w14:val="hlink"/>
        </w14:solidFill>
      </w14:textFill>
    </w:rPr>
  </w:style>
  <w:style w:type="character" w:customStyle="1" w:styleId="20">
    <w:name w:val="页眉 字符"/>
    <w:basedOn w:val="16"/>
    <w:link w:val="9"/>
    <w:qFormat/>
    <w:uiPriority w:val="99"/>
    <w:rPr>
      <w:sz w:val="18"/>
      <w:szCs w:val="18"/>
    </w:rPr>
  </w:style>
  <w:style w:type="character" w:customStyle="1" w:styleId="21">
    <w:name w:val="页脚 字符"/>
    <w:basedOn w:val="16"/>
    <w:link w:val="8"/>
    <w:qFormat/>
    <w:uiPriority w:val="99"/>
    <w:rPr>
      <w:rFonts w:ascii="Times New Roman" w:hAnsi="Times New Roman" w:eastAsia="宋体" w:cs="Times New Roman"/>
      <w:kern w:val="0"/>
      <w:sz w:val="18"/>
      <w:szCs w:val="18"/>
    </w:rPr>
  </w:style>
  <w:style w:type="character" w:customStyle="1" w:styleId="22">
    <w:name w:val="标题 1 字符"/>
    <w:basedOn w:val="16"/>
    <w:link w:val="2"/>
    <w:qFormat/>
    <w:uiPriority w:val="0"/>
    <w:rPr>
      <w:rFonts w:ascii="宋体" w:hAnsi="Times New Roman" w:eastAsia="黑体" w:cs="Times New Roman"/>
      <w:bCs/>
      <w:kern w:val="44"/>
      <w:sz w:val="36"/>
      <w:szCs w:val="44"/>
    </w:rPr>
  </w:style>
  <w:style w:type="character" w:customStyle="1" w:styleId="23">
    <w:name w:val="纯文本 字符"/>
    <w:basedOn w:val="16"/>
    <w:link w:val="7"/>
    <w:qFormat/>
    <w:uiPriority w:val="0"/>
    <w:rPr>
      <w:rFonts w:ascii="宋体" w:hAnsi="Courier New" w:eastAsia="宋体" w:cs="Times New Roman"/>
      <w:szCs w:val="20"/>
    </w:rPr>
  </w:style>
  <w:style w:type="paragraph" w:customStyle="1" w:styleId="24">
    <w:name w:val="TOC 标题1"/>
    <w:basedOn w:val="2"/>
    <w:next w:val="1"/>
    <w:unhideWhenUsed/>
    <w:qFormat/>
    <w:uiPriority w:val="39"/>
    <w:pPr>
      <w:widowControl/>
      <w:spacing w:before="240" w:beforeLines="0" w:after="0" w:afterLines="0" w:line="259" w:lineRule="auto"/>
      <w:jc w:val="left"/>
      <w:outlineLvl w:val="9"/>
    </w:pPr>
    <w:rPr>
      <w:rFonts w:asciiTheme="majorHAnsi" w:hAnsiTheme="majorHAnsi" w:eastAsiaTheme="majorEastAsia" w:cstheme="majorBidi"/>
      <w:bCs w:val="0"/>
      <w:color w:val="2F5597" w:themeColor="accent1" w:themeShade="BF"/>
      <w:kern w:val="0"/>
      <w:sz w:val="32"/>
      <w:szCs w:val="32"/>
    </w:rPr>
  </w:style>
  <w:style w:type="character" w:customStyle="1" w:styleId="25">
    <w:name w:val="标题 字符"/>
    <w:basedOn w:val="16"/>
    <w:link w:val="13"/>
    <w:qFormat/>
    <w:uiPriority w:val="10"/>
    <w:rPr>
      <w:rFonts w:ascii="Times New Roman" w:hAnsi="Times New Roman" w:eastAsia="宋体" w:cstheme="majorBidi"/>
      <w:b/>
      <w:bCs/>
      <w:kern w:val="0"/>
      <w:sz w:val="24"/>
      <w:szCs w:val="32"/>
    </w:rPr>
  </w:style>
  <w:style w:type="character" w:customStyle="1" w:styleId="26">
    <w:name w:val="标题 2 字符"/>
    <w:basedOn w:val="16"/>
    <w:link w:val="3"/>
    <w:qFormat/>
    <w:uiPriority w:val="9"/>
    <w:rPr>
      <w:rFonts w:ascii="Times New Roman" w:hAnsi="Times New Roman" w:eastAsia="宋体" w:cstheme="majorBidi"/>
      <w:b/>
      <w:bCs/>
      <w:kern w:val="0"/>
      <w:sz w:val="24"/>
      <w:szCs w:val="32"/>
    </w:rPr>
  </w:style>
  <w:style w:type="character" w:customStyle="1" w:styleId="27">
    <w:name w:val="标题 3 字符"/>
    <w:basedOn w:val="16"/>
    <w:link w:val="4"/>
    <w:qFormat/>
    <w:uiPriority w:val="9"/>
    <w:rPr>
      <w:rFonts w:ascii="Times New Roman" w:hAnsi="Times New Roman" w:eastAsia="宋体" w:cs="Times New Roman"/>
      <w:b/>
      <w:bCs/>
      <w:kern w:val="0"/>
      <w:szCs w:val="32"/>
    </w:rPr>
  </w:style>
  <w:style w:type="table" w:customStyle="1" w:styleId="28">
    <w:name w:val="网格型1"/>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9">
    <w:name w:val="首页表格"/>
    <w:basedOn w:val="1"/>
    <w:link w:val="30"/>
    <w:qFormat/>
    <w:uiPriority w:val="0"/>
    <w:pPr>
      <w:framePr w:hSpace="180" w:wrap="around" w:vAnchor="text" w:hAnchor="margin" w:xAlign="center" w:y="7749"/>
      <w:widowControl/>
    </w:pPr>
    <w:rPr>
      <w:rFonts w:hAnsi="宋体"/>
      <w:b/>
      <w:bCs/>
      <w:w w:val="90"/>
      <w:sz w:val="28"/>
      <w:szCs w:val="28"/>
    </w:rPr>
  </w:style>
  <w:style w:type="character" w:customStyle="1" w:styleId="30">
    <w:name w:val="首页表格 字符"/>
    <w:basedOn w:val="16"/>
    <w:link w:val="29"/>
    <w:qFormat/>
    <w:uiPriority w:val="0"/>
    <w:rPr>
      <w:rFonts w:ascii="Times New Roman" w:hAnsi="宋体" w:eastAsia="宋体" w:cs="Times New Roman"/>
      <w:b/>
      <w:bCs/>
      <w:w w:val="90"/>
      <w:kern w:val="0"/>
      <w:sz w:val="28"/>
      <w:szCs w:val="28"/>
    </w:rPr>
  </w:style>
  <w:style w:type="character" w:customStyle="1" w:styleId="31">
    <w:name w:val="标题 4 字符"/>
    <w:basedOn w:val="16"/>
    <w:link w:val="5"/>
    <w:qFormat/>
    <w:uiPriority w:val="9"/>
    <w:rPr>
      <w:rFonts w:asciiTheme="majorHAnsi" w:hAnsiTheme="majorHAnsi" w:eastAsiaTheme="majorEastAsia" w:cstheme="majorBidi"/>
      <w:b/>
      <w:bCs/>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6.png"/><Relationship Id="rId25" Type="http://schemas.openxmlformats.org/officeDocument/2006/relationships/image" Target="media/image5.png"/><Relationship Id="rId24" Type="http://schemas.openxmlformats.org/officeDocument/2006/relationships/image" Target="media/image4.png"/><Relationship Id="rId23" Type="http://schemas.openxmlformats.org/officeDocument/2006/relationships/image" Target="media/image3.png"/><Relationship Id="rId22" Type="http://schemas.openxmlformats.org/officeDocument/2006/relationships/image" Target="media/image2.png"/><Relationship Id="rId21" Type="http://schemas.openxmlformats.org/officeDocument/2006/relationships/image" Target="media/image1.jpe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7.xml"/><Relationship Id="rId18" Type="http://schemas.openxmlformats.org/officeDocument/2006/relationships/header" Target="header8.xml"/><Relationship Id="rId17" Type="http://schemas.openxmlformats.org/officeDocument/2006/relationships/footer" Target="footer6.xml"/><Relationship Id="rId16" Type="http://schemas.openxmlformats.org/officeDocument/2006/relationships/header" Target="header7.xml"/><Relationship Id="rId15" Type="http://schemas.openxmlformats.org/officeDocument/2006/relationships/footer" Target="footer5.xml"/><Relationship Id="rId14" Type="http://schemas.openxmlformats.org/officeDocument/2006/relationships/header" Target="header6.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 Id="rId31" Type="http://schemas.openxmlformats.org/officeDocument/2006/relationships/image" Target="media/image7.png"/><Relationship Id="rId32" Type="http://schemas.openxmlformats.org/officeDocument/2006/relationships/image" Target="media/image8.png"/><Relationship Id="rId33" Type="http://schemas.openxmlformats.org/officeDocument/2006/relationships/image" Target="media/image9.png"/><Relationship Id="rId34" Type="http://schemas.openxmlformats.org/officeDocument/2006/relationships/image" Target="media/image10.png"/><Relationship Id="rId35" Type="http://schemas.openxmlformats.org/officeDocument/2006/relationships/image" Target="media/image11.png"/><Relationship Id="rId36" Type="http://schemas.openxmlformats.org/officeDocument/2006/relationships/image" Target="media/image12.png"/><Relationship Id="rId37" Type="http://schemas.openxmlformats.org/officeDocument/2006/relationships/image" Target="media/image13.png"/><Relationship Id="rId38" Type="http://schemas.openxmlformats.org/officeDocument/2006/relationships/image" Target="media/image14.png"/><Relationship Id="rId39" Type="http://schemas.openxmlformats.org/officeDocument/2006/relationships/image" Target="media/image15.png"/><Relationship Id="rId40" Type="http://schemas.openxmlformats.org/officeDocument/2006/relationships/image" Target="media/image16.png"/><Relationship Id="rId41" Type="http://schemas.openxmlformats.org/officeDocument/2006/relationships/image" Target="media/image17.png"/><Relationship Id="rId42" Type="http://schemas.openxmlformats.org/officeDocument/2006/relationships/image" Target="media/image18.png"/><Relationship Id="rId43" Type="http://schemas.openxmlformats.org/officeDocument/2006/relationships/image" Target="media/image19.png"/><Relationship Id="rId44" Type="http://schemas.openxmlformats.org/officeDocument/2006/relationships/image" Target="media/image20.png"/><Relationship Id="rId45" Type="http://schemas.openxmlformats.org/officeDocument/2006/relationships/image" Target="media/image2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D8B5386-0F1B-4BE2-912F-F7F6179A788A}">
  <ds:schemaRefs/>
</ds:datastoreItem>
</file>

<file path=docProps/app.xml><?xml version="1.0" encoding="utf-8"?>
<Properties xmlns="http://schemas.openxmlformats.org/officeDocument/2006/extended-properties" xmlns:vt="http://schemas.openxmlformats.org/officeDocument/2006/docPropsVTypes">
  <Template>Normal</Template>
  <Pages>111</Pages>
  <Words>646</Words>
  <Characters>765</Characters>
  <Lines>1</Lines>
  <Paragraphs>1</Paragraphs>
  <TotalTime>2</TotalTime>
  <ScaleCrop>false</ScaleCrop>
  <LinksUpToDate>false</LinksUpToDate>
  <CharactersWithSpaces>800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2022-03-28T02:41:00Z</dcterms:created>
  <dc:creator>JiaoLB</dc:creator>
  <cp:lastModifiedBy>廉洁</cp:lastModifiedBy>
  <dcterms:modified xsi:type="dcterms:W3CDTF">2025-06-08T04:20:07Z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eyJoZGlkIjoiZmUxZjA3ZjczODkxZjZkYWNkNzIyMGEwZDg3ODhiNmIiLCJ1c2VySWQiOiI3MTYzMDQzNjYifQ==</vt:lpwstr>
  </property>
  <property fmtid="{D5CDD505-2E9C-101B-9397-08002B2CF9AE}" pid="3" name="KSOProductBuildVer">
    <vt:lpwstr>2052-12.1.0.21171</vt:lpwstr>
  </property>
  <property fmtid="{D5CDD505-2E9C-101B-9397-08002B2CF9AE}" pid="4" name="ICV">
    <vt:lpwstr>A4AB510AC4F14A5F98F5FBE2CCEB5AFD_13</vt:lpwstr>
  </property>
</Properties>
</file>