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5010" w14:textId="77777777" w:rsidR="00773978" w:rsidRDefault="007105B6">
      <w:pPr>
        <w:spacing w:before="62"/>
        <w:ind w:firstLineChars="0" w:firstLine="0"/>
        <w:jc w:val="center"/>
        <w:rPr>
          <w:rFonts w:eastAsia="黑体"/>
          <w:b/>
          <w:sz w:val="44"/>
        </w:rPr>
      </w:pPr>
      <w:r>
        <w:rPr>
          <w:rFonts w:eastAsia="黑体" w:hint="eastAsia"/>
          <w:b/>
          <w:noProof/>
          <w:sz w:val="44"/>
        </w:rPr>
        <w:drawing>
          <wp:inline distT="0" distB="0" distL="0" distR="0" wp14:anchorId="033B1423" wp14:editId="0C8046FA">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4F635F3" w14:textId="77777777" w:rsidR="00773978" w:rsidRDefault="007105B6">
      <w:pPr>
        <w:spacing w:before="62"/>
        <w:ind w:firstLineChars="0" w:firstLine="0"/>
        <w:jc w:val="center"/>
        <w:rPr>
          <w:rFonts w:eastAsia="黑体"/>
          <w:b/>
          <w:sz w:val="44"/>
        </w:rPr>
      </w:pPr>
      <w:r>
        <w:rPr>
          <w:rFonts w:eastAsia="黑体" w:hint="eastAsia"/>
          <w:b/>
          <w:sz w:val="44"/>
        </w:rPr>
        <w:t>本科生毕业设计</w:t>
      </w:r>
    </w:p>
    <w:p w14:paraId="348097B3" w14:textId="77777777" w:rsidR="00773978" w:rsidRDefault="00773978">
      <w:pPr>
        <w:spacing w:before="62"/>
        <w:ind w:firstLine="480"/>
      </w:pPr>
    </w:p>
    <w:p w14:paraId="4448817F" w14:textId="77777777" w:rsidR="00773978" w:rsidRDefault="00773978">
      <w:pPr>
        <w:spacing w:before="62"/>
        <w:ind w:firstLine="480"/>
      </w:pPr>
    </w:p>
    <w:p w14:paraId="2C9CCC51" w14:textId="77777777" w:rsidR="00773978" w:rsidRDefault="00773978">
      <w:pPr>
        <w:spacing w:before="62"/>
        <w:ind w:firstLine="480"/>
      </w:pPr>
    </w:p>
    <w:p w14:paraId="1656F77A" w14:textId="77777777" w:rsidR="00773978" w:rsidRDefault="00773978">
      <w:pPr>
        <w:spacing w:before="62"/>
        <w:ind w:firstLine="480"/>
      </w:pPr>
    </w:p>
    <w:p w14:paraId="2160B1B4" w14:textId="77777777" w:rsidR="00773978" w:rsidRDefault="007105B6">
      <w:pPr>
        <w:spacing w:before="62"/>
        <w:ind w:firstLineChars="0" w:firstLine="0"/>
        <w:jc w:val="center"/>
      </w:pPr>
      <w:r>
        <w:rPr>
          <w:rFonts w:hint="eastAsia"/>
          <w:noProof/>
        </w:rPr>
        <w:drawing>
          <wp:inline distT="0" distB="0" distL="0" distR="0" wp14:anchorId="302FAA82" wp14:editId="2FAD04DA">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158E0A94" w14:textId="77777777" w:rsidR="00773978" w:rsidRDefault="00773978">
      <w:pPr>
        <w:spacing w:before="62"/>
        <w:rPr>
          <w:sz w:val="10"/>
        </w:rPr>
      </w:pPr>
    </w:p>
    <w:p w14:paraId="05388E7C" w14:textId="77777777" w:rsidR="00773978" w:rsidRDefault="007105B6">
      <w:pPr>
        <w:spacing w:before="62"/>
        <w:ind w:firstLine="643"/>
        <w:rPr>
          <w:rFonts w:ascii="黑体" w:eastAsia="黑体" w:hAnsi="黑体" w:hint="eastAsia"/>
          <w:b/>
          <w:sz w:val="32"/>
          <w:szCs w:val="32"/>
        </w:rPr>
      </w:pPr>
      <w:r>
        <w:rPr>
          <w:rFonts w:ascii="黑体" w:eastAsia="黑体" w:hAnsi="黑体" w:hint="eastAsia"/>
          <w:b/>
          <w:sz w:val="32"/>
          <w:szCs w:val="32"/>
        </w:rPr>
        <w:t>题目：防城港9号泊位3万吨级集装箱进口码头工程初步设计</w:t>
      </w:r>
      <w:r>
        <w:rPr>
          <w:rFonts w:ascii="黑体" w:eastAsia="黑体" w:hAnsi="黑体"/>
          <w:b/>
          <w:sz w:val="32"/>
          <w:szCs w:val="32"/>
        </w:rPr>
      </w:r>
      <w:r>
        <w:rPr>
          <w:rFonts w:ascii="黑体" w:eastAsia="黑体" w:hAnsi="黑体"/>
          <w:b/>
          <w:sz w:val="32"/>
          <w:szCs w:val="32"/>
        </w:rPr>
      </w:r>
      <w:r>
        <w:rPr>
          <w:rFonts w:ascii="黑体" w:eastAsia="黑体" w:hAnsi="黑体"/>
          <w:b/>
          <w:sz w:val="32"/>
          <w:szCs w:val="32"/>
        </w:rPr>
      </w:r>
    </w:p>
    <w:p w14:paraId="65BEDFCB" w14:textId="77777777" w:rsidR="00773978" w:rsidRDefault="00773978">
      <w:pPr>
        <w:spacing w:before="62"/>
        <w:ind w:firstLine="480"/>
      </w:pPr>
    </w:p>
    <w:p w14:paraId="669C6A27" w14:textId="77777777" w:rsidR="00773978" w:rsidRDefault="00773978">
      <w:pPr>
        <w:spacing w:before="62"/>
        <w:ind w:firstLine="480"/>
      </w:pPr>
    </w:p>
    <w:p w14:paraId="19A13A3B" w14:textId="542C73C1" w:rsidR="00773978" w:rsidRDefault="007105B6">
      <w:pPr>
        <w:spacing w:before="62"/>
        <w:ind w:firstLineChars="574" w:firstLine="1844"/>
        <w:rPr>
          <w:b/>
          <w:sz w:val="32"/>
          <w:u w:val="single"/>
        </w:rPr>
      </w:pPr>
      <w:r>
        <w:rPr>
          <w:rFonts w:hint="eastAsia"/>
          <w:b/>
          <w:sz w:val="32"/>
        </w:rPr>
        <w:t>学 院 建筑工程学院</w:t>
      </w:r>
      <w:r>
        <w:rPr>
          <w:rFonts w:hint="eastAsia"/>
          <w:b/>
          <w:sz w:val="32"/>
        </w:rPr>
      </w:r>
      <w:r>
        <w:rPr>
          <w:rFonts w:hint="eastAsia"/>
          <w:b/>
          <w:sz w:val="32"/>
        </w:rPr>
      </w:r>
      <w:r>
        <w:rPr>
          <w:rFonts w:hint="eastAsia"/>
          <w:b/>
          <w:sz w:val="32"/>
        </w:rPr>
      </w:r>
    </w:p>
    <w:p w14:paraId="594397AA" w14:textId="5848D377" w:rsidR="00773978" w:rsidRDefault="007105B6">
      <w:pPr>
        <w:spacing w:before="62"/>
        <w:ind w:firstLineChars="574" w:firstLine="1844"/>
        <w:rPr>
          <w:rFonts w:asciiTheme="minorEastAsia" w:eastAsiaTheme="minorEastAsia" w:hAnsiTheme="minorEastAsia" w:hint="eastAsia"/>
          <w:b/>
          <w:sz w:val="32"/>
          <w:u w:val="single"/>
        </w:rPr>
      </w:pPr>
      <w:r>
        <w:rPr>
          <w:rFonts w:hint="eastAsia"/>
          <w:b/>
          <w:sz w:val="32"/>
        </w:rPr>
        <w:t>专 业 港口航道与海岸工程</w:t>
      </w:r>
      <w:r>
        <w:rPr>
          <w:rFonts w:hint="eastAsia"/>
          <w:b/>
          <w:sz w:val="32"/>
        </w:rPr>
      </w:r>
      <w:r>
        <w:rPr>
          <w:rFonts w:hint="eastAsia"/>
          <w:b/>
          <w:sz w:val="32"/>
        </w:rPr>
      </w:r>
      <w:r>
        <w:rPr>
          <w:rFonts w:hint="eastAsia"/>
          <w:b/>
          <w:sz w:val="32"/>
        </w:rPr>
      </w:r>
    </w:p>
    <w:p w14:paraId="111E315F" w14:textId="3D992C76"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年 级 </w:t>
      </w:r>
    </w:p>
    <w:p w14:paraId="4E58D078" w14:textId="52E1DAF1"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姓 名 </w:t>
      </w:r>
    </w:p>
    <w:p w14:paraId="404265F5" w14:textId="72E856A5"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学 号 </w:t>
      </w:r>
    </w:p>
    <w:p w14:paraId="4E4E4417" w14:textId="3F0305E2" w:rsidR="00773978" w:rsidRDefault="007105B6">
      <w:pPr>
        <w:spacing w:before="62"/>
        <w:ind w:firstLineChars="574" w:firstLine="1844"/>
        <w:jc w:val="left"/>
        <w:rPr>
          <w:b/>
          <w:bCs/>
          <w:sz w:val="44"/>
        </w:rPr>
        <w:sectPr w:rsidR="00773978">
          <w:headerReference w:type="even" r:id="rId10"/>
          <w:headerReference w:type="default" r:id="rId11"/>
          <w:footerReference w:type="even" r:id="rId12"/>
          <w:footerReference w:type="default" r:id="rId13"/>
          <w:headerReference w:type="first" r:id="rId14"/>
          <w:footerReference w:type="first" r:id="rId15"/>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b/>
          <w:sz w:val="32"/>
        </w:rPr>
        <w:t xml:space="preserve">指导教师 </w:t>
      </w:r>
    </w:p>
    <w:p w14:paraId="2B970943" w14:textId="77777777" w:rsidR="00773978" w:rsidRDefault="00773978">
      <w:pPr>
        <w:spacing w:before="48"/>
        <w:ind w:firstLine="883"/>
        <w:jc w:val="center"/>
        <w:rPr>
          <w:rFonts w:ascii="宋体" w:hAnsi="宋体" w:hint="eastAsia"/>
          <w:b/>
          <w:sz w:val="44"/>
          <w:szCs w:val="44"/>
        </w:rPr>
      </w:pPr>
    </w:p>
    <w:p w14:paraId="5C4B2030" w14:textId="77777777" w:rsidR="00773978" w:rsidRDefault="007105B6">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491EAAE7" w14:textId="77777777" w:rsidR="00773978" w:rsidRDefault="00773978">
      <w:pPr>
        <w:spacing w:before="48"/>
        <w:ind w:firstLine="883"/>
        <w:jc w:val="center"/>
        <w:rPr>
          <w:rFonts w:ascii="宋体" w:hAnsi="宋体" w:hint="eastAsia"/>
          <w:b/>
          <w:sz w:val="44"/>
          <w:szCs w:val="44"/>
        </w:rPr>
      </w:pPr>
    </w:p>
    <w:p w14:paraId="388F351D" w14:textId="77777777" w:rsidR="00773978" w:rsidRDefault="007105B6">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68F5612A" w14:textId="77777777" w:rsidR="00773978" w:rsidRDefault="00773978">
      <w:pPr>
        <w:spacing w:before="48"/>
        <w:ind w:firstLine="640"/>
        <w:jc w:val="center"/>
        <w:rPr>
          <w:rFonts w:ascii="宋体" w:hAnsi="宋体" w:hint="eastAsia"/>
          <w:sz w:val="32"/>
        </w:rPr>
      </w:pPr>
    </w:p>
    <w:p w14:paraId="289D7AFA" w14:textId="77777777" w:rsidR="00773978" w:rsidRDefault="00773978">
      <w:pPr>
        <w:spacing w:before="48"/>
        <w:ind w:firstLine="640"/>
        <w:jc w:val="center"/>
        <w:rPr>
          <w:rFonts w:ascii="宋体" w:hAnsi="宋体" w:hint="eastAsia"/>
          <w:sz w:val="32"/>
        </w:rPr>
      </w:pPr>
    </w:p>
    <w:p w14:paraId="3C837FD1" w14:textId="77777777" w:rsidR="00773978" w:rsidRDefault="007105B6">
      <w:pPr>
        <w:spacing w:before="48"/>
        <w:ind w:firstLineChars="0" w:firstLine="0"/>
        <w:jc w:val="center"/>
        <w:rPr>
          <w:rFonts w:ascii="宋体" w:hAnsi="宋体" w:hint="eastAsia"/>
          <w:sz w:val="32"/>
        </w:rPr>
      </w:pPr>
      <w:r>
        <w:rPr>
          <w:rFonts w:ascii="宋体" w:hAnsi="宋体" w:hint="eastAsia"/>
          <w:sz w:val="32"/>
        </w:rPr>
        <w:t xml:space="preserve">论文作者签名：               </w:t>
      </w:r>
    </w:p>
    <w:p w14:paraId="1BCB5B35"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6376B168"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5B80C29D" w14:textId="77777777" w:rsidR="00773978" w:rsidRDefault="00773978">
      <w:pPr>
        <w:spacing w:before="48"/>
        <w:ind w:firstLine="640"/>
        <w:jc w:val="center"/>
        <w:rPr>
          <w:rFonts w:ascii="宋体" w:hAnsi="宋体" w:hint="eastAsia"/>
          <w:sz w:val="32"/>
        </w:rPr>
      </w:pPr>
    </w:p>
    <w:p w14:paraId="75B6E716" w14:textId="77777777" w:rsidR="00773978" w:rsidRDefault="007105B6">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04CC1FF8"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25F33301" w14:textId="77777777" w:rsidR="00773978" w:rsidRDefault="007105B6">
      <w:pPr>
        <w:spacing w:before="48"/>
        <w:ind w:firstLine="640"/>
        <w:jc w:val="center"/>
        <w:rPr>
          <w:rFonts w:ascii="宋体" w:hAnsi="宋体" w:hint="eastAsia"/>
          <w:sz w:val="32"/>
        </w:rPr>
      </w:pPr>
      <w:r>
        <w:rPr>
          <w:rFonts w:ascii="宋体" w:hAnsi="宋体" w:hint="eastAsia"/>
          <w:sz w:val="32"/>
        </w:rPr>
        <w:t xml:space="preserve">论文指导教师签名：              </w:t>
      </w:r>
    </w:p>
    <w:p w14:paraId="7DF872E5"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3F5CAA9C" w14:textId="77777777" w:rsidR="00773978" w:rsidRDefault="00773978">
      <w:pPr>
        <w:spacing w:before="48"/>
        <w:ind w:firstLine="640"/>
        <w:jc w:val="center"/>
        <w:rPr>
          <w:rFonts w:ascii="宋体" w:hAnsi="宋体" w:hint="eastAsia"/>
          <w:sz w:val="32"/>
        </w:rPr>
      </w:pPr>
    </w:p>
    <w:p w14:paraId="610A0068" w14:textId="77777777" w:rsidR="00773978" w:rsidRDefault="00773978">
      <w:pPr>
        <w:spacing w:before="48"/>
        <w:ind w:firstLine="640"/>
        <w:jc w:val="center"/>
        <w:rPr>
          <w:rFonts w:ascii="宋体" w:hAnsi="宋体" w:hint="eastAsia"/>
          <w:sz w:val="32"/>
        </w:rPr>
        <w:sectPr w:rsidR="00773978">
          <w:footerReference w:type="default" r:id="rId16"/>
          <w:pgSz w:w="11906" w:h="16838"/>
          <w:pgMar w:top="1559" w:right="1571" w:bottom="1440" w:left="2024" w:header="851" w:footer="992" w:gutter="0"/>
          <w:pgNumType w:fmt="upperRoman" w:start="1"/>
          <w:cols w:space="425"/>
          <w:docGrid w:linePitch="419" w:charSpace="1783"/>
        </w:sectPr>
      </w:pPr>
    </w:p>
    <w:p w14:paraId="57BE7889" w14:textId="77777777" w:rsidR="00773978" w:rsidRDefault="007105B6">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3FBB0D72" w14:textId="77777777" w:rsidR="001E6A84" w:rsidRPr="001E6A84" w:rsidRDefault="001E6A84" w:rsidP="001E6A84">
      <w:pPr>
        <w:spacing w:before="48"/>
        <w:ind w:firstLine="480"/>
        <w:rPr>
          <w:rFonts w:ascii="宋体" w:hAnsi="宋体" w:hint="eastAsia"/>
        </w:rPr>
      </w:pPr>
      <w:r w:rsidRPr="001E6A84">
        <w:rPr>
          <w:rFonts w:ascii="宋体" w:hAnsi="宋体" w:hint="eastAsia"/>
        </w:rPr>
        <w:t>本设计以防城港渔澫港区9号泊位为对象，围绕3万吨级集装箱船进口作业需求开展码头初步设计。设计内容包括自然条件分析、货运量与设计船型确定、重力式沉箱结构与大圆筒结构方案比选、水域及陆域总平面布置、装卸工艺系统设计、主要设备配置、结构构造表达、沉箱方案稳定计算、大圆筒方案稳定计算和工程量估算。工程所在区域属于南亚热带季风型海洋气候，潮汐以正规全日潮为主，港湾受地形掩护，常浪较小，具备顺岸式集装箱泊位建设条件。设计船型取3万吨级集装箱船，泊位长度取300m，码头前停泊水域宽度取65m，回旋水域按500m×400m布置，航道有效宽度取150m，码头前沿设计水深取13.50m。陆域布置以岸桥、集装箱牵引车、轮胎式场桥为核心组织进口卸船流程，堆场容量按50万TEU年通过能力进行校核，形成重箱区、空箱区、冷藏箱区、危险品箱区和预留发展区分区布局。结构方案方面，结合图纸成果对沉箱方案和大圆筒方案进行构造说明，重点说明沉箱平立面、沉箱断面与代表配筋、大圆筒平立面及其断面细部。通过技术适应性、施工条件、抗滑抗倾覆安全系数、基床应力、工程量和运行维护比较，推荐沉箱重力式方案作为本阶段较优方案。设计成果可为后续施工图设计、工程量复核和经济比选提供基础。</w:t>
      </w:r>
    </w:p>
    <w:p w14:paraId="574008F1" w14:textId="77777777" w:rsidR="00773978" w:rsidRDefault="00773978">
      <w:pPr>
        <w:spacing w:before="48"/>
        <w:ind w:firstLineChars="0" w:firstLine="0"/>
        <w:rPr>
          <w:kern w:val="0"/>
          <w:szCs w:val="20"/>
        </w:rPr>
      </w:pPr>
    </w:p>
    <w:p w14:paraId="7F17187F" w14:textId="616BB4F2" w:rsidR="00773978" w:rsidRDefault="007105B6" w:rsidP="001E6A84">
      <w:pPr>
        <w:spacing w:before="48"/>
        <w:ind w:firstLineChars="0" w:firstLine="0"/>
      </w:pPr>
      <w:r>
        <w:rPr>
          <w:rFonts w:asciiTheme="minorEastAsia" w:eastAsiaTheme="minorEastAsia" w:hAnsiTheme="minorEastAsia" w:hint="eastAsia"/>
          <w:b/>
          <w:bCs/>
          <w:sz w:val="28"/>
          <w:szCs w:val="28"/>
        </w:rPr>
        <w:t>关键词：</w:t>
      </w:r>
      <w:r w:rsidR="001E6A84" w:rsidRPr="006F13E7">
        <w:rPr>
          <w:rFonts w:hint="eastAsia"/>
          <w:b w:val="0"/>
        </w:rPr>
        <w:t>防城港；集装箱码头；初步设计；装卸工艺；沉箱结构；大圆筒结构</w:t>
      </w:r>
      <w:r w:rsidR="001E6A84">
        <w:rPr>
          <w:rFonts w:hint="eastAsia"/>
        </w:rPr>
      </w:r>
      <w:r w:rsidR="001E6A84" w:rsidRPr="006F13E7">
        <w:rPr>
          <w:rFonts w:hint="eastAsia"/>
        </w:rPr>
      </w:r>
      <w:r w:rsidR="001E6A84">
        <w:rPr>
          <w:rFonts w:hint="eastAsia"/>
        </w:rPr>
      </w:r>
      <w:r w:rsidR="001E6A84" w:rsidRPr="006F13E7">
        <w:rPr>
          <w:rFonts w:hint="eastAsia"/>
        </w:rPr>
      </w:r>
      <w:r w:rsidR="001E6A84">
        <w:rPr>
          <w:rFonts w:hint="eastAsia"/>
        </w:rPr>
      </w:r>
      <w:r w:rsidR="001E6A84" w:rsidRPr="006F13E7">
        <w:rPr>
          <w:rFonts w:hint="eastAsia"/>
        </w:rPr>
      </w:r>
      <w:r w:rsidR="00304F5C">
        <w:rPr>
          <w:rFonts w:hint="eastAsia"/>
        </w:rPr>
      </w:r>
      <w:r w:rsidR="001E6A84" w:rsidRPr="006F13E7">
        <w:rPr>
          <w:rFonts w:hint="eastAsia"/>
        </w:rPr>
      </w:r>
    </w:p>
    <w:p w14:paraId="3413C8BB" w14:textId="77777777" w:rsidR="00773978" w:rsidRDefault="00773978">
      <w:pPr>
        <w:pStyle w:val="10"/>
        <w:spacing w:line="300" w:lineRule="auto"/>
        <w:ind w:firstLine="480"/>
        <w:sectPr w:rsidR="00773978">
          <w:footerReference w:type="default" r:id="rId17"/>
          <w:pgSz w:w="11906" w:h="16838"/>
          <w:pgMar w:top="1559" w:right="1571" w:bottom="1440" w:left="2024" w:header="851" w:footer="992" w:gutter="0"/>
          <w:pgNumType w:fmt="upperRoman" w:start="1"/>
          <w:cols w:space="425"/>
          <w:docGrid w:linePitch="419" w:charSpace="1783"/>
        </w:sectPr>
      </w:pPr>
    </w:p>
    <w:p w14:paraId="76088CDD" w14:textId="77777777" w:rsidR="00773978" w:rsidRDefault="007105B6">
      <w:pPr>
        <w:spacing w:beforeLines="0" w:after="360" w:line="240" w:lineRule="auto"/>
        <w:ind w:firstLineChars="0" w:firstLine="0"/>
        <w:jc w:val="center"/>
        <w:rPr>
          <w:b/>
          <w:sz w:val="44"/>
        </w:rPr>
      </w:pPr>
      <w:bookmarkStart w:id="2" w:name="_Toc30147281"/>
      <w:bookmarkStart w:id="3" w:name="_Toc30146992"/>
      <w:bookmarkStart w:id="4" w:name="_Toc464325078"/>
      <w:bookmarkStart w:id="5" w:name="_Toc464327622"/>
      <w:bookmarkStart w:id="6" w:name="_Toc150964"/>
      <w:r>
        <w:rPr>
          <w:b/>
          <w:sz w:val="44"/>
        </w:rPr>
        <w:lastRenderedPageBreak/>
        <w:t>ABSTRACT</w:t>
      </w:r>
      <w:bookmarkEnd w:id="2"/>
      <w:bookmarkEnd w:id="3"/>
      <w:bookmarkEnd w:id="4"/>
      <w:bookmarkEnd w:id="5"/>
      <w:bookmarkEnd w:id="6"/>
    </w:p>
    <w:p w14:paraId="4110FFCF" w14:textId="77777777" w:rsidR="00773978" w:rsidRDefault="007105B6">
      <w:pPr>
        <w:pStyle w:val="10"/>
        <w:spacing w:line="300" w:lineRule="auto"/>
        <w:ind w:firstLine="480"/>
        <w:rPr>
          <w:rFonts w:cs="Times New Roman"/>
        </w:rPr>
      </w:pPr>
      <w:r>
        <w:rPr>
          <w:rFonts w:cs="Times New Roman"/>
        </w:rPr>
        <w:t>This design focuses on the preliminary design of the No. 9 berth container import terminal in the Yuwan port area of Fangchenggang Port. The work covers natural condition analysis, cargo volume and design vessel determination, comparison between gravity caisson and large-diameter cylinder schemes, water area and land area layout, cargo handling process, equipment configuration, structural detailing, stability checks for both the caisson scheme and the large-diameter cylinder scheme, and preliminary quantity estimation. The project area has a southern subtropical monsoon marine climate, regular diurnal tides and relatively weak wave action due to the sheltered bay condition. The design vessel is a 30,000 DWT container ship. The berth length is taken as 300 m, the berthing water width as 65 m, the turning basin as 500 m by 400 m, the navigation channel width as 150 m, and the design water depth at the berth front as 13.50 m. The land layout is organized around quay cranes, container tractors with trailers and rubber-tyred gantry cranes. The yard capacity is checked according to an annual throughput of 500,000 TEU, and the yard is divided into laden container area, empty container area, reefer area, dangerous cargo area and reserved development area. Based on the completed drawings, the caisson plan and elevation, caisson section and reinforcement details, large cylinder plan and elevation, and large cylinder section details are discussed. Through comparison of technical adaptability, construction conditions, anti-sliding and anti-overturning safety factors, foundation stress, quantities and operation maintenance, the gravity caisson scheme is recommended for this preliminary design stage.</w:t>
      </w:r>
      <w:r>
        <w:rPr>
          <w:rFonts w:cs="Times New Roman"/>
        </w:rPr>
      </w:r>
      <w:r>
        <w:rPr>
          <w:rFonts w:cs="Times New Roman"/>
        </w:rPr>
      </w:r>
      <w:r>
        <w:rPr>
          <w:rFonts w:cs="Times New Roman"/>
        </w:rPr>
      </w:r>
      <w:r>
        <w:rPr>
          <w:rFonts w:cs="Times New Roman"/>
        </w:rPr>
      </w:r>
      <w:r>
        <w:rPr>
          <w:rFonts w:cs="Times New Roman"/>
        </w:rPr>
      </w:r>
      <w:r>
        <w:rPr>
          <w:rFonts w:cs="Times New Roman"/>
        </w:rPr>
      </w:r>
    </w:p>
    <w:p w14:paraId="4432760D" w14:textId="77777777" w:rsidR="00773978" w:rsidRDefault="00773978">
      <w:pPr>
        <w:pStyle w:val="10"/>
        <w:spacing w:line="300" w:lineRule="auto"/>
        <w:ind w:firstLine="480"/>
        <w:rPr>
          <w:rFonts w:cs="Times New Roman"/>
        </w:rPr>
      </w:pPr>
    </w:p>
    <w:p w14:paraId="5EE79FFF" w14:textId="77777777" w:rsidR="00773978" w:rsidRDefault="007105B6">
      <w:pPr>
        <w:spacing w:before="48"/>
        <w:ind w:firstLine="562"/>
      </w:pPr>
      <w:r>
        <w:rPr>
          <w:b/>
          <w:bCs/>
          <w:sz w:val="28"/>
          <w:szCs w:val="28"/>
        </w:rPr>
        <w:t>KEY WORDS:</w:t>
      </w:r>
      <w:r>
        <w:rPr>
          <w:rFonts w:hint="eastAsia"/>
          <w:b w:val="0"/>
          <w:bCs/>
          <w:sz w:val="28"/>
          <w:szCs w:val="28"/>
        </w:rPr>
        <w:t xml:space="preserve"> Fangchenggang Port; container terminal; preliminary design; cargo handling process; caisson structure; large cylinder structure</w:t>
      </w:r>
      <w:r/>
      <w:r>
        <w:rPr>
          <w:rFonts w:hint="eastAsia"/>
        </w:rPr>
      </w:r>
      <w:r/>
      <w:r>
        <w:rPr>
          <w:rFonts w:hint="eastAsia"/>
        </w:rPr>
      </w:r>
      <w:r/>
      <w:r>
        <w:rPr>
          <w:rFonts w:hint="eastAsia"/>
        </w:rPr>
      </w:r>
      <w:r/>
      <w:r>
        <w:rPr>
          <w:rFonts w:hint="eastAsia"/>
        </w:rPr>
      </w:r>
      <w:r/>
    </w:p>
    <w:p w14:paraId="76F1DA37" w14:textId="77777777" w:rsidR="00773978" w:rsidRDefault="00773978">
      <w:pPr>
        <w:pStyle w:val="10"/>
        <w:ind w:firstLine="480"/>
      </w:pPr>
    </w:p>
    <w:p w14:paraId="374D755B" w14:textId="77777777" w:rsidR="00773978" w:rsidRDefault="00773978">
      <w:pPr>
        <w:pStyle w:val="10"/>
        <w:ind w:firstLine="480"/>
        <w:sectPr w:rsidR="00773978">
          <w:footerReference w:type="default" r:id="rId18"/>
          <w:pgSz w:w="11906" w:h="16838"/>
          <w:pgMar w:top="1559" w:right="1571" w:bottom="1440" w:left="2024" w:header="851" w:footer="992" w:gutter="0"/>
          <w:pgNumType w:fmt="upperRoman" w:start="2"/>
          <w:cols w:space="425"/>
          <w:docGrid w:linePitch="419" w:charSpace="1783"/>
        </w:sectPr>
      </w:pPr>
    </w:p>
    <w:p w14:paraId="319BE3D3" w14:textId="77777777" w:rsidR="00773978" w:rsidRDefault="007105B6">
      <w:pPr>
        <w:pStyle w:val="Char"/>
        <w:spacing w:before="600" w:after="600" w:line="240" w:lineRule="auto"/>
        <w:jc w:val="center"/>
        <w:rPr>
          <w:rFonts w:ascii="黑体" w:eastAsia="黑体" w:hAnsi="黑体" w:hint="eastAsia"/>
        </w:rPr>
      </w:pPr>
      <w:bookmarkStart w:id="7" w:name="_Toc464327623"/>
      <w:bookmarkStart w:id="8" w:name="_Toc464325079"/>
      <w:r>
        <w:rPr>
          <w:rFonts w:ascii="黑体" w:eastAsia="黑体" w:hAnsi="黑体" w:hint="eastAsia"/>
        </w:rPr>
        <w:lastRenderedPageBreak/>
        <w:t>目  录</w:t>
      </w:r>
      <w:bookmarkEnd w:id="7"/>
      <w:bookmarkEnd w:id="8"/>
    </w:p>
    <w:bookmarkStart w:id="9" w:name="_Ref43021124"/>
    <w:bookmarkStart w:id="10" w:name="_Ref43021134"/>
    <w:bookmarkStart w:id="11" w:name="_Ref43021352"/>
    <w:bookmarkStart w:id="12" w:name="_Ref43021047"/>
    <w:bookmarkStart w:id="13" w:name="_Ref43021537"/>
    <w:bookmarkStart w:id="14" w:name="_Ref43021213"/>
    <w:bookmarkStart w:id="15" w:name="_Ref43021099"/>
    <w:bookmarkStart w:id="16" w:name="_Ref43021538"/>
    <w:p>
      <w:pPr>
        <w:tabs>
          <w:tab w:pos="8200" w:val="right" w:leader="dot"/>
        </w:tabs>
        <w:spacing w:lineRule="auto" w:line="240" w:before="0" w:after="0"/>
        <w:ind w:left="0"/>
      </w:pPr>
      <w:r>
        <w:rPr>
          <w:rFonts w:ascii="Times New Roman" w:hAnsi="Times New Roman" w:eastAsia="宋体"/>
          <w:b/>
          <w:sz w:val="24"/>
        </w:rPr>
        <w:t>第一章 设计依据</w:t>
        <w:tab/>
        <w:t>1</w:t>
      </w:r>
    </w:p>
    <w:p>
      <w:pPr>
        <w:tabs>
          <w:tab w:pos="8200" w:val="right" w:leader="dot"/>
        </w:tabs>
        <w:spacing w:lineRule="auto" w:line="240" w:before="0" w:after="0"/>
        <w:ind w:left="360"/>
      </w:pPr>
      <w:r>
        <w:rPr>
          <w:rFonts w:ascii="Times New Roman" w:hAnsi="Times New Roman" w:eastAsia="宋体"/>
          <w:b w:val="0"/>
          <w:sz w:val="20"/>
        </w:rPr>
        <w:t>1.1 工程概况</w:t>
        <w:tab/>
        <w:t>1</w:t>
      </w:r>
    </w:p>
    <w:p>
      <w:pPr>
        <w:tabs>
          <w:tab w:pos="8200" w:val="right" w:leader="dot"/>
        </w:tabs>
        <w:spacing w:lineRule="auto" w:line="240" w:before="0" w:after="0"/>
        <w:ind w:left="360"/>
      </w:pPr>
      <w:r>
        <w:rPr>
          <w:rFonts w:ascii="Times New Roman" w:hAnsi="Times New Roman" w:eastAsia="宋体"/>
          <w:b w:val="0"/>
          <w:sz w:val="20"/>
        </w:rPr>
        <w:t>1.2 自然条件</w:t>
        <w:tab/>
        <w:t>3</w:t>
      </w:r>
    </w:p>
    <w:p>
      <w:pPr>
        <w:tabs>
          <w:tab w:pos="8200" w:val="right" w:leader="dot"/>
        </w:tabs>
        <w:spacing w:lineRule="auto" w:line="240" w:before="0" w:after="0"/>
        <w:ind w:left="720"/>
      </w:pPr>
      <w:r>
        <w:rPr>
          <w:rFonts w:ascii="Times New Roman" w:hAnsi="Times New Roman" w:eastAsia="宋体"/>
          <w:b w:val="0"/>
          <w:sz w:val="20"/>
        </w:rPr>
        <w:t>1.2.1 气象条件</w:t>
        <w:tab/>
        <w:t>3</w:t>
      </w:r>
    </w:p>
    <w:p>
      <w:pPr>
        <w:tabs>
          <w:tab w:pos="8200" w:val="right" w:leader="dot"/>
        </w:tabs>
        <w:spacing w:lineRule="auto" w:line="240" w:before="0" w:after="0"/>
        <w:ind w:left="720"/>
      </w:pPr>
      <w:r>
        <w:rPr>
          <w:rFonts w:ascii="Times New Roman" w:hAnsi="Times New Roman" w:eastAsia="宋体"/>
          <w:b w:val="0"/>
          <w:sz w:val="20"/>
        </w:rPr>
        <w:t>1.2.2 水文条件</w:t>
        <w:tab/>
        <w:t>4</w:t>
      </w:r>
    </w:p>
    <w:p>
      <w:pPr>
        <w:tabs>
          <w:tab w:pos="8200" w:val="right" w:leader="dot"/>
        </w:tabs>
        <w:spacing w:lineRule="auto" w:line="240" w:before="0" w:after="0"/>
        <w:ind w:left="720"/>
      </w:pPr>
      <w:r>
        <w:rPr>
          <w:rFonts w:ascii="Times New Roman" w:hAnsi="Times New Roman" w:eastAsia="宋体"/>
          <w:b w:val="0"/>
          <w:sz w:val="20"/>
        </w:rPr>
        <w:t>1.2.3 地质与地震条件</w:t>
        <w:tab/>
        <w:t>5</w:t>
      </w:r>
    </w:p>
    <w:p>
      <w:pPr>
        <w:tabs>
          <w:tab w:pos="8200" w:val="right" w:leader="dot"/>
        </w:tabs>
        <w:spacing w:lineRule="auto" w:line="240" w:before="0" w:after="0"/>
        <w:ind w:left="360"/>
      </w:pPr>
      <w:r>
        <w:rPr>
          <w:rFonts w:ascii="Times New Roman" w:hAnsi="Times New Roman" w:eastAsia="宋体"/>
          <w:b w:val="0"/>
          <w:sz w:val="20"/>
        </w:rPr>
        <w:t>1.3 本章小结</w:t>
        <w:tab/>
        <w:t>6</w:t>
      </w:r>
    </w:p>
    <w:p>
      <w:pPr>
        <w:tabs>
          <w:tab w:pos="8200" w:val="right" w:leader="dot"/>
        </w:tabs>
        <w:spacing w:lineRule="auto" w:line="240" w:before="0" w:after="0"/>
        <w:ind w:left="0"/>
      </w:pPr>
      <w:r>
        <w:rPr>
          <w:rFonts w:ascii="Times New Roman" w:hAnsi="Times New Roman" w:eastAsia="宋体"/>
          <w:b/>
          <w:sz w:val="24"/>
        </w:rPr>
        <w:t>第二章 货运量与船型</w:t>
        <w:tab/>
        <w:t>7</w:t>
      </w:r>
    </w:p>
    <w:p>
      <w:pPr>
        <w:tabs>
          <w:tab w:pos="8200" w:val="right" w:leader="dot"/>
        </w:tabs>
        <w:spacing w:lineRule="auto" w:line="240" w:before="0" w:after="0"/>
        <w:ind w:left="360"/>
      </w:pPr>
      <w:r>
        <w:rPr>
          <w:rFonts w:ascii="Times New Roman" w:hAnsi="Times New Roman" w:eastAsia="宋体"/>
          <w:b w:val="0"/>
          <w:sz w:val="20"/>
        </w:rPr>
        <w:t>2.1 腹地经济与集装箱运输需求</w:t>
        <w:tab/>
        <w:t>7</w:t>
      </w:r>
    </w:p>
    <w:p>
      <w:pPr>
        <w:tabs>
          <w:tab w:pos="8200" w:val="right" w:leader="dot"/>
        </w:tabs>
        <w:spacing w:lineRule="auto" w:line="240" w:before="0" w:after="0"/>
        <w:ind w:left="360"/>
      </w:pPr>
      <w:r>
        <w:rPr>
          <w:rFonts w:ascii="Times New Roman" w:hAnsi="Times New Roman" w:eastAsia="宋体"/>
          <w:b w:val="0"/>
          <w:sz w:val="20"/>
        </w:rPr>
        <w:t>2.2 吞吐量预测方法</w:t>
        <w:tab/>
        <w:t>7</w:t>
      </w:r>
    </w:p>
    <w:p>
      <w:pPr>
        <w:tabs>
          <w:tab w:pos="8200" w:val="right" w:leader="dot"/>
        </w:tabs>
        <w:spacing w:lineRule="auto" w:line="240" w:before="0" w:after="0"/>
        <w:ind w:left="360"/>
      </w:pPr>
      <w:r>
        <w:rPr>
          <w:rFonts w:ascii="Times New Roman" w:hAnsi="Times New Roman" w:eastAsia="宋体"/>
          <w:b w:val="0"/>
          <w:sz w:val="20"/>
        </w:rPr>
        <w:t>2.3 设计船型</w:t>
        <w:tab/>
        <w:t>8</w:t>
      </w:r>
    </w:p>
    <w:p>
      <w:pPr>
        <w:tabs>
          <w:tab w:pos="8200" w:val="right" w:leader="dot"/>
        </w:tabs>
        <w:spacing w:lineRule="auto" w:line="240" w:before="0" w:after="0"/>
        <w:ind w:left="360"/>
      </w:pPr>
      <w:r>
        <w:rPr>
          <w:rFonts w:ascii="Times New Roman" w:hAnsi="Times New Roman" w:eastAsia="宋体"/>
          <w:b w:val="0"/>
          <w:sz w:val="20"/>
        </w:rPr>
        <w:t>2.4 年通过能力校核</w:t>
        <w:tab/>
        <w:t>9</w:t>
      </w:r>
    </w:p>
    <w:p>
      <w:pPr>
        <w:tabs>
          <w:tab w:pos="8200" w:val="right" w:leader="dot"/>
        </w:tabs>
        <w:spacing w:lineRule="auto" w:line="240" w:before="0" w:after="0"/>
        <w:ind w:left="360"/>
      </w:pPr>
      <w:r>
        <w:rPr>
          <w:rFonts w:ascii="Times New Roman" w:hAnsi="Times New Roman" w:eastAsia="宋体"/>
          <w:b w:val="0"/>
          <w:sz w:val="20"/>
        </w:rPr>
        <w:t>2.5 本章小结</w:t>
        <w:tab/>
        <w:t>10</w:t>
      </w:r>
    </w:p>
    <w:p>
      <w:pPr>
        <w:tabs>
          <w:tab w:pos="8200" w:val="right" w:leader="dot"/>
        </w:tabs>
        <w:spacing w:lineRule="auto" w:line="240" w:before="0" w:after="0"/>
        <w:ind w:left="0"/>
      </w:pPr>
      <w:r>
        <w:rPr>
          <w:rFonts w:ascii="Times New Roman" w:hAnsi="Times New Roman" w:eastAsia="宋体"/>
          <w:b/>
          <w:sz w:val="24"/>
        </w:rPr>
        <w:t>第三章 方案比选</w:t>
        <w:tab/>
        <w:t>11</w:t>
      </w:r>
    </w:p>
    <w:p>
      <w:pPr>
        <w:tabs>
          <w:tab w:pos="8200" w:val="right" w:leader="dot"/>
        </w:tabs>
        <w:spacing w:lineRule="auto" w:line="240" w:before="0" w:after="0"/>
        <w:ind w:left="360"/>
      </w:pPr>
      <w:r>
        <w:rPr>
          <w:rFonts w:ascii="Times New Roman" w:hAnsi="Times New Roman" w:eastAsia="宋体"/>
          <w:b w:val="0"/>
          <w:sz w:val="20"/>
        </w:rPr>
        <w:t>3.1 比选原则</w:t>
        <w:tab/>
        <w:t>11</w:t>
      </w:r>
    </w:p>
    <w:p>
      <w:pPr>
        <w:tabs>
          <w:tab w:pos="8200" w:val="right" w:leader="dot"/>
        </w:tabs>
        <w:spacing w:lineRule="auto" w:line="240" w:before="0" w:after="0"/>
        <w:ind w:left="360"/>
      </w:pPr>
      <w:r>
        <w:rPr>
          <w:rFonts w:ascii="Times New Roman" w:hAnsi="Times New Roman" w:eastAsia="宋体"/>
          <w:b w:val="0"/>
          <w:sz w:val="20"/>
        </w:rPr>
        <w:t>3.2 重力式沉箱方案</w:t>
        <w:tab/>
        <w:t>11</w:t>
      </w:r>
    </w:p>
    <w:p>
      <w:pPr>
        <w:tabs>
          <w:tab w:pos="8200" w:val="right" w:leader="dot"/>
        </w:tabs>
        <w:spacing w:lineRule="auto" w:line="240" w:before="0" w:after="0"/>
        <w:ind w:left="720"/>
      </w:pPr>
      <w:r>
        <w:rPr>
          <w:rFonts w:ascii="Times New Roman" w:hAnsi="Times New Roman" w:eastAsia="宋体"/>
          <w:b w:val="0"/>
          <w:sz w:val="20"/>
        </w:rPr>
        <w:t>3.2.1 结构概述</w:t>
        <w:tab/>
        <w:t>11</w:t>
      </w:r>
    </w:p>
    <w:p>
      <w:pPr>
        <w:tabs>
          <w:tab w:pos="8200" w:val="right" w:leader="dot"/>
        </w:tabs>
        <w:spacing w:lineRule="auto" w:line="240" w:before="0" w:after="0"/>
        <w:ind w:left="720"/>
      </w:pPr>
      <w:r>
        <w:rPr>
          <w:rFonts w:ascii="Times New Roman" w:hAnsi="Times New Roman" w:eastAsia="宋体"/>
          <w:b w:val="0"/>
          <w:sz w:val="20"/>
        </w:rPr>
        <w:t>3.2.2 主要设计数据</w:t>
        <w:tab/>
        <w:t>12</w:t>
      </w:r>
    </w:p>
    <w:p>
      <w:pPr>
        <w:tabs>
          <w:tab w:pos="8200" w:val="right" w:leader="dot"/>
        </w:tabs>
        <w:spacing w:lineRule="auto" w:line="240" w:before="0" w:after="0"/>
        <w:ind w:left="360"/>
      </w:pPr>
      <w:r>
        <w:rPr>
          <w:rFonts w:ascii="Times New Roman" w:hAnsi="Times New Roman" w:eastAsia="宋体"/>
          <w:b w:val="0"/>
          <w:sz w:val="20"/>
        </w:rPr>
        <w:t>3.3 重力式大圆筒方案</w:t>
        <w:tab/>
        <w:t>13</w:t>
      </w:r>
    </w:p>
    <w:p>
      <w:pPr>
        <w:tabs>
          <w:tab w:pos="8200" w:val="right" w:leader="dot"/>
        </w:tabs>
        <w:spacing w:lineRule="auto" w:line="240" w:before="0" w:after="0"/>
        <w:ind w:left="720"/>
      </w:pPr>
      <w:r>
        <w:rPr>
          <w:rFonts w:ascii="Times New Roman" w:hAnsi="Times New Roman" w:eastAsia="宋体"/>
          <w:b w:val="0"/>
          <w:sz w:val="20"/>
        </w:rPr>
        <w:t>3.3.1 结构概述</w:t>
        <w:tab/>
        <w:t>13</w:t>
      </w:r>
    </w:p>
    <w:p>
      <w:pPr>
        <w:tabs>
          <w:tab w:pos="8200" w:val="right" w:leader="dot"/>
        </w:tabs>
        <w:spacing w:lineRule="auto" w:line="240" w:before="0" w:after="0"/>
        <w:ind w:left="720"/>
      </w:pPr>
      <w:r>
        <w:rPr>
          <w:rFonts w:ascii="Times New Roman" w:hAnsi="Times New Roman" w:eastAsia="宋体"/>
          <w:b w:val="0"/>
          <w:sz w:val="20"/>
        </w:rPr>
        <w:t>3.3.2 主要设计数据</w:t>
        <w:tab/>
        <w:t>13</w:t>
      </w:r>
    </w:p>
    <w:p>
      <w:pPr>
        <w:tabs>
          <w:tab w:pos="8200" w:val="right" w:leader="dot"/>
        </w:tabs>
        <w:spacing w:lineRule="auto" w:line="240" w:before="0" w:after="0"/>
        <w:ind w:left="360"/>
      </w:pPr>
      <w:r>
        <w:rPr>
          <w:rFonts w:ascii="Times New Roman" w:hAnsi="Times New Roman" w:eastAsia="宋体"/>
          <w:b w:val="0"/>
          <w:sz w:val="20"/>
        </w:rPr>
        <w:t>3.4 技术经济比较与推荐方案</w:t>
        <w:tab/>
        <w:t>14</w:t>
      </w:r>
    </w:p>
    <w:p>
      <w:pPr>
        <w:tabs>
          <w:tab w:pos="8200" w:val="right" w:leader="dot"/>
        </w:tabs>
        <w:spacing w:lineRule="auto" w:line="240" w:before="0" w:after="0"/>
        <w:ind w:left="360"/>
      </w:pPr>
      <w:r>
        <w:rPr>
          <w:rFonts w:ascii="Times New Roman" w:hAnsi="Times New Roman" w:eastAsia="宋体"/>
          <w:b w:val="0"/>
          <w:sz w:val="20"/>
        </w:rPr>
        <w:t>3.5 本章小结</w:t>
        <w:tab/>
        <w:t>16</w:t>
      </w:r>
    </w:p>
    <w:p>
      <w:pPr>
        <w:tabs>
          <w:tab w:pos="8200" w:val="right" w:leader="dot"/>
        </w:tabs>
        <w:spacing w:lineRule="auto" w:line="240" w:before="0" w:after="0"/>
        <w:ind w:left="0"/>
      </w:pPr>
      <w:r>
        <w:rPr>
          <w:rFonts w:ascii="Times New Roman" w:hAnsi="Times New Roman" w:eastAsia="宋体"/>
          <w:b/>
          <w:sz w:val="24"/>
        </w:rPr>
        <w:t>第四章 水域及陆域布置</w:t>
        <w:tab/>
        <w:t>17</w:t>
      </w:r>
    </w:p>
    <w:p>
      <w:pPr>
        <w:tabs>
          <w:tab w:pos="8200" w:val="right" w:leader="dot"/>
        </w:tabs>
        <w:spacing w:lineRule="auto" w:line="240" w:before="0" w:after="0"/>
        <w:ind w:left="360"/>
      </w:pPr>
      <w:r>
        <w:rPr>
          <w:rFonts w:ascii="Times New Roman" w:hAnsi="Times New Roman" w:eastAsia="宋体"/>
          <w:b w:val="0"/>
          <w:sz w:val="20"/>
        </w:rPr>
        <w:t>4.1 设计基础参数汇总</w:t>
        <w:tab/>
        <w:t>17</w:t>
      </w:r>
    </w:p>
    <w:p>
      <w:pPr>
        <w:tabs>
          <w:tab w:pos="8200" w:val="right" w:leader="dot"/>
        </w:tabs>
        <w:spacing w:lineRule="auto" w:line="240" w:before="0" w:after="0"/>
        <w:ind w:left="360"/>
      </w:pPr>
      <w:r>
        <w:rPr>
          <w:rFonts w:ascii="Times New Roman" w:hAnsi="Times New Roman" w:eastAsia="宋体"/>
          <w:b w:val="0"/>
          <w:sz w:val="20"/>
        </w:rPr>
        <w:t>4.2 水域布置</w:t>
        <w:tab/>
        <w:t>17</w:t>
      </w:r>
    </w:p>
    <w:p>
      <w:pPr>
        <w:tabs>
          <w:tab w:pos="8200" w:val="right" w:leader="dot"/>
        </w:tabs>
        <w:spacing w:lineRule="auto" w:line="240" w:before="0" w:after="0"/>
        <w:ind w:left="720"/>
      </w:pPr>
      <w:r>
        <w:rPr>
          <w:rFonts w:ascii="Times New Roman" w:hAnsi="Times New Roman" w:eastAsia="宋体"/>
          <w:b w:val="0"/>
          <w:sz w:val="20"/>
        </w:rPr>
        <w:t>4.2.1 码头前沿线与停泊水域</w:t>
        <w:tab/>
        <w:t>17</w:t>
      </w:r>
    </w:p>
    <w:p>
      <w:pPr>
        <w:tabs>
          <w:tab w:pos="8200" w:val="right" w:leader="dot"/>
        </w:tabs>
        <w:spacing w:lineRule="auto" w:line="240" w:before="0" w:after="0"/>
        <w:ind w:left="720"/>
      </w:pPr>
      <w:r>
        <w:rPr>
          <w:rFonts w:ascii="Times New Roman" w:hAnsi="Times New Roman" w:eastAsia="宋体"/>
          <w:b w:val="0"/>
          <w:sz w:val="20"/>
        </w:rPr>
        <w:t>4.2.2 回旋水域与航道</w:t>
        <w:tab/>
        <w:t>18</w:t>
      </w:r>
    </w:p>
    <w:p>
      <w:pPr>
        <w:tabs>
          <w:tab w:pos="8200" w:val="right" w:leader="dot"/>
        </w:tabs>
        <w:spacing w:lineRule="auto" w:line="240" w:before="0" w:after="0"/>
        <w:ind w:left="360"/>
      </w:pPr>
      <w:r>
        <w:rPr>
          <w:rFonts w:ascii="Times New Roman" w:hAnsi="Times New Roman" w:eastAsia="宋体"/>
          <w:b w:val="0"/>
          <w:sz w:val="20"/>
        </w:rPr>
        <w:t>4.3 陆域布置</w:t>
        <w:tab/>
        <w:t>19</w:t>
      </w:r>
    </w:p>
    <w:p>
      <w:pPr>
        <w:tabs>
          <w:tab w:pos="8200" w:val="right" w:leader="dot"/>
        </w:tabs>
        <w:spacing w:lineRule="auto" w:line="240" w:before="0" w:after="0"/>
        <w:ind w:left="720"/>
      </w:pPr>
      <w:r>
        <w:rPr>
          <w:rFonts w:ascii="Times New Roman" w:hAnsi="Times New Roman" w:eastAsia="宋体"/>
          <w:b w:val="0"/>
          <w:sz w:val="20"/>
        </w:rPr>
        <w:t>4.3.1 堆场容量</w:t>
        <w:tab/>
        <w:t>19</w:t>
      </w:r>
    </w:p>
    <w:p>
      <w:pPr>
        <w:tabs>
          <w:tab w:pos="8200" w:val="right" w:leader="dot"/>
        </w:tabs>
        <w:spacing w:lineRule="auto" w:line="240" w:before="0" w:after="0"/>
        <w:ind w:left="720"/>
      </w:pPr>
      <w:r>
        <w:rPr>
          <w:rFonts w:ascii="Times New Roman" w:hAnsi="Times New Roman" w:eastAsia="宋体"/>
          <w:b w:val="0"/>
          <w:sz w:val="20"/>
        </w:rPr>
        <w:t>4.3.2 堆场面积与分区</w:t>
        <w:tab/>
        <w:t>20</w:t>
      </w:r>
    </w:p>
    <w:p>
      <w:pPr>
        <w:tabs>
          <w:tab w:pos="8200" w:val="right" w:leader="dot"/>
        </w:tabs>
        <w:spacing w:lineRule="auto" w:line="240" w:before="0" w:after="0"/>
        <w:ind w:left="720"/>
      </w:pPr>
      <w:r>
        <w:rPr>
          <w:rFonts w:ascii="Times New Roman" w:hAnsi="Times New Roman" w:eastAsia="宋体"/>
          <w:b w:val="0"/>
          <w:sz w:val="20"/>
        </w:rPr>
        <w:t>4.3.3 道路、闸口与铁路衔接</w:t>
        <w:tab/>
        <w:t>20</w:t>
      </w:r>
    </w:p>
    <w:p>
      <w:pPr>
        <w:tabs>
          <w:tab w:pos="8200" w:val="right" w:leader="dot"/>
        </w:tabs>
        <w:spacing w:lineRule="auto" w:line="240" w:before="0" w:after="0"/>
        <w:ind w:left="360"/>
      </w:pPr>
      <w:r>
        <w:rPr>
          <w:rFonts w:ascii="Times New Roman" w:hAnsi="Times New Roman" w:eastAsia="宋体"/>
          <w:b w:val="0"/>
          <w:sz w:val="20"/>
        </w:rPr>
        <w:t>4.4 总平面布置图说明</w:t>
        <w:tab/>
        <w:t>22</w:t>
      </w:r>
    </w:p>
    <w:p>
      <w:pPr>
        <w:tabs>
          <w:tab w:pos="8200" w:val="right" w:leader="dot"/>
        </w:tabs>
        <w:spacing w:lineRule="auto" w:line="240" w:before="0" w:after="0"/>
        <w:ind w:left="360"/>
      </w:pPr>
      <w:r>
        <w:rPr>
          <w:rFonts w:ascii="Times New Roman" w:hAnsi="Times New Roman" w:eastAsia="宋体"/>
          <w:b w:val="0"/>
          <w:sz w:val="20"/>
        </w:rPr>
        <w:t>4.5 本章小结</w:t>
        <w:tab/>
        <w:t>23</w:t>
      </w:r>
    </w:p>
    <w:p>
      <w:pPr>
        <w:tabs>
          <w:tab w:pos="8200" w:val="right" w:leader="dot"/>
        </w:tabs>
        <w:spacing w:lineRule="auto" w:line="240" w:before="0" w:after="0"/>
        <w:ind w:left="0"/>
      </w:pPr>
      <w:r>
        <w:rPr>
          <w:rFonts w:ascii="Times New Roman" w:hAnsi="Times New Roman" w:eastAsia="宋体"/>
          <w:b/>
          <w:sz w:val="24"/>
        </w:rPr>
        <w:t>第五章 装卸工艺</w:t>
        <w:tab/>
        <w:t>24</w:t>
      </w:r>
    </w:p>
    <w:p>
      <w:pPr>
        <w:tabs>
          <w:tab w:pos="8200" w:val="right" w:leader="dot"/>
        </w:tabs>
        <w:spacing w:lineRule="auto" w:line="240" w:before="0" w:after="0"/>
        <w:ind w:left="360"/>
      </w:pPr>
      <w:r>
        <w:rPr>
          <w:rFonts w:ascii="Times New Roman" w:hAnsi="Times New Roman" w:eastAsia="宋体"/>
          <w:b w:val="0"/>
          <w:sz w:val="20"/>
        </w:rPr>
        <w:t>5.1 总体工艺方案</w:t>
        <w:tab/>
        <w:t>24</w:t>
      </w:r>
    </w:p>
    <w:p>
      <w:pPr>
        <w:tabs>
          <w:tab w:pos="8200" w:val="right" w:leader="dot"/>
        </w:tabs>
        <w:spacing w:lineRule="auto" w:line="240" w:before="0" w:after="0"/>
        <w:ind w:left="360"/>
      </w:pPr>
      <w:r>
        <w:rPr>
          <w:rFonts w:ascii="Times New Roman" w:hAnsi="Times New Roman" w:eastAsia="宋体"/>
          <w:b w:val="0"/>
          <w:sz w:val="20"/>
        </w:rPr>
        <w:t>5.2 装卸机械设备选型</w:t>
        <w:tab/>
        <w:t>25</w:t>
      </w:r>
    </w:p>
    <w:p>
      <w:pPr>
        <w:tabs>
          <w:tab w:pos="8200" w:val="right" w:leader="dot"/>
        </w:tabs>
        <w:spacing w:lineRule="auto" w:line="240" w:before="0" w:after="0"/>
        <w:ind w:left="720"/>
      </w:pPr>
      <w:r>
        <w:rPr>
          <w:rFonts w:ascii="Times New Roman" w:hAnsi="Times New Roman" w:eastAsia="宋体"/>
          <w:b w:val="0"/>
          <w:sz w:val="20"/>
        </w:rPr>
        <w:t>5.2.1 岸边集装箱起重机</w:t>
        <w:tab/>
        <w:t>25</w:t>
      </w:r>
    </w:p>
    <w:p>
      <w:pPr>
        <w:tabs>
          <w:tab w:pos="8200" w:val="right" w:leader="dot"/>
        </w:tabs>
        <w:spacing w:lineRule="auto" w:line="240" w:before="0" w:after="0"/>
        <w:ind w:left="720"/>
      </w:pPr>
      <w:r>
        <w:rPr>
          <w:rFonts w:ascii="Times New Roman" w:hAnsi="Times New Roman" w:eastAsia="宋体"/>
          <w:b w:val="0"/>
          <w:sz w:val="20"/>
        </w:rPr>
        <w:t>5.2.2 水平运输设备</w:t>
        <w:tab/>
        <w:t>25</w:t>
      </w:r>
    </w:p>
    <w:p>
      <w:pPr>
        <w:tabs>
          <w:tab w:pos="8200" w:val="right" w:leader="dot"/>
        </w:tabs>
        <w:spacing w:lineRule="auto" w:line="240" w:before="0" w:after="0"/>
        <w:ind w:left="720"/>
      </w:pPr>
      <w:r>
        <w:rPr>
          <w:rFonts w:ascii="Times New Roman" w:hAnsi="Times New Roman" w:eastAsia="宋体"/>
          <w:b w:val="0"/>
          <w:sz w:val="20"/>
        </w:rPr>
        <w:t>5.2.3 堆场作业设备</w:t>
        <w:tab/>
        <w:t>26</w:t>
      </w:r>
    </w:p>
    <w:p>
      <w:pPr>
        <w:tabs>
          <w:tab w:pos="8200" w:val="right" w:leader="dot"/>
        </w:tabs>
        <w:spacing w:lineRule="auto" w:line="240" w:before="0" w:after="0"/>
        <w:ind w:left="360"/>
      </w:pPr>
      <w:r>
        <w:rPr>
          <w:rFonts w:ascii="Times New Roman" w:hAnsi="Times New Roman" w:eastAsia="宋体"/>
          <w:b w:val="0"/>
          <w:sz w:val="20"/>
        </w:rPr>
        <w:t>5.3 设备数量与能力校核</w:t>
        <w:tab/>
        <w:t>27</w:t>
      </w:r>
    </w:p>
    <w:p>
      <w:pPr>
        <w:tabs>
          <w:tab w:pos="8200" w:val="right" w:leader="dot"/>
        </w:tabs>
        <w:spacing w:lineRule="auto" w:line="240" w:before="0" w:after="0"/>
        <w:ind w:left="360"/>
      </w:pPr>
      <w:r>
        <w:rPr>
          <w:rFonts w:ascii="Times New Roman" w:hAnsi="Times New Roman" w:eastAsia="宋体"/>
          <w:b w:val="0"/>
          <w:sz w:val="20"/>
        </w:rPr>
        <w:t>5.4 工艺流程平面组织</w:t>
        <w:tab/>
        <w:t>28</w:t>
      </w:r>
    </w:p>
    <w:p>
      <w:pPr>
        <w:tabs>
          <w:tab w:pos="8200" w:val="right" w:leader="dot"/>
        </w:tabs>
        <w:spacing w:lineRule="auto" w:line="240" w:before="0" w:after="0"/>
        <w:ind w:left="360"/>
      </w:pPr>
      <w:r>
        <w:rPr>
          <w:rFonts w:ascii="Times New Roman" w:hAnsi="Times New Roman" w:eastAsia="宋体"/>
          <w:b w:val="0"/>
          <w:sz w:val="20"/>
        </w:rPr>
        <w:t>5.5 本章小结</w:t>
        <w:tab/>
        <w:t>29</w:t>
      </w:r>
    </w:p>
    <w:p>
      <w:pPr>
        <w:tabs>
          <w:tab w:pos="8200" w:val="right" w:leader="dot"/>
        </w:tabs>
        <w:spacing w:lineRule="auto" w:line="240" w:before="0" w:after="0"/>
        <w:ind w:left="0"/>
      </w:pPr>
      <w:r>
        <w:rPr>
          <w:rFonts w:ascii="Times New Roman" w:hAnsi="Times New Roman" w:eastAsia="宋体"/>
          <w:b/>
          <w:sz w:val="24"/>
        </w:rPr>
        <w:t>第六章 图纸成果与结构构造设计</w:t>
        <w:tab/>
        <w:t>30</w:t>
      </w:r>
    </w:p>
    <w:p>
      <w:pPr>
        <w:tabs>
          <w:tab w:pos="8200" w:val="right" w:leader="dot"/>
        </w:tabs>
        <w:spacing w:lineRule="auto" w:line="240" w:before="0" w:after="0"/>
        <w:ind w:left="360"/>
      </w:pPr>
      <w:r>
        <w:rPr>
          <w:rFonts w:ascii="Times New Roman" w:hAnsi="Times New Roman" w:eastAsia="宋体"/>
          <w:b w:val="0"/>
          <w:sz w:val="20"/>
        </w:rPr>
        <w:t>6.1 图纸成果总体说明</w:t>
        <w:tab/>
        <w:t>30</w:t>
      </w:r>
    </w:p>
    <w:p>
      <w:pPr>
        <w:tabs>
          <w:tab w:pos="8200" w:val="right" w:leader="dot"/>
        </w:tabs>
        <w:spacing w:lineRule="auto" w:line="240" w:before="0" w:after="0"/>
        <w:ind w:left="360"/>
      </w:pPr>
      <w:r>
        <w:rPr>
          <w:rFonts w:ascii="Times New Roman" w:hAnsi="Times New Roman" w:eastAsia="宋体"/>
          <w:b w:val="0"/>
          <w:sz w:val="20"/>
        </w:rPr>
        <w:t>6.2 沉箱结构平面及立面图</w:t>
        <w:tab/>
        <w:t>31</w:t>
      </w:r>
    </w:p>
    <w:p>
      <w:pPr>
        <w:tabs>
          <w:tab w:pos="8200" w:val="right" w:leader="dot"/>
        </w:tabs>
        <w:spacing w:lineRule="auto" w:line="240" w:before="0" w:after="0"/>
        <w:ind w:left="360"/>
      </w:pPr>
      <w:r>
        <w:rPr>
          <w:rFonts w:ascii="Times New Roman" w:hAnsi="Times New Roman" w:eastAsia="宋体"/>
          <w:b w:val="0"/>
          <w:sz w:val="20"/>
        </w:rPr>
        <w:t>6.3 沉箱断面、细部构造及代表配筋</w:t>
        <w:tab/>
        <w:t>32</w:t>
      </w:r>
    </w:p>
    <w:p>
      <w:pPr>
        <w:tabs>
          <w:tab w:pos="8200" w:val="right" w:leader="dot"/>
        </w:tabs>
        <w:spacing w:lineRule="auto" w:line="240" w:before="0" w:after="0"/>
        <w:ind w:left="360"/>
      </w:pPr>
      <w:r>
        <w:rPr>
          <w:rFonts w:ascii="Times New Roman" w:hAnsi="Times New Roman" w:eastAsia="宋体"/>
          <w:b w:val="0"/>
          <w:sz w:val="20"/>
        </w:rPr>
        <w:t>6.4 大圆筒结构平面及立面图</w:t>
        <w:tab/>
        <w:t>34</w:t>
      </w:r>
    </w:p>
    <w:p>
      <w:pPr>
        <w:tabs>
          <w:tab w:pos="8200" w:val="right" w:leader="dot"/>
        </w:tabs>
        <w:spacing w:lineRule="auto" w:line="240" w:before="0" w:after="0"/>
        <w:ind w:left="360"/>
      </w:pPr>
      <w:r>
        <w:rPr>
          <w:rFonts w:ascii="Times New Roman" w:hAnsi="Times New Roman" w:eastAsia="宋体"/>
          <w:b w:val="0"/>
          <w:sz w:val="20"/>
        </w:rPr>
        <w:t>6.5 大圆筒断面、细部构造及代表配筋</w:t>
        <w:tab/>
        <w:t>35</w:t>
      </w:r>
    </w:p>
    <w:p>
      <w:pPr>
        <w:tabs>
          <w:tab w:pos="8200" w:val="right" w:leader="dot"/>
        </w:tabs>
        <w:spacing w:lineRule="auto" w:line="240" w:before="0" w:after="0"/>
        <w:ind w:left="360"/>
      </w:pPr>
      <w:r>
        <w:rPr>
          <w:rFonts w:ascii="Times New Roman" w:hAnsi="Times New Roman" w:eastAsia="宋体"/>
          <w:b w:val="0"/>
          <w:sz w:val="20"/>
        </w:rPr>
        <w:t>6.6 图纸一致性与设计工作量说明</w:t>
        <w:tab/>
        <w:t>36</w:t>
      </w:r>
    </w:p>
    <w:p>
      <w:pPr>
        <w:tabs>
          <w:tab w:pos="8200" w:val="right" w:leader="dot"/>
        </w:tabs>
        <w:spacing w:lineRule="auto" w:line="240" w:before="0" w:after="0"/>
        <w:ind w:left="360"/>
      </w:pPr>
      <w:r>
        <w:rPr>
          <w:rFonts w:ascii="Times New Roman" w:hAnsi="Times New Roman" w:eastAsia="宋体"/>
          <w:b w:val="0"/>
          <w:sz w:val="20"/>
        </w:rPr>
        <w:t>6.7 本章小结</w:t>
        <w:tab/>
        <w:t>37</w:t>
      </w:r>
    </w:p>
    <w:p>
      <w:pPr>
        <w:tabs>
          <w:tab w:pos="8200" w:val="right" w:leader="dot"/>
        </w:tabs>
        <w:spacing w:lineRule="auto" w:line="240" w:before="0" w:after="0"/>
        <w:ind w:left="0"/>
      </w:pPr>
      <w:r>
        <w:rPr>
          <w:rFonts w:ascii="Times New Roman" w:hAnsi="Times New Roman" w:eastAsia="宋体"/>
          <w:b/>
          <w:sz w:val="24"/>
        </w:rPr>
        <w:t>第七章 主要计算与工程量估算</w:t>
        <w:tab/>
        <w:t>38</w:t>
      </w:r>
    </w:p>
    <w:p>
      <w:pPr>
        <w:tabs>
          <w:tab w:pos="8200" w:val="right" w:leader="dot"/>
        </w:tabs>
        <w:spacing w:lineRule="auto" w:line="240" w:before="0" w:after="0"/>
        <w:ind w:left="360"/>
      </w:pPr>
      <w:r>
        <w:rPr>
          <w:rFonts w:ascii="Times New Roman" w:hAnsi="Times New Roman" w:eastAsia="宋体"/>
          <w:b w:val="0"/>
          <w:sz w:val="20"/>
        </w:rPr>
        <w:t>7.1 计算依据、计算单元与控制工况</w:t>
        <w:tab/>
        <w:t>38</w:t>
      </w:r>
    </w:p>
    <w:p>
      <w:pPr>
        <w:tabs>
          <w:tab w:pos="8200" w:val="right" w:leader="dot"/>
        </w:tabs>
        <w:spacing w:lineRule="auto" w:line="240" w:before="0" w:after="0"/>
        <w:ind w:left="360"/>
      </w:pPr>
      <w:r>
        <w:rPr>
          <w:rFonts w:ascii="Times New Roman" w:hAnsi="Times New Roman" w:eastAsia="宋体"/>
          <w:b w:val="0"/>
          <w:sz w:val="20"/>
        </w:rPr>
        <w:t>7.2 推荐沉箱方案稳定计算</w:t>
        <w:tab/>
        <w:t>40</w:t>
      </w:r>
    </w:p>
    <w:p>
      <w:pPr>
        <w:tabs>
          <w:tab w:pos="8200" w:val="right" w:leader="dot"/>
        </w:tabs>
        <w:spacing w:lineRule="auto" w:line="240" w:before="0" w:after="0"/>
        <w:ind w:left="720"/>
      </w:pPr>
      <w:r>
        <w:rPr>
          <w:rFonts w:ascii="Times New Roman" w:hAnsi="Times New Roman" w:eastAsia="宋体"/>
          <w:b w:val="0"/>
          <w:sz w:val="20"/>
        </w:rPr>
        <w:t>7.2.1 几何尺寸、材料与计算模型</w:t>
        <w:tab/>
        <w:t>40</w:t>
      </w:r>
    </w:p>
    <w:p>
      <w:pPr>
        <w:tabs>
          <w:tab w:pos="8200" w:val="right" w:leader="dot"/>
        </w:tabs>
        <w:spacing w:lineRule="auto" w:line="240" w:before="0" w:after="0"/>
        <w:ind w:left="720"/>
      </w:pPr>
      <w:r>
        <w:rPr>
          <w:rFonts w:ascii="Times New Roman" w:hAnsi="Times New Roman" w:eastAsia="宋体"/>
          <w:b w:val="0"/>
          <w:sz w:val="20"/>
        </w:rPr>
        <w:t>7.2.2 自重与竖向合力计算</w:t>
        <w:tab/>
        <w:t>41</w:t>
      </w:r>
    </w:p>
    <w:p>
      <w:pPr>
        <w:tabs>
          <w:tab w:pos="8200" w:val="right" w:leader="dot"/>
        </w:tabs>
        <w:spacing w:lineRule="auto" w:line="240" w:before="0" w:after="0"/>
        <w:ind w:left="720"/>
      </w:pPr>
      <w:r>
        <w:rPr>
          <w:rFonts w:ascii="Times New Roman" w:hAnsi="Times New Roman" w:eastAsia="宋体"/>
          <w:b w:val="0"/>
          <w:sz w:val="20"/>
        </w:rPr>
        <w:t>7.2.3 主动土压力、堆载与系缆力计算</w:t>
        <w:tab/>
        <w:t>42</w:t>
      </w:r>
    </w:p>
    <w:p>
      <w:pPr>
        <w:tabs>
          <w:tab w:pos="8200" w:val="right" w:leader="dot"/>
        </w:tabs>
        <w:spacing w:lineRule="auto" w:line="240" w:before="0" w:after="0"/>
        <w:ind w:left="720"/>
      </w:pPr>
      <w:r>
        <w:rPr>
          <w:rFonts w:ascii="Times New Roman" w:hAnsi="Times New Roman" w:eastAsia="宋体"/>
          <w:b w:val="0"/>
          <w:sz w:val="20"/>
        </w:rPr>
        <w:t>7.2.4 抗滑稳定验算</w:t>
        <w:tab/>
        <w:t>43</w:t>
      </w:r>
    </w:p>
    <w:p>
      <w:pPr>
        <w:tabs>
          <w:tab w:pos="8200" w:val="right" w:leader="dot"/>
        </w:tabs>
        <w:spacing w:lineRule="auto" w:line="240" w:before="0" w:after="0"/>
        <w:ind w:left="720"/>
      </w:pPr>
      <w:r>
        <w:rPr>
          <w:rFonts w:ascii="Times New Roman" w:hAnsi="Times New Roman" w:eastAsia="宋体"/>
          <w:b w:val="0"/>
          <w:sz w:val="20"/>
        </w:rPr>
        <w:t>7.2.5 抗倾覆稳定验算</w:t>
        <w:tab/>
        <w:t>44</w:t>
      </w:r>
    </w:p>
    <w:p>
      <w:pPr>
        <w:tabs>
          <w:tab w:pos="8200" w:val="right" w:leader="dot"/>
        </w:tabs>
        <w:spacing w:lineRule="auto" w:line="240" w:before="0" w:after="0"/>
        <w:ind w:left="720"/>
      </w:pPr>
      <w:r>
        <w:rPr>
          <w:rFonts w:ascii="Times New Roman" w:hAnsi="Times New Roman" w:eastAsia="宋体"/>
          <w:b w:val="0"/>
          <w:sz w:val="20"/>
        </w:rPr>
        <w:t>7.2.6 基床应力与偏心距验算</w:t>
        <w:tab/>
        <w:t>44</w:t>
      </w:r>
    </w:p>
    <w:p>
      <w:pPr>
        <w:tabs>
          <w:tab w:pos="8200" w:val="right" w:leader="dot"/>
        </w:tabs>
        <w:spacing w:lineRule="auto" w:line="240" w:before="0" w:after="0"/>
        <w:ind w:left="720"/>
      </w:pPr>
      <w:r>
        <w:rPr>
          <w:rFonts w:ascii="Times New Roman" w:hAnsi="Times New Roman" w:eastAsia="宋体"/>
          <w:b w:val="0"/>
          <w:sz w:val="20"/>
        </w:rPr>
        <w:t>7.2.7 施工阶段控制计算说明</w:t>
        <w:tab/>
        <w:t>45</w:t>
      </w:r>
    </w:p>
    <w:p>
      <w:pPr>
        <w:tabs>
          <w:tab w:pos="8200" w:val="right" w:leader="dot"/>
        </w:tabs>
        <w:spacing w:lineRule="auto" w:line="240" w:before="0" w:after="0"/>
        <w:ind w:left="360"/>
      </w:pPr>
      <w:r>
        <w:rPr>
          <w:rFonts w:ascii="Times New Roman" w:hAnsi="Times New Roman" w:eastAsia="宋体"/>
          <w:b w:val="0"/>
          <w:sz w:val="20"/>
        </w:rPr>
        <w:t>7.3 大圆筒方案稳定计算</w:t>
        <w:tab/>
        <w:t>45</w:t>
      </w:r>
    </w:p>
    <w:p>
      <w:pPr>
        <w:tabs>
          <w:tab w:pos="8200" w:val="right" w:leader="dot"/>
        </w:tabs>
        <w:spacing w:lineRule="auto" w:line="240" w:before="0" w:after="0"/>
        <w:ind w:left="720"/>
      </w:pPr>
      <w:r>
        <w:rPr>
          <w:rFonts w:ascii="Times New Roman" w:hAnsi="Times New Roman" w:eastAsia="宋体"/>
          <w:b w:val="0"/>
          <w:sz w:val="20"/>
        </w:rPr>
        <w:t>7.3.1 几何尺寸与受力特点</w:t>
        <w:tab/>
        <w:t>45</w:t>
      </w:r>
    </w:p>
    <w:p>
      <w:pPr>
        <w:tabs>
          <w:tab w:pos="8200" w:val="right" w:leader="dot"/>
        </w:tabs>
        <w:spacing w:lineRule="auto" w:line="240" w:before="0" w:after="0"/>
        <w:ind w:left="720"/>
      </w:pPr>
      <w:r>
        <w:rPr>
          <w:rFonts w:ascii="Times New Roman" w:hAnsi="Times New Roman" w:eastAsia="宋体"/>
          <w:b w:val="0"/>
          <w:sz w:val="20"/>
        </w:rPr>
        <w:t>7.3.2 自重与竖向合力计算</w:t>
        <w:tab/>
        <w:t>46</w:t>
      </w:r>
    </w:p>
    <w:p>
      <w:pPr>
        <w:tabs>
          <w:tab w:pos="8200" w:val="right" w:leader="dot"/>
        </w:tabs>
        <w:spacing w:lineRule="auto" w:line="240" w:before="0" w:after="0"/>
        <w:ind w:left="720"/>
      </w:pPr>
      <w:r>
        <w:rPr>
          <w:rFonts w:ascii="Times New Roman" w:hAnsi="Times New Roman" w:eastAsia="宋体"/>
          <w:b w:val="0"/>
          <w:sz w:val="20"/>
        </w:rPr>
        <w:t>7.3.3 水平作用与整体稳定复核</w:t>
        <w:tab/>
        <w:t>47</w:t>
      </w:r>
    </w:p>
    <w:p>
      <w:pPr>
        <w:tabs>
          <w:tab w:pos="8200" w:val="right" w:leader="dot"/>
        </w:tabs>
        <w:spacing w:lineRule="auto" w:line="240" w:before="0" w:after="0"/>
        <w:ind w:left="720"/>
      </w:pPr>
      <w:r>
        <w:rPr>
          <w:rFonts w:ascii="Times New Roman" w:hAnsi="Times New Roman" w:eastAsia="宋体"/>
          <w:b w:val="0"/>
          <w:sz w:val="20"/>
        </w:rPr>
        <w:t>7.3.4 坐床应力、接缝与施工控制</w:t>
        <w:tab/>
        <w:t>48</w:t>
      </w:r>
    </w:p>
    <w:p>
      <w:pPr>
        <w:tabs>
          <w:tab w:pos="8200" w:val="right" w:leader="dot"/>
        </w:tabs>
        <w:spacing w:lineRule="auto" w:line="240" w:before="0" w:after="0"/>
        <w:ind w:left="360"/>
      </w:pPr>
      <w:r>
        <w:rPr>
          <w:rFonts w:ascii="Times New Roman" w:hAnsi="Times New Roman" w:eastAsia="宋体"/>
          <w:b w:val="0"/>
          <w:sz w:val="20"/>
        </w:rPr>
        <w:t>7.4 两种结构计算结果比较与推荐</w:t>
        <w:tab/>
        <w:t>49</w:t>
      </w:r>
    </w:p>
    <w:p>
      <w:pPr>
        <w:tabs>
          <w:tab w:pos="8200" w:val="right" w:leader="dot"/>
        </w:tabs>
        <w:spacing w:lineRule="auto" w:line="240" w:before="0" w:after="0"/>
        <w:ind w:left="360"/>
      </w:pPr>
      <w:r>
        <w:rPr>
          <w:rFonts w:ascii="Times New Roman" w:hAnsi="Times New Roman" w:eastAsia="宋体"/>
          <w:b w:val="0"/>
          <w:sz w:val="20"/>
        </w:rPr>
        <w:t>7.5 工程量估算与施工工作量</w:t>
        <w:tab/>
        <w:t>50</w:t>
      </w:r>
    </w:p>
    <w:p>
      <w:pPr>
        <w:tabs>
          <w:tab w:pos="8200" w:val="right" w:leader="dot"/>
        </w:tabs>
        <w:spacing w:lineRule="auto" w:line="240" w:before="0" w:after="0"/>
        <w:ind w:left="360"/>
      </w:pPr>
      <w:r>
        <w:rPr>
          <w:rFonts w:ascii="Times New Roman" w:hAnsi="Times New Roman" w:eastAsia="宋体"/>
          <w:b w:val="0"/>
          <w:sz w:val="20"/>
        </w:rPr>
        <w:t>7.6 计算过程与设计工作量补充说明</w:t>
        <w:tab/>
        <w:t>52</w:t>
      </w:r>
    </w:p>
    <w:p>
      <w:pPr>
        <w:tabs>
          <w:tab w:pos="8200" w:val="right" w:leader="dot"/>
        </w:tabs>
        <w:spacing w:lineRule="auto" w:line="240" w:before="0" w:after="0"/>
        <w:ind w:left="360"/>
      </w:pPr>
      <w:r>
        <w:rPr>
          <w:rFonts w:ascii="Times New Roman" w:hAnsi="Times New Roman" w:eastAsia="宋体"/>
          <w:b w:val="0"/>
          <w:sz w:val="20"/>
        </w:rPr>
        <w:t>7.7 施工图阶段复核内容</w:t>
        <w:tab/>
        <w:t>53</w:t>
      </w:r>
    </w:p>
    <w:p>
      <w:pPr>
        <w:tabs>
          <w:tab w:pos="8200" w:val="right" w:leader="dot"/>
        </w:tabs>
        <w:spacing w:lineRule="auto" w:line="240" w:before="0" w:after="0"/>
        <w:ind w:left="360"/>
      </w:pPr>
      <w:r>
        <w:rPr>
          <w:rFonts w:ascii="Times New Roman" w:hAnsi="Times New Roman" w:eastAsia="宋体"/>
          <w:b w:val="0"/>
          <w:sz w:val="20"/>
        </w:rPr>
        <w:t>7.8 本章小结</w:t>
        <w:tab/>
        <w:t>54</w:t>
      </w:r>
    </w:p>
    <w:p>
      <w:pPr>
        <w:tabs>
          <w:tab w:pos="8200" w:val="right" w:leader="dot"/>
        </w:tabs>
        <w:spacing w:lineRule="auto" w:line="240" w:before="0" w:after="0"/>
        <w:ind w:left="0"/>
      </w:pPr>
      <w:r>
        <w:rPr>
          <w:rFonts w:ascii="Times New Roman" w:hAnsi="Times New Roman" w:eastAsia="宋体"/>
          <w:b/>
          <w:sz w:val="24"/>
        </w:rPr>
        <w:t>第八章 结论与建议</w:t>
        <w:tab/>
        <w:t>56</w:t>
      </w:r>
    </w:p>
    <w:p>
      <w:pPr>
        <w:tabs>
          <w:tab w:pos="8200" w:val="right" w:leader="dot"/>
        </w:tabs>
        <w:spacing w:lineRule="auto" w:line="240" w:before="0" w:after="0"/>
        <w:ind w:left="360"/>
      </w:pPr>
      <w:r>
        <w:rPr>
          <w:rFonts w:ascii="Times New Roman" w:hAnsi="Times New Roman" w:eastAsia="宋体"/>
          <w:b w:val="0"/>
          <w:sz w:val="20"/>
        </w:rPr>
        <w:t>8.1 设计结论</w:t>
        <w:tab/>
        <w:t>56</w:t>
      </w:r>
    </w:p>
    <w:p>
      <w:pPr>
        <w:tabs>
          <w:tab w:pos="8200" w:val="right" w:leader="dot"/>
        </w:tabs>
        <w:spacing w:lineRule="auto" w:line="240" w:before="0" w:after="0"/>
        <w:ind w:left="360"/>
      </w:pPr>
      <w:r>
        <w:rPr>
          <w:rFonts w:ascii="Times New Roman" w:hAnsi="Times New Roman" w:eastAsia="宋体"/>
          <w:b w:val="0"/>
          <w:sz w:val="20"/>
        </w:rPr>
        <w:t>8.2 后续深化建议</w:t>
        <w:tab/>
        <w:t>57</w:t>
      </w:r>
    </w:p>
    <w:p>
      <w:pPr>
        <w:tabs>
          <w:tab w:pos="8200" w:val="right" w:leader="dot"/>
        </w:tabs>
        <w:spacing w:lineRule="auto" w:line="240" w:before="0" w:after="0"/>
        <w:ind w:left="0"/>
      </w:pPr>
      <w:r>
        <w:rPr>
          <w:rFonts w:ascii="Times New Roman" w:hAnsi="Times New Roman" w:eastAsia="宋体"/>
          <w:b/>
          <w:sz w:val="24"/>
        </w:rPr>
        <w:t>参考文献</w:t>
        <w:tab/>
        <w:t>59</w:t>
      </w:r>
    </w:p>
    <w:p>
      <w:pPr>
        <w:tabs>
          <w:tab w:pos="8200" w:val="right" w:leader="dot"/>
        </w:tabs>
        <w:spacing w:lineRule="auto" w:line="240" w:before="0" w:after="0"/>
        <w:ind w:left="0"/>
      </w:pPr>
      <w:r>
        <w:rPr>
          <w:rFonts w:ascii="Times New Roman" w:hAnsi="Times New Roman" w:eastAsia="宋体"/>
          <w:b/>
          <w:sz w:val="24"/>
        </w:rPr>
        <w:t>致 谢</w:t>
        <w:tab/>
        <w:t>61</w:t>
      </w:r>
    </w:p>
    <w:p>
      <w:pPr>
        <w:sectPr>
          <w:headerReference w:type="even" r:id="rId22"/>
          <w:footerReference w:type="default" r:id="rId25"/>
          <w:pgSz w:w="11906" w:h="16838"/>
          <w:pgMar w:top="1559" w:right="1571" w:bottom="1440" w:left="2024" w:header="851" w:footer="992" w:gutter="0"/>
          <w:cols w:space="425"/>
          <w:docGrid w:linePitch="312"/>
          <w:pgNumType w:start="3" w:fmt="upperRoman"/>
        </w:sectPr>
      </w:pPr>
    </w:p>
    <w:p>
      <w:pPr>
        <w:pStyle w:val="1"/>
        <w:jc w:val="center"/>
      </w:pPr>
      <w:r>
        <w:rPr>
          <w:rFonts w:ascii="Times New Roman" w:hAnsi="Times New Roman" w:eastAsia="宋体"/>
          <w:b/>
          <w:sz w:val="30"/>
        </w:rPr>
        <w:t xml:space="preserve"> 设计依据</w:t>
      </w:r>
    </w:p>
    <w:p>
      <w:pPr>
        <w:pStyle w:val="2"/>
        <w:jc w:val="left"/>
      </w:pPr>
      <w:r>
        <w:rPr>
          <w:rFonts w:ascii="Times New Roman" w:hAnsi="Times New Roman" w:eastAsia="宋体"/>
          <w:b/>
          <w:sz w:val="24"/>
        </w:rPr>
        <w:t xml:space="preserve"> 工程概况</w:t>
      </w:r>
    </w:p>
    <w:p>
      <w:pPr>
        <w:spacing w:lineRule="auto" w:line="360" w:before="0" w:after="0"/>
        <w:ind w:firstLine="480"/>
      </w:pPr>
      <w:r>
        <w:rPr>
          <w:rFonts w:ascii="Times New Roman" w:hAnsi="Times New Roman" w:eastAsia="宋体"/>
          <w:sz w:val="24"/>
        </w:rPr>
        <w:t>防城港位于广西南部、北部湾北岸，是西部陆海新通道面向东盟的重要出海口。随着临港工业、外贸物流和铁海联运的发展，港区集装箱运输需求持续增长，现有码头需要通过泊位能力提升和专业化作业组织满足进口集装箱增长要求。</w:t>
      </w:r>
    </w:p>
    <w:p>
      <w:pPr>
        <w:spacing w:lineRule="auto" w:line="360" w:before="0" w:after="0"/>
        <w:ind w:firstLine="480"/>
      </w:pPr>
      <w:r>
        <w:rPr>
          <w:rFonts w:ascii="Times New Roman" w:hAnsi="Times New Roman" w:eastAsia="宋体"/>
          <w:sz w:val="24"/>
        </w:rPr>
        <w:t>从港口功能看，9号泊位承担进口集装箱靠泊、卸船、堆存、查验、换装和疏港功能，既要服务港区既有物流体系，也要为后续专业化泊位改造留出接口。说明书将工程规模、自然条件、结构形式、装卸工艺和施工图表达放在同一技术链条中说明，使平面布置、断面尺寸和稳定计算能够相互对应。</w:t>
      </w:r>
    </w:p>
    <w:p>
      <w:pPr>
        <w:spacing w:lineRule="auto" w:line="360" w:before="0" w:after="0"/>
        <w:ind w:firstLine="480"/>
      </w:pPr>
      <w:r>
        <w:rPr>
          <w:rFonts w:ascii="Times New Roman" w:hAnsi="Times New Roman" w:eastAsia="宋体"/>
          <w:sz w:val="24"/>
        </w:rPr>
        <w:t>本工程属于初步设计阶段，计算深度以确定主要尺度、验证结构可行性和形成图纸依据为目标。对尚未取得完整详勘资料的参数，采用港区常见取值和规范建议值进行保守估算；对后续施工图阶段需要复核的内容，在计算章节中单独列出，避免把初步设计估算误作最终施工参数。</w:t>
      </w:r>
    </w:p>
    <w:p>
      <w:pPr>
        <w:spacing w:lineRule="auto" w:line="360" w:before="0" w:after="0"/>
        <w:ind w:firstLine="480"/>
      </w:pPr>
      <w:r>
        <w:rPr>
          <w:rFonts w:ascii="Times New Roman" w:hAnsi="Times New Roman" w:eastAsia="宋体"/>
          <w:sz w:val="24"/>
        </w:rPr>
        <w:t>论文正文围绕“条件—方案—布置—工艺—结构—计算”的顺序展开。前两章明确港口背景、设计依据、自然条件、吞吐量和船型；第三章完成沉箱与大圆筒方案比选；第四、五章分别落实总平面和装卸系统；第六章结合图纸说明结构构造；第七章给出两种结构的主要计算过程和工程量估算。</w:t>
      </w:r>
    </w:p>
    <w:p>
      <w:pPr>
        <w:spacing w:lineRule="auto" w:line="360" w:before="0" w:after="0"/>
        <w:ind w:firstLine="480"/>
      </w:pPr>
      <w:r>
        <w:rPr>
          <w:rFonts w:ascii="Times New Roman" w:hAnsi="Times New Roman" w:eastAsia="宋体"/>
          <w:sz w:val="24"/>
        </w:rPr>
        <w:t>本设计对象为防城港渔澫港区9号泊位3万吨级集装箱进口码头。设计任务围绕泊位尺度、水域布置、陆域堆场、装卸设备、结构方案和图纸表达展开，成果以初步设计说明书和A1图纸为主要形式。</w:t>
      </w:r>
    </w:p>
    <w:p>
      <w:pPr>
        <w:spacing w:lineRule="auto" w:line="360" w:before="0" w:after="0"/>
        <w:ind w:firstLine="480"/>
      </w:pPr>
      <w:r>
        <w:rPr>
          <w:rFonts w:ascii="Times New Roman" w:hAnsi="Times New Roman" w:eastAsia="宋体"/>
          <w:sz w:val="24"/>
        </w:rPr>
        <w:t>初步设计文件应体现设计依据、主要设计参数、总平面、工艺、结构、工程量和安全环保等内容，本设计按《港口工程初步设计文件编制规定》组织章节和计算深度</w:t>
      </w:r>
      <w:r>
        <w:rPr>
          <w:rFonts w:ascii="Times New Roman" w:hAnsi="Times New Roman" w:eastAsia="宋体"/>
          <w:sz w:val="24"/>
          <w:vertAlign w:val="superscript"/>
        </w:rPr>
        <w:t>[1]</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水域尺度、码头前沿水深、回旋水域和航道布置主要依据《海港总体设计规范》确定</w:t>
      </w:r>
      <w:r>
        <w:rPr>
          <w:rFonts w:ascii="Times New Roman" w:hAnsi="Times New Roman" w:eastAsia="宋体"/>
          <w:sz w:val="24"/>
          <w:vertAlign w:val="superscript"/>
        </w:rPr>
        <w:t>[2]</w:t>
      </w:r>
      <w:r>
        <w:rPr>
          <w:rFonts w:ascii="Times New Roman" w:hAnsi="Times New Roman" w:eastAsia="宋体"/>
          <w:sz w:val="24"/>
        </w:rPr>
        <w:t>。集装箱堆场容量、装卸设备效率和工艺流程按集装箱码头设计要求进行校核</w:t>
      </w:r>
      <w:r>
        <w:rPr>
          <w:rFonts w:ascii="Times New Roman" w:hAnsi="Times New Roman" w:eastAsia="宋体"/>
          <w:sz w:val="24"/>
          <w:vertAlign w:val="superscript"/>
        </w:rPr>
        <w:t>[3]</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码头结构构造、作用组合、抗滑抗倾覆和基床承载力验算按照《码头结构设计规范》取值</w:t>
      </w:r>
      <w:r>
        <w:rPr>
          <w:rFonts w:ascii="Times New Roman" w:hAnsi="Times New Roman" w:eastAsia="宋体"/>
          <w:sz w:val="24"/>
          <w:vertAlign w:val="superscript"/>
        </w:rPr>
        <w:t>[4]</w:t>
      </w:r>
      <w:r>
        <w:rPr>
          <w:rFonts w:ascii="Times New Roman" w:hAnsi="Times New Roman" w:eastAsia="宋体"/>
          <w:sz w:val="24"/>
        </w:rPr>
        <w:t>。地基承载、基床处理和软弱土层评价参考水运工程地基设计要求</w:t>
      </w:r>
      <w:r>
        <w:rPr>
          <w:rFonts w:ascii="Times New Roman" w:hAnsi="Times New Roman" w:eastAsia="宋体"/>
          <w:sz w:val="24"/>
          <w:vertAlign w:val="superscript"/>
        </w:rPr>
        <w:t>[5]</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混凝土构件尺寸、耐久性和配筋构造按水运工程混凝土结构设计原则控制</w:t>
      </w:r>
      <w:r>
        <w:rPr>
          <w:rFonts w:ascii="Times New Roman" w:hAnsi="Times New Roman" w:eastAsia="宋体"/>
          <w:sz w:val="24"/>
          <w:vertAlign w:val="superscript"/>
        </w:rPr>
        <w:t>[6]</w:t>
      </w:r>
      <w:r>
        <w:rPr>
          <w:rFonts w:ascii="Times New Roman" w:hAnsi="Times New Roman" w:eastAsia="宋体"/>
          <w:sz w:val="24"/>
        </w:rPr>
        <w:t>。重力式码头构造和沉箱、大圆筒方案比选参考港工建筑物教材中的结构适用性分析</w:t>
      </w:r>
      <w:r>
        <w:rPr>
          <w:rFonts w:ascii="Times New Roman" w:hAnsi="Times New Roman" w:eastAsia="宋体"/>
          <w:sz w:val="24"/>
          <w:vertAlign w:val="superscript"/>
        </w:rPr>
        <w:t>[7]</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港口功能定位和集疏运组织结合北部湾港总体规划进行校核</w:t>
      </w:r>
      <w:r>
        <w:rPr>
          <w:rFonts w:ascii="Times New Roman" w:hAnsi="Times New Roman" w:eastAsia="宋体"/>
          <w:sz w:val="24"/>
          <w:vertAlign w:val="superscript"/>
        </w:rPr>
        <w:t>[8]</w:t>
      </w:r>
      <w:r>
        <w:rPr>
          <w:rFonts w:ascii="Times New Roman" w:hAnsi="Times New Roman" w:eastAsia="宋体"/>
          <w:sz w:val="24"/>
        </w:rPr>
        <w:t>。区域经济、吞吐量和外贸增长背景采用防城港市统计资料进行说明</w:t>
      </w:r>
      <w:r>
        <w:rPr>
          <w:rFonts w:ascii="Times New Roman" w:hAnsi="Times New Roman" w:eastAsia="宋体"/>
          <w:sz w:val="24"/>
          <w:vertAlign w:val="superscript"/>
        </w:rPr>
        <w:t>[9]</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本工程还具有一定的改造和衔接属性。9号泊位周边已形成港区道路、堆场和集疏运基础，初步设计需要在既有条件上组织新建泊位功能，不能把码头、堆场和道路作为彼此独立的设施处理。前沿结构尺度确定后，会直接影响后方陆域标高、轨道基础、排水坡向和管线走向，因此说明书在正文中反复校核各章节参数的一致性。</w:t>
      </w:r>
    </w:p>
    <w:p>
      <w:pPr>
        <w:spacing w:lineRule="auto" w:line="360" w:before="0" w:after="0"/>
        <w:ind w:firstLine="480"/>
      </w:pPr>
      <w:r>
        <w:rPr>
          <w:rFonts w:ascii="Times New Roman" w:hAnsi="Times New Roman" w:eastAsia="宋体"/>
          <w:sz w:val="24"/>
        </w:rPr>
        <w:t>设计资料不足时，初步设计宜采用“明确假定、列出取值、保留复核接口”的处理方式。本说明书对水位、土层、填料、堆载、摩擦系数和基床承载力均列出取值口径，并在第七章说明施工图阶段需要根据详勘资料重新核算的项目。</w:t>
      </w:r>
    </w:p>
    <w:p>
      <w:pPr>
        <w:pStyle w:val="2"/>
        <w:jc w:val="left"/>
      </w:pPr>
      <w:r>
        <w:rPr>
          <w:rFonts w:ascii="Times New Roman" w:hAnsi="Times New Roman" w:eastAsia="宋体"/>
          <w:b/>
          <w:sz w:val="24"/>
        </w:rPr>
        <w:t xml:space="preserve"> 自然条件</w:t>
      </w:r>
    </w:p>
    <w:p>
      <w:pPr>
        <w:pStyle w:val="3"/>
        <w:jc w:val="left"/>
      </w:pPr>
      <w:r>
        <w:rPr>
          <w:rFonts w:ascii="Times New Roman" w:hAnsi="Times New Roman" w:eastAsia="宋体"/>
          <w:b/>
          <w:sz w:val="24"/>
        </w:rPr>
        <w:t xml:space="preserve"> 气象条件</w:t>
      </w:r>
    </w:p>
    <w:p>
      <w:pPr>
        <w:spacing w:lineRule="auto" w:line="360" w:before="0" w:after="0"/>
        <w:ind w:firstLine="480"/>
      </w:pPr>
      <w:r>
        <w:rPr>
          <w:rFonts w:ascii="Times New Roman" w:hAnsi="Times New Roman" w:eastAsia="宋体"/>
          <w:sz w:val="24"/>
        </w:rPr>
        <w:t>防城港地处南亚热带季风型海洋气候区，季风环流明显，冬季偏北风较多，夏季偏南风较多。港区受海洋和十万大山地形共同影响，全年温暖湿润，雨量充沛，灾害性天气主要包括台风、雷暴和短时强降雨。</w:t>
      </w:r>
    </w:p>
    <w:p>
      <w:pPr>
        <w:spacing w:lineRule="auto" w:line="360" w:before="0" w:after="0"/>
        <w:ind w:firstLine="480"/>
      </w:pPr>
      <w:r>
        <w:rPr>
          <w:rFonts w:ascii="Times New Roman" w:hAnsi="Times New Roman" w:eastAsia="宋体"/>
          <w:sz w:val="24"/>
        </w:rPr>
        <w:t>气温资料显示，港区多年平均气温约21.9~22.1℃，历史最高气温约37.5~37.8℃，历史最低气温约-1.8~1.4℃。7月多年平均气温较高，约24.6℃；1月多年平均气温较低，约6.4℃。整体看，防城港港区无严寒冻害控制问题，码头混凝土耐久性和设备运行主要受高温、高湿、盐雾和强降雨环境影响。</w:t>
      </w:r>
    </w:p>
    <w:p>
      <w:pPr>
        <w:spacing w:lineRule="auto" w:line="360" w:before="0" w:after="0"/>
        <w:ind w:firstLine="480"/>
      </w:pPr>
      <w:r>
        <w:rPr>
          <w:rFonts w:ascii="Times New Roman" w:hAnsi="Times New Roman" w:eastAsia="宋体"/>
          <w:sz w:val="24"/>
        </w:rPr>
        <w:t>港区降雨集中在4月至10月，雨季降水量约占全年降水量的90%。强降雨会影响陆域堆场排水、道路通行和施工组织，因此陆域设计应设置连续排水坡度、截排水沟和雨污分流系统。</w:t>
      </w:r>
    </w:p>
    <w:p>
      <w:pPr>
        <w:spacing w:lineRule="auto" w:line="360" w:before="0" w:after="0"/>
        <w:ind w:firstLine="480"/>
      </w:pPr>
      <w:r>
        <w:rPr>
          <w:rFonts w:ascii="Times New Roman" w:hAnsi="Times New Roman" w:eastAsia="宋体"/>
          <w:sz w:val="24"/>
        </w:rPr>
        <w:t>降雨方面，港区多年平均年降水量约2823mm，年最大降水量可达3542mm，年最少降水量约1386mm；年平均降水日数约176天，其中日降水量不小于25.0mm的天数约54.6天，日降水量不小于50.0mm的天数约19.4天。上述特征说明本工程陆域堆场和道路排水不能只按普通场地处理，应在堆场坡度、排水沟、截水沟和雨污分流设施上留有足够余量。</w:t>
      </w:r>
    </w:p>
    <w:p>
      <w:pPr>
        <w:spacing w:lineRule="auto" w:line="360" w:before="0" w:after="0"/>
        <w:ind w:firstLine="480"/>
      </w:pPr>
      <w:r>
        <w:rPr>
          <w:rFonts w:ascii="Times New Roman" w:hAnsi="Times New Roman" w:eastAsia="宋体"/>
          <w:sz w:val="24"/>
        </w:rPr>
        <w:t>风况方面，港区年平均风速约为3.9m/s，主导风向为NNE，次主导风向为SW。台风影响多发生在6月至9月，强风期应暂停岸桥装卸和大件吊装作业，施工期需重点控制沉箱浮运、大圆筒吊装及胸墙浇筑窗口。</w:t>
      </w:r>
    </w:p>
    <w:p>
      <w:pPr>
        <w:spacing w:lineRule="auto" w:line="360" w:before="0" w:after="0"/>
        <w:ind w:firstLine="480"/>
      </w:pPr>
      <w:r>
        <w:rPr>
          <w:rFonts w:ascii="Times New Roman" w:hAnsi="Times New Roman" w:eastAsia="宋体"/>
          <w:sz w:val="24"/>
        </w:rPr>
        <w:t>气象资料在设计中主要承担两类作用：一是判断施工可作业天数，二是确定码头运营期设备和堆场的环境控制要求。岸桥、场桥和集卡在强风、暴雨期间需要采取限速、锚定、停机和防滑措施，施工期沉箱浮运和大圆筒吊装还需要避开台风影响时段。</w:t>
      </w:r>
    </w:p>
    <w:p>
      <w:pPr>
        <w:spacing w:lineRule="auto" w:line="360" w:before="0" w:after="0"/>
        <w:ind w:firstLine="480"/>
      </w:pPr>
      <w:r>
        <w:rPr>
          <w:rFonts w:ascii="Times New Roman" w:hAnsi="Times New Roman" w:eastAsia="宋体"/>
          <w:sz w:val="24"/>
        </w:rPr>
        <w:t>港区湿热和盐雾环境会提高钢筋混凝土耐久性要求。沉箱外壁、圆筒壁、胸墙、护轮坎和系船柱基础均处于海洋氯盐环境中，设计时应通过保护层厚度、混凝土强度等级、施工缝处理和排水构造控制渗透风险。</w:t>
      </w:r>
    </w:p>
    <w:p>
      <w:pPr>
        <w:pStyle w:val="3"/>
        <w:jc w:val="left"/>
      </w:pPr>
      <w:r>
        <w:rPr>
          <w:rFonts w:ascii="Times New Roman" w:hAnsi="Times New Roman" w:eastAsia="宋体"/>
          <w:b/>
          <w:sz w:val="24"/>
        </w:rPr>
        <w:t xml:space="preserve"> 水文条件</w:t>
      </w:r>
    </w:p>
    <w:p>
      <w:pPr>
        <w:spacing w:lineRule="auto" w:line="360" w:before="0" w:after="0"/>
        <w:ind w:firstLine="480"/>
      </w:pPr>
      <w:r>
        <w:rPr>
          <w:rFonts w:ascii="Times New Roman" w:hAnsi="Times New Roman" w:eastAsia="宋体"/>
          <w:sz w:val="24"/>
        </w:rPr>
        <w:t>港区附近海域潮汐类型以正规全日潮为主，日分潮占主导地位。最高潮位5.52m，最大潮差5.39m，平均高潮位约3.70m，全年潮高3m以上天数较多。码头面高程、施工水位和前沿底高程均需结合潮位特征确定。</w:t>
      </w:r>
    </w:p>
    <w:p>
      <w:pPr>
        <w:spacing w:lineRule="auto" w:line="360" w:before="0" w:after="0"/>
        <w:ind w:firstLine="480"/>
      </w:pPr>
      <w:r>
        <w:rPr>
          <w:rFonts w:ascii="Times New Roman" w:hAnsi="Times New Roman" w:eastAsia="宋体"/>
          <w:sz w:val="24"/>
        </w:rPr>
        <w:t>潮流运动形式以往复流为主，流向基本与岸线和深槽走向一致。涨潮流方向主要在270°~360°之间，落潮流方向主要在90°~180°之间。实测涨潮流速约0.08~0.54m/s，落潮流速约0.08~0.95m/s，对靠泊和施工船舶定位有一定影响。</w:t>
      </w:r>
    </w:p>
    <w:p>
      <w:pPr>
        <w:spacing w:lineRule="auto" w:line="360" w:before="0" w:after="0"/>
        <w:ind w:firstLine="480"/>
      </w:pPr>
      <w:r>
        <w:rPr>
          <w:rFonts w:ascii="Times New Roman" w:hAnsi="Times New Roman" w:eastAsia="宋体"/>
          <w:sz w:val="24"/>
        </w:rPr>
        <w:t>防城港港湾三面环山，外侧有白龙、企沙半岛环抱，港区波浪动力条件较弱。常见浪高小于0.5m，出现1m以上浪高的频率较低，进行本阶段码头结构设计时可按有掩护港池条件处理。</w:t>
      </w:r>
    </w:p>
    <w:p>
      <w:pPr>
        <w:spacing w:lineRule="auto" w:line="360" w:before="0" w:after="0"/>
        <w:ind w:firstLine="480"/>
      </w:pPr>
      <w:r>
        <w:rPr>
          <w:rFonts w:ascii="Times New Roman" w:hAnsi="Times New Roman" w:eastAsia="宋体"/>
          <w:sz w:val="24"/>
        </w:rPr>
        <w:t>设计水位取值直接控制码头面高程、前沿水深和结构稳定验算。本设计采用设计高水位4.27m、设计低水位1.56m、极端高水位5.52m、极端低水位0.13m和低潮施工水位2.54m。设计高水位主要用于码头面高程与结构受力分析，设计低水位用于码头前沿底高程和停泊水深校核，极端水位用于防汛和稳定复核，施工水位用于沉箱沉放、大圆筒安装和基床整平施工窗口分析。</w:t>
      </w:r>
    </w:p>
    <w:p>
      <w:pPr>
        <w:spacing w:lineRule="auto" w:line="360" w:before="0" w:after="0"/>
        <w:ind w:firstLine="480"/>
      </w:pPr>
      <w:r>
        <w:rPr>
          <w:rFonts w:ascii="Times New Roman" w:hAnsi="Times New Roman" w:eastAsia="宋体"/>
          <w:sz w:val="24"/>
        </w:rPr>
        <w:t>水位条件还会影响结构计算中的有效重度和浮托影响。低水位时墙后土压力作用高度较大，结构自重中的水下部分仍按相应有效重度处理；高水位时码头面防汛和胸墙顶高程成为控制因素。说明书后续计算采用设计低水位作为稳定验算的主要控制工况，并以极端水位作为校核背景。</w:t>
      </w:r>
    </w:p>
    <w:p>
      <w:pPr>
        <w:spacing w:lineRule="auto" w:line="360" w:before="0" w:after="0"/>
        <w:ind w:firstLine="480"/>
      </w:pPr>
      <w:r>
        <w:rPr>
          <w:rFonts w:ascii="Times New Roman" w:hAnsi="Times New Roman" w:eastAsia="宋体"/>
          <w:sz w:val="24"/>
        </w:rPr>
        <w:t>由于防城港港池遮蔽条件较好，本阶段波浪作用不作为整体稳定的主要控制荷载，但在护舷布置、船舶靠泊、施工船定位和基床护面块石选型中仍需考虑局部扰动。施工组织中，基槽开挖、基床整平和沉箱坐床宜安排在流速较小、能见度较好和天气稳定的窗口期。</w:t>
      </w:r>
    </w:p>
    <w:p>
      <w:pPr>
        <w:pStyle w:val="3"/>
        <w:jc w:val="left"/>
      </w:pPr>
      <w:r>
        <w:rPr>
          <w:rFonts w:ascii="Times New Roman" w:hAnsi="Times New Roman" w:eastAsia="宋体"/>
          <w:b/>
          <w:sz w:val="24"/>
        </w:rPr>
        <w:t xml:space="preserve"> 地质与地震条件</w:t>
      </w:r>
    </w:p>
    <w:p>
      <w:pPr>
        <w:spacing w:lineRule="auto" w:line="360" w:before="0" w:after="0"/>
        <w:ind w:firstLine="480"/>
      </w:pPr>
      <w:r>
        <w:rPr>
          <w:rFonts w:ascii="Times New Roman" w:hAnsi="Times New Roman" w:eastAsia="宋体"/>
          <w:sz w:val="24"/>
        </w:rPr>
        <w:t>工程区处于河口冲积与沿海丘陵交界地带，岩基埋置深度较小，表层软弱淤积层厚度不大。根据已有勘察资料，场地土层自上而下可概化为淤泥、淤泥质土、全风化花岗岩、强风化花岗岩、中等风化花岗岩和微风化花岗岩。</w:t>
      </w:r>
    </w:p>
    <w:p>
      <w:pPr>
        <w:spacing w:lineRule="auto" w:line="360" w:before="0" w:after="0"/>
        <w:ind w:firstLine="480"/>
      </w:pPr>
      <w:r>
        <w:rPr>
          <w:rFonts w:ascii="Times New Roman" w:hAnsi="Times New Roman" w:eastAsia="宋体"/>
          <w:sz w:val="24"/>
        </w:rPr>
        <w:t>表层淤泥主要分布在高程-5m至-8m范围内，厚度约3~4m，含水量较高，压缩性较大。其下淤泥质土厚度约1~2m，局部夹粉细砂薄层。强风化及中等风化花岗岩可作为重力式结构基槽处理和基床坐落的主要控制层。</w:t>
      </w:r>
    </w:p>
    <w:p>
      <w:pPr>
        <w:spacing w:lineRule="auto" w:line="360" w:before="0" w:after="0"/>
        <w:ind w:firstLine="480"/>
      </w:pPr>
      <w:r>
        <w:rPr>
          <w:rFonts w:ascii="Times New Roman" w:hAnsi="Times New Roman" w:eastAsia="宋体"/>
          <w:sz w:val="24"/>
        </w:rPr>
        <w:t>防城港处于地壳相对稳定区，历史强震活动较少。50年超越概率10%的基岩水平峰值加速度约0.055g，相应地震基本烈度为VI度，本阶段按一般港口工程抗震要求进行说明。</w:t>
      </w:r>
    </w:p>
    <w:p>
      <w:pPr>
        <w:spacing w:lineRule="auto" w:line="360" w:before="0" w:after="0"/>
        <w:ind w:firstLine="480"/>
      </w:pPr>
      <w:r>
        <w:rPr>
          <w:rFonts w:ascii="Times New Roman" w:hAnsi="Times New Roman" w:eastAsia="宋体"/>
          <w:sz w:val="24"/>
        </w:rPr>
        <w:t>地质条件对本工程的影响集中在基槽处理、抛石基床厚度、基床承载力和差异沉降控制。沉箱方案底板连续，能够把上部荷载较均匀地传递给基床；大圆筒方案坐床面积相对离散，局部不平整会直接影响筒底受力和筒间接缝，因此对整平精度和回填密实度要求更高。</w:t>
      </w:r>
    </w:p>
    <w:p>
      <w:pPr>
        <w:spacing w:lineRule="auto" w:line="360" w:before="0" w:after="0"/>
        <w:ind w:firstLine="480"/>
      </w:pPr>
      <w:r>
        <w:rPr>
          <w:rFonts w:ascii="Times New Roman" w:hAnsi="Times New Roman" w:eastAsia="宋体"/>
          <w:sz w:val="24"/>
        </w:rPr>
        <w:t>初步设计阶段按照“清除软弱表层、形成可靠基床、控制沉降差”的原则处理地基。若施工图阶段详勘显示软弱土厚度超过本阶段概化值，应补充地基承载力、整体滑动、沉降和基床厚度复核，并根据需要调整基槽开挖深度或采用换填、抛石挤淤等处理措施。</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明确了工程对象、设计依据和自然条件。港区具备建设3万吨级集装箱泊位的水域和陆域基础，但雨季、台风、软弱表层土和潮位变化会影响施工和运营，后续设计需在总平面、结构选型和装卸工艺中统一考虑。</w:t>
      </w:r>
    </w:p>
    <w:p>
      <w:pPr>
        <w:spacing w:lineRule="auto" w:line="360" w:before="0" w:after="0"/>
        <w:ind w:firstLine="480"/>
      </w:pPr>
      <w:r>
        <w:rPr>
          <w:rFonts w:ascii="Times New Roman" w:hAnsi="Times New Roman" w:eastAsia="宋体"/>
          <w:sz w:val="24"/>
        </w:rPr>
        <w:t>综上，本工程具备采用重力式码头的自然条件基础，但设计不能只停留在平面布置层面，还应把潮位、地基、施工窗口、材料耐久性和运营维护一并落实到结构方案和计算过程。</w:t>
      </w:r>
    </w:p>
    <w:p>
      <w:pPr>
        <w:pStyle w:val="1"/>
        <w:pageBreakBefore/>
        <w:jc w:val="center"/>
      </w:pPr>
      <w:r>
        <w:rPr>
          <w:rFonts w:ascii="Times New Roman" w:hAnsi="Times New Roman" w:eastAsia="宋体"/>
          <w:b/>
          <w:sz w:val="30"/>
        </w:rPr>
        <w:t xml:space="preserve"> 货运量与船型</w:t>
      </w:r>
    </w:p>
    <w:p>
      <w:pPr>
        <w:pStyle w:val="2"/>
        <w:jc w:val="left"/>
      </w:pPr>
      <w:r>
        <w:rPr>
          <w:rFonts w:ascii="Times New Roman" w:hAnsi="Times New Roman" w:eastAsia="宋体"/>
          <w:b/>
          <w:sz w:val="24"/>
        </w:rPr>
        <w:t xml:space="preserve"> 腹地经济与集装箱运输需求</w:t>
      </w:r>
    </w:p>
    <w:p>
      <w:pPr>
        <w:spacing w:lineRule="auto" w:line="360" w:before="0" w:after="0"/>
        <w:ind w:firstLine="480"/>
      </w:pPr>
      <w:r>
        <w:rPr>
          <w:rFonts w:ascii="Times New Roman" w:hAnsi="Times New Roman" w:eastAsia="宋体"/>
          <w:sz w:val="24"/>
        </w:rPr>
        <w:t>防城港是北部湾港的重要组成部分，也是广西连接西南地区和东盟市场的重要港口。近年来，区域钢铁、有色金属、能源、粮油食品、装备制造等临港产业持续发展，带动外贸集装箱、内贸集装箱和铁海联运箱量增长。</w:t>
      </w:r>
    </w:p>
    <w:p>
      <w:pPr>
        <w:spacing w:lineRule="auto" w:line="360" w:before="0" w:after="0"/>
        <w:ind w:firstLine="480"/>
      </w:pPr>
      <w:r>
        <w:rPr>
          <w:rFonts w:ascii="Times New Roman" w:hAnsi="Times New Roman" w:eastAsia="宋体"/>
          <w:sz w:val="24"/>
        </w:rPr>
        <w:t>本设计按进口集装箱泊位考虑，货源以外贸进口重箱、内贸中转箱和铁路到发箱为主。进口箱到港后经码头前沿卸船，短距离水平运输至堆场，经过查验、堆存、换装后通过公路、铁路或水水中转疏运。</w:t>
      </w:r>
    </w:p>
    <w:p>
      <w:pPr>
        <w:spacing w:lineRule="auto" w:line="360" w:before="0" w:after="0"/>
        <w:ind w:firstLine="480"/>
      </w:pPr>
      <w:r>
        <w:rPr>
          <w:rFonts w:ascii="Times New Roman" w:hAnsi="Times New Roman" w:eastAsia="宋体"/>
          <w:sz w:val="24"/>
        </w:rPr>
        <w:t>设计年通过能力取50万TEU。该取值既能反映防城港集装箱吞吐量增长趋势，又能与单个3万吨级泊位的岸线长度、岸桥配置、堆场容量和道路系统相匹配，适合作为本次初步设计的控制规模。</w:t>
      </w:r>
    </w:p>
    <w:p>
      <w:pPr>
        <w:spacing w:lineRule="auto" w:line="360" w:before="0" w:after="0"/>
        <w:ind w:firstLine="480"/>
      </w:pPr>
      <w:r>
        <w:rPr>
          <w:rFonts w:ascii="Times New Roman" w:hAnsi="Times New Roman" w:eastAsia="宋体"/>
          <w:sz w:val="24"/>
        </w:rPr>
        <w:t>进口集装箱码头的作业特征与散货、件杂货码头不同，货物到港后并不直接完成最终交付，而是在码头内经历卸船、水平运输、堆存、查验、提箱或铁路换装等环节。泊位通过能力不足会造成船舶等泊，堆场能力不足会造成箱区周转下降，道路和闸口能力不足会造成疏港拥堵，因此设计规模需要在水域、陆域和工艺系统之间取得平衡。</w:t>
      </w:r>
    </w:p>
    <w:p>
      <w:pPr>
        <w:spacing w:lineRule="auto" w:line="360" w:before="0" w:after="0"/>
        <w:ind w:firstLine="480"/>
      </w:pPr>
      <w:r>
        <w:rPr>
          <w:rFonts w:ascii="Times New Roman" w:hAnsi="Times New Roman" w:eastAsia="宋体"/>
          <w:sz w:val="24"/>
        </w:rPr>
        <w:t>防城港进口箱源具有外向型产业和区域转运叠加的特点，部分重箱在港内停留时间较长，部分箱量通过铁路或公路快速疏运。说明书按50万TEU/年的单泊位承担能力进行设计，属于中型专业化集装箱泊位规模，能够支撑3万吨级船舶常态靠泊，也便于与周边泊位形成分工。</w:t>
      </w:r>
    </w:p>
    <w:p>
      <w:pPr>
        <w:pStyle w:val="2"/>
        <w:jc w:val="left"/>
      </w:pPr>
      <w:r>
        <w:rPr>
          <w:rFonts w:ascii="Times New Roman" w:hAnsi="Times New Roman" w:eastAsia="宋体"/>
          <w:b/>
          <w:sz w:val="24"/>
        </w:rPr>
        <w:t xml:space="preserve"> 吞吐量预测方法</w:t>
      </w:r>
    </w:p>
    <w:p>
      <w:pPr>
        <w:spacing w:lineRule="auto" w:line="360" w:before="0" w:after="0"/>
        <w:ind w:firstLine="480"/>
      </w:pPr>
      <w:r>
        <w:rPr>
          <w:rFonts w:ascii="Times New Roman" w:hAnsi="Times New Roman" w:eastAsia="宋体"/>
          <w:sz w:val="24"/>
        </w:rPr>
        <w:t>吞吐量预测采用趋势外推、弹性系数和规划目标校核相结合的方法。趋势外推用于判断港区历史增长惯性，弹性系数用于反映外贸和GDP增长对箱量的拉动作用，规划目标用于校核预测结果与港口总体发展方向是否一致。</w:t>
      </w:r>
    </w:p>
    <w:p>
      <w:pPr>
        <w:tabs>
          <w:tab w:pos="4100" w:val="center"/>
          <w:tab w:pos="8200" w:val="right"/>
        </w:tabs>
        <w:spacing w:lineRule="auto" w:line="360" w:before="0" w:after="0"/>
        <w:jc w:val="left"/>
      </w:pPr>
      <w:r>
        <w:tab/>
      </w:r>
      <m:oMath>
        <m:sSub>
          <m:e>
            <m:r>
              <m:t>Q</m:t>
            </m:r>
          </m:e>
          <m:sub>
            <m:r>
              <m:t>t</m:t>
            </m:r>
          </m:sub>
        </m:sSub>
        <m:r>
          <m:rPr>
            <m:sty m:val="p"/>
          </m:rPr>
          <m:t>=</m:t>
        </m:r>
        <m:sSub>
          <m:e>
            <m:r>
              <m:t>Q</m:t>
            </m:r>
          </m:e>
          <m:sub>
            <m:r>
              <m:t>0</m:t>
            </m:r>
          </m:sub>
        </m:sSub>
        <m:r>
          <m:rPr>
            <m:sty m:val="p"/>
          </m:rPr>
          <m:t>(</m:t>
        </m:r>
        <m:r>
          <m:t>1</m:t>
        </m:r>
        <m:r>
          <m:rPr>
            <m:sty m:val="p"/>
          </m:rPr>
          <m:t>+</m:t>
        </m:r>
        <m:r>
          <m:t>r</m:t>
        </m:r>
        <m:sSup>
          <m:e>
            <m:r>
              <m:rPr>
                <m:sty m:val="p"/>
              </m:rPr>
              <m:t>)</m:t>
            </m:r>
          </m:e>
          <m:sup>
            <m:r>
              <m:t>n</m:t>
            </m:r>
          </m:sup>
        </m:sSup>
      </m:oMath>
      <w:r>
        <w:rPr>
          <w:rFonts w:ascii="Times New Roman" w:hAnsi="Times New Roman" w:eastAsia="宋体"/>
          <w:sz w:val="24"/>
        </w:rPr>
        <w:tab/>
        <w:t>（2.1）</w:t>
      </w:r>
    </w:p>
    <w:p>
      <w:pPr>
        <w:spacing w:lineRule="auto" w:line="360" w:before="0" w:after="0"/>
        <w:ind w:firstLine="480"/>
      </w:pPr>
      <w:r>
        <w:rPr>
          <w:rFonts w:ascii="Times New Roman" w:hAnsi="Times New Roman" w:eastAsia="宋体"/>
          <w:sz w:val="24"/>
        </w:rPr>
        <w:t>式中，Qt为设计水平年吞吐量，Q0为基准年吞吐量，r为年均增长率，n为预测年限。考虑港口集装箱业务的阶段性增长和泊位分工，本设计取单泊位承担能力为50万TEU/年。</w:t>
      </w:r>
    </w:p>
    <w:p>
      <w:pPr>
        <w:tabs>
          <w:tab w:pos="4100" w:val="center"/>
          <w:tab w:pos="8200" w:val="right"/>
        </w:tabs>
        <w:spacing w:lineRule="auto" w:line="360" w:before="0" w:after="0"/>
        <w:jc w:val="left"/>
      </w:pPr>
      <w:r>
        <w:tab/>
      </w:r>
      <m:oMath>
        <m:r>
          <m:t>η</m:t>
        </m:r>
        <m:r>
          <m:rPr>
            <m:sty m:val="p"/>
          </m:rPr>
          <m:t>=</m:t>
        </m:r>
        <m:sSub>
          <m:e>
            <m:r>
              <m:t>Q</m:t>
            </m:r>
          </m:e>
          <m:sub>
            <m:r>
              <m:t>b</m:t>
            </m:r>
          </m:sub>
        </m:sSub>
        <m:r>
          <m:rPr>
            <m:sty m:val="p"/>
          </m:rPr>
          <m:t>/</m:t>
        </m:r>
        <m:sSub>
          <m:e>
            <m:r>
              <m:t>Q</m:t>
            </m:r>
          </m:e>
          <m:sub>
            <m:r>
              <m:t>p</m:t>
            </m:r>
          </m:sub>
        </m:sSub>
      </m:oMath>
      <w:r>
        <w:rPr>
          <w:rFonts w:ascii="Times New Roman" w:hAnsi="Times New Roman" w:eastAsia="宋体"/>
          <w:sz w:val="24"/>
        </w:rPr>
        <w:tab/>
        <w:t>（2.2）</w:t>
      </w:r>
    </w:p>
    <w:p>
      <w:pPr>
        <w:spacing w:lineRule="auto" w:line="360" w:before="0" w:after="0"/>
        <w:ind w:firstLine="480"/>
      </w:pPr>
      <w:r>
        <w:rPr>
          <w:rFonts w:ascii="Times New Roman" w:hAnsi="Times New Roman" w:eastAsia="宋体"/>
          <w:sz w:val="24"/>
        </w:rPr>
        <w:t>式中，η为本泊位承担港区预测箱量的比例，Qb为本泊位设计通过能力，Qp为港区预测集装箱吞吐量。该比例用于校核单泊位规模是否过大或过小。</w:t>
      </w:r>
    </w:p>
    <w:p>
      <w:pPr>
        <w:spacing w:lineRule="auto" w:line="360" w:before="0" w:after="0"/>
        <w:ind w:firstLine="480"/>
      </w:pPr>
      <w:r>
        <w:rPr>
          <w:rFonts w:ascii="Times New Roman" w:hAnsi="Times New Roman" w:eastAsia="宋体"/>
          <w:sz w:val="24"/>
        </w:rPr>
        <w:t>预测参数并非越大越安全。若通过能力取值过高，岸桥、堆场和道路配置会被放大，造成投资和用地浪费；若取值过低，泊位建成后又容易形成瓶颈。本设计以规划需求为上限，以泊位长度、船型尺度、岸桥数量和堆场容量为约束，取50万TEU/年作为兼顾近期建设和远期发展弹性的设计值。</w:t>
      </w:r>
    </w:p>
    <w:p>
      <w:pPr>
        <w:tabs>
          <w:tab w:pos="4100" w:val="center"/>
          <w:tab w:pos="8200" w:val="right"/>
        </w:tabs>
        <w:spacing w:lineRule="auto" w:line="360" w:before="0" w:after="0"/>
        <w:jc w:val="left"/>
      </w:pPr>
      <w:r>
        <w:tab/>
      </w:r>
      <m:oMath>
        <m:sSub>
          <m:e>
            <m:r>
              <m:t>Q</m:t>
            </m:r>
          </m:e>
          <m:sub>
            <m:r>
              <m:t>m</m:t>
            </m:r>
          </m:sub>
        </m:sSub>
        <m:r>
          <m:rPr>
            <m:sty m:val="p"/>
          </m:rPr>
          <m:t>=</m:t>
        </m:r>
        <m:sSub>
          <m:e>
            <m:r>
              <m:t>Q</m:t>
            </m:r>
          </m:e>
          <m:sub>
            <m:r>
              <m:t>h</m:t>
            </m:r>
          </m:sub>
        </m:sSub>
        <m:sSub>
          <m:e>
            <m:r>
              <m:t>K</m:t>
            </m:r>
          </m:e>
          <m:sub>
            <m:r>
              <m:t>m</m:t>
            </m:r>
          </m:sub>
        </m:sSub>
        <m:r>
          <m:rPr>
            <m:sty m:val="p"/>
          </m:rPr>
          <m:t>/</m:t>
        </m:r>
        <m:r>
          <m:t>12</m:t>
        </m:r>
      </m:oMath>
      <w:r>
        <w:rPr>
          <w:rFonts w:ascii="Times New Roman" w:hAnsi="Times New Roman" w:eastAsia="宋体"/>
          <w:sz w:val="24"/>
        </w:rPr>
        <w:tab/>
        <w:t>（2.4）</w:t>
      </w:r>
    </w:p>
    <w:p>
      <w:pPr>
        <w:spacing w:lineRule="auto" w:line="360" w:before="0" w:after="0"/>
        <w:ind w:firstLine="480"/>
      </w:pPr>
      <w:r>
        <w:rPr>
          <w:rFonts w:ascii="Times New Roman" w:hAnsi="Times New Roman" w:eastAsia="宋体"/>
          <w:sz w:val="24"/>
        </w:rPr>
        <w:t>式中，Qm为设计月高峰箱量，Qh为年设计通过能力，Km为月不均衡系数。取Qh=500000TEU、Km=1.15，设计月高峰箱量约47917TEU。该值用于检查堆场峰值容量和闸口疏运能力。</w:t>
      </w:r>
    </w:p>
    <w:p>
      <w:pPr>
        <w:tabs>
          <w:tab w:pos="4100" w:val="center"/>
          <w:tab w:pos="8200" w:val="right"/>
        </w:tabs>
        <w:spacing w:lineRule="auto" w:line="360" w:before="0" w:after="0"/>
        <w:jc w:val="left"/>
      </w:pPr>
      <w:r>
        <w:tab/>
      </w:r>
      <m:oMath>
        <m:sSub>
          <m:e>
            <m:r>
              <m:t>Q</m:t>
            </m:r>
          </m:e>
          <m:sub>
            <m:r>
              <m:t>d</m:t>
            </m:r>
          </m:sub>
        </m:sSub>
        <m:r>
          <m:rPr>
            <m:sty m:val="p"/>
          </m:rPr>
          <m:t>=</m:t>
        </m:r>
        <m:sSub>
          <m:e>
            <m:r>
              <m:t>Q</m:t>
            </m:r>
          </m:e>
          <m:sub>
            <m:r>
              <m:t>h</m:t>
            </m:r>
          </m:sub>
        </m:sSub>
        <m:sSub>
          <m:e>
            <m:r>
              <m:t>K</m:t>
            </m:r>
          </m:e>
          <m:sub>
            <m:r>
              <m:t>m</m:t>
            </m:r>
          </m:sub>
        </m:sSub>
        <m:sSub>
          <m:e>
            <m:r>
              <m:t>K</m:t>
            </m:r>
          </m:e>
          <m:sub>
            <m:r>
              <m:t>d</m:t>
            </m:r>
          </m:sub>
        </m:sSub>
        <m:r>
          <m:rPr>
            <m:sty m:val="p"/>
          </m:rPr>
          <m:t>/</m:t>
        </m:r>
        <m:r>
          <m:t>T</m:t>
        </m:r>
      </m:oMath>
      <w:r>
        <w:rPr>
          <w:rFonts w:ascii="Times New Roman" w:hAnsi="Times New Roman" w:eastAsia="宋体"/>
          <w:sz w:val="24"/>
        </w:rPr>
        <w:tab/>
        <w:t>（2.5）</w:t>
      </w:r>
    </w:p>
    <w:p>
      <w:pPr>
        <w:spacing w:lineRule="auto" w:line="360" w:before="0" w:after="0"/>
        <w:ind w:firstLine="480"/>
      </w:pPr>
      <w:r>
        <w:rPr>
          <w:rFonts w:ascii="Times New Roman" w:hAnsi="Times New Roman" w:eastAsia="宋体"/>
          <w:sz w:val="24"/>
        </w:rPr>
        <w:t>式中，Kd为日到港不均衡系数，T为年有效作业天数。取Kd=1.20、T=350d时，日均高峰处理量约1971TEU。该数值与岸桥班产、集卡循环次数和堆场交接能力相衔接。</w:t>
      </w:r>
    </w:p>
    <w:p>
      <w:pPr>
        <w:pStyle w:val="2"/>
        <w:jc w:val="left"/>
      </w:pPr>
      <w:r>
        <w:rPr>
          <w:rFonts w:ascii="Times New Roman" w:hAnsi="Times New Roman" w:eastAsia="宋体"/>
          <w:b/>
          <w:sz w:val="24"/>
        </w:rPr>
        <w:t xml:space="preserve"> 设计船型</w:t>
      </w:r>
    </w:p>
    <w:p>
      <w:pPr>
        <w:spacing w:lineRule="auto" w:line="360" w:before="0" w:after="0"/>
        <w:ind w:firstLine="480"/>
      </w:pPr>
      <w:r>
        <w:rPr>
          <w:rFonts w:ascii="Times New Roman" w:hAnsi="Times New Roman" w:eastAsia="宋体"/>
          <w:sz w:val="24"/>
        </w:rPr>
        <w:t>根据港区功能定位和设计通过能力，本设计选取3万吨级集装箱船作为设计船型。该船型尺度适合中型集装箱泊位和北部湾区域航线组织，能够兼顾岸线利用、航道水深、回旋水域和装卸设备能力。</w:t>
      </w:r>
    </w:p>
    <w:p>
      <w:pPr>
        <w:spacing w:lineRule="auto" w:line="360" w:before="0" w:after="0"/>
        <w:ind w:firstLine="480"/>
      </w:pPr>
      <w:r>
        <w:rPr>
          <w:rFonts w:ascii="Times New Roman" w:hAnsi="Times New Roman" w:eastAsia="宋体"/>
          <w:sz w:val="24"/>
        </w:rPr>
        <w:t>设计船型取3万吨级集装箱船，船舶总长约241m，型宽约32.3m，型深约19.0m，满载吃水约12.0m，载箱量约1901~2500TEU。上述尺度中，总长主要控制泊位长度和回旋水域尺度，型宽主要控制停泊水域宽度和岸桥外伸距，满载吃水主要控制码头前沿设计水深。</w:t>
      </w:r>
    </w:p>
    <w:p>
      <w:pPr>
        <w:spacing w:lineRule="auto" w:line="360" w:before="0" w:after="0"/>
        <w:ind w:firstLine="480"/>
      </w:pPr>
      <w:r>
        <w:rPr>
          <w:rFonts w:ascii="Times New Roman" w:hAnsi="Times New Roman" w:eastAsia="宋体"/>
          <w:sz w:val="24"/>
        </w:rPr>
        <w:t>设计船型满载吃水为12.0m，考虑龙骨下富裕水深、波浪和航行安全富裕量，码头前沿设计水深取13.50m。船宽32.3m用于计算停泊水域宽度、岸桥外伸距和前沿作业带宽度。</w:t>
      </w:r>
    </w:p>
    <w:p>
      <w:pPr>
        <w:spacing w:lineRule="auto" w:line="360" w:before="0" w:after="0"/>
        <w:ind w:firstLine="480"/>
      </w:pPr>
      <w:r>
        <w:rPr>
          <w:rFonts w:ascii="Times New Roman" w:hAnsi="Times New Roman" w:eastAsia="宋体"/>
          <w:sz w:val="24"/>
        </w:rPr>
        <w:t>3万吨级集装箱船在本工程中既是码头尺度计算的对象，也是装卸工艺组织的对象。船长决定泊位长度和回旋水域，船宽决定岸桥轨距、外伸距和停泊水域宽度，吃水决定前沿水深，船舶箱位布置则影响岸桥数量和作业面展开方式。</w:t>
      </w:r>
    </w:p>
    <w:p>
      <w:pPr>
        <w:spacing w:lineRule="auto" w:line="360" w:before="0" w:after="0"/>
        <w:ind w:firstLine="480"/>
      </w:pPr>
      <w:r>
        <w:rPr>
          <w:rFonts w:ascii="Times New Roman" w:hAnsi="Times New Roman" w:eastAsia="宋体"/>
          <w:sz w:val="24"/>
        </w:rPr>
        <w:t>按总长241m考虑，300m码头前沿线可满足单船靠泊和两端缆绳布置要求，并保留一定安全余量。若未来出现尺度接近上限的船舶，需结合港池条件、拖轮辅助能力和岸桥外伸距复核靠泊适应性。</w:t>
      </w:r>
    </w:p>
    <w:p>
      <w:pPr>
        <w:pStyle w:val="2"/>
        <w:jc w:val="left"/>
      </w:pPr>
      <w:r>
        <w:rPr>
          <w:rFonts w:ascii="Times New Roman" w:hAnsi="Times New Roman" w:eastAsia="宋体"/>
          <w:b/>
          <w:sz w:val="24"/>
        </w:rPr>
        <w:t xml:space="preserve"> 年通过能力校核</w:t>
      </w:r>
    </w:p>
    <w:p>
      <w:pPr>
        <w:spacing w:lineRule="auto" w:line="360" w:before="0" w:after="0"/>
        <w:ind w:firstLine="480"/>
      </w:pPr>
      <w:r>
        <w:rPr>
          <w:rFonts w:ascii="Times New Roman" w:hAnsi="Times New Roman" w:eastAsia="宋体"/>
          <w:sz w:val="24"/>
        </w:rPr>
        <w:t>泊位年通过能力与岸桥数量、单机效率、作业天数、昼夜作业时间和泊位利用率有关。本设计按年工作318天、每日纯作业时间21h进行计算，作业系统采用岸桥、集装箱牵引车和轮胎式场桥配套组织。</w:t>
      </w:r>
    </w:p>
    <w:p>
      <w:pPr>
        <w:tabs>
          <w:tab w:pos="4100" w:val="center"/>
          <w:tab w:pos="8200" w:val="right"/>
        </w:tabs>
        <w:spacing w:lineRule="auto" w:line="360" w:before="0" w:after="0"/>
        <w:jc w:val="left"/>
      </w:pPr>
      <w:r>
        <w:tab/>
      </w:r>
      <m:oMath>
        <m:r>
          <m:t>P</m:t>
        </m:r>
        <m:r>
          <m:rPr>
            <m:sty m:val="p"/>
          </m:rPr>
          <m:t>=</m:t>
        </m:r>
        <m:r>
          <m:t>N</m:t>
        </m:r>
        <m:r>
          <m:t>q</m:t>
        </m:r>
        <m:r>
          <m:t>t</m:t>
        </m:r>
        <m:r>
          <m:t>T</m:t>
        </m:r>
        <m:r>
          <m:t>K</m:t>
        </m:r>
        <m:r>
          <m:rPr>
            <m:sty m:val="p"/>
          </m:rPr>
          <m:t>/</m:t>
        </m:r>
        <m:r>
          <m:t>10000</m:t>
        </m:r>
      </m:oMath>
      <w:r>
        <w:rPr>
          <w:rFonts w:ascii="Times New Roman" w:hAnsi="Times New Roman" w:eastAsia="宋体"/>
          <w:sz w:val="24"/>
        </w:rPr>
        <w:tab/>
        <w:t>（2.3）</w:t>
      </w:r>
    </w:p>
    <w:p>
      <w:pPr>
        <w:spacing w:lineRule="auto" w:line="360" w:before="0" w:after="0"/>
        <w:ind w:firstLine="480"/>
      </w:pPr>
      <w:r>
        <w:rPr>
          <w:rFonts w:ascii="Times New Roman" w:hAnsi="Times New Roman" w:eastAsia="宋体"/>
          <w:sz w:val="24"/>
        </w:rPr>
        <w:t>式中，P为年通过能力，N为岸桥台数，q为单机小时效率，t为每日有效作业时间，T为年工作天数，K为综合利用系数。按5台岸桥、单机30TEU/h、综合利用系数0.65~0.75估算，可满足50万TEU/年的设计目标。</w:t>
      </w:r>
    </w:p>
    <w:p>
      <w:pPr>
        <w:spacing w:lineRule="auto" w:line="360" w:before="0" w:after="0"/>
        <w:ind w:firstLine="480"/>
      </w:pPr>
      <w:r>
        <w:rPr>
          <w:rFonts w:ascii="Times New Roman" w:hAnsi="Times New Roman" w:eastAsia="宋体"/>
          <w:sz w:val="24"/>
        </w:rPr>
        <w:t>年通过能力校核采用5台岸桥、单机效率30TEU/h、每日有效作业时间21h、年工作天数318d和综合利用系数0.65~0.75作为基本参数。综合利用系数反映船舶到港不均衡、换班、设备维护、气象停工和堆场交接等因素影响，按该组参数估算，泊位通过能力能够覆盖50万TEU/年的设计目标。</w:t>
      </w:r>
    </w:p>
    <w:p>
      <w:pPr>
        <w:spacing w:lineRule="auto" w:line="360" w:before="0" w:after="0"/>
        <w:ind w:firstLine="480"/>
      </w:pPr>
      <w:r>
        <w:rPr>
          <w:rFonts w:ascii="Times New Roman" w:hAnsi="Times New Roman" w:eastAsia="宋体"/>
          <w:sz w:val="24"/>
        </w:rPr>
        <w:t>岸桥能力校核采用“设备能力乘以综合利用系数”的方法。综合利用系数包括船舶到港间隔不均匀、舱盖板开闭、箱区调箱、设备维护、交接班和气象停工等影响，不能简单按理论满负荷计算。</w:t>
      </w:r>
    </w:p>
    <w:p>
      <w:pPr>
        <w:tabs>
          <w:tab w:pos="4100" w:val="center"/>
          <w:tab w:pos="8200" w:val="right"/>
        </w:tabs>
        <w:spacing w:lineRule="auto" w:line="360" w:before="0" w:after="0"/>
        <w:jc w:val="left"/>
      </w:pPr>
      <w:r>
        <w:tab/>
      </w:r>
      <m:oMath>
        <m:sSub>
          <m:e>
            <m:r>
              <m:t>P</m:t>
            </m:r>
          </m:e>
          <m:sub>
            <m:r>
              <m:t>q</m:t>
            </m:r>
          </m:sub>
        </m:sSub>
        <m:r>
          <m:rPr>
            <m:sty m:val="p"/>
          </m:rPr>
          <m:t>=</m:t>
        </m:r>
        <m:r>
          <m:t>N</m:t>
        </m:r>
        <m:r>
          <m:t>q</m:t>
        </m:r>
        <m:sSub>
          <m:e>
            <m:r>
              <m:t>K</m:t>
            </m:r>
          </m:e>
          <m:sub>
            <m:r>
              <m:t>u</m:t>
            </m:r>
          </m:sub>
        </m:sSub>
      </m:oMath>
      <w:r>
        <w:rPr>
          <w:rFonts w:ascii="Times New Roman" w:hAnsi="Times New Roman" w:eastAsia="宋体"/>
          <w:sz w:val="24"/>
        </w:rPr>
        <w:tab/>
        <w:t>（2.6）</w:t>
      </w:r>
    </w:p>
    <w:p>
      <w:pPr>
        <w:spacing w:lineRule="auto" w:line="360" w:before="0" w:after="0"/>
        <w:ind w:firstLine="480"/>
      </w:pPr>
      <w:r>
        <w:rPr>
          <w:rFonts w:ascii="Times New Roman" w:hAnsi="Times New Roman" w:eastAsia="宋体"/>
          <w:sz w:val="24"/>
        </w:rPr>
        <w:t>取岸桥5台、单机效率30TEU/h、作业利用系数0.70，则有效岸桥小时能力约105TEU/h。该能力可覆盖设计日高峰箱量，但实际生产中仍需通过泊位计划、堆场计划和闸口预约降低作业波动。</w:t>
      </w:r>
    </w:p>
    <w:p>
      <w:pPr>
        <w:spacing w:lineRule="auto" w:line="360" w:before="0" w:after="0"/>
        <w:ind w:firstLine="480"/>
      </w:pPr>
      <w:r>
        <w:rPr>
          <w:rFonts w:ascii="Times New Roman" w:hAnsi="Times New Roman" w:eastAsia="宋体"/>
          <w:sz w:val="24"/>
        </w:rPr>
        <w:t>泊位能力、堆场能力和水平运输能力应按同一设计规模校核。若岸桥能力大于堆场收箱能力，前沿会出现集卡等待；若堆场能力大于闸口能力，进口箱会在场内滞留。因此第四、五章继续对堆场容量、道路组织和设备配套进行分项计算。</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本章确定了设计年通过能力、设计船型和主要作业参数。3万吨级集装箱船和50万TEU/年通过能力与防城港港区发展定位、300m岸线长度和中型专业化集装箱泊位规模相适应。</w:t>
      </w:r>
    </w:p>
    <w:p>
      <w:pPr>
        <w:spacing w:lineRule="auto" w:line="360" w:before="0" w:after="0"/>
        <w:ind w:firstLine="480"/>
      </w:pPr>
      <w:r>
        <w:rPr>
          <w:rFonts w:ascii="Times New Roman" w:hAnsi="Times New Roman" w:eastAsia="宋体"/>
          <w:sz w:val="24"/>
        </w:rPr>
        <w:t>本章计算说明，50万TEU/年的设计规模来源于港区发展需求、3万吨级船型、300m泊位长度、岸桥配置和堆场周转等多项条件的共同约束。</w:t>
      </w:r>
    </w:p>
    <w:p>
      <w:pPr>
        <w:pStyle w:val="1"/>
        <w:pageBreakBefore/>
        <w:jc w:val="center"/>
      </w:pPr>
      <w:r>
        <w:rPr>
          <w:rFonts w:ascii="Times New Roman" w:hAnsi="Times New Roman" w:eastAsia="宋体"/>
          <w:b/>
          <w:sz w:val="30"/>
        </w:rPr>
        <w:t xml:space="preserve"> 方案比选</w:t>
      </w:r>
    </w:p>
    <w:p>
      <w:pPr>
        <w:pStyle w:val="2"/>
        <w:jc w:val="left"/>
      </w:pPr>
      <w:r>
        <w:rPr>
          <w:rFonts w:ascii="Times New Roman" w:hAnsi="Times New Roman" w:eastAsia="宋体"/>
          <w:b/>
          <w:sz w:val="24"/>
        </w:rPr>
        <w:t xml:space="preserve"> 比选原则</w:t>
      </w:r>
    </w:p>
    <w:p>
      <w:pPr>
        <w:spacing w:lineRule="auto" w:line="360" w:before="0" w:after="0"/>
        <w:ind w:firstLine="480"/>
      </w:pPr>
      <w:r>
        <w:rPr>
          <w:rFonts w:ascii="Times New Roman" w:hAnsi="Times New Roman" w:eastAsia="宋体"/>
          <w:sz w:val="24"/>
        </w:rPr>
        <w:t>结构方案比选应同时考虑自然条件、地基条件、施工装备、工程量、运行维护和图纸表达完整性。防城港9号泊位位于有掩护港池，波浪条件相对较弱，重力式结构可作为主要比选方向。</w:t>
      </w:r>
    </w:p>
    <w:p>
      <w:pPr>
        <w:spacing w:lineRule="auto" w:line="360" w:before="0" w:after="0"/>
        <w:ind w:firstLine="480"/>
      </w:pPr>
      <w:r>
        <w:rPr>
          <w:rFonts w:ascii="Times New Roman" w:hAnsi="Times New Roman" w:eastAsia="宋体"/>
          <w:sz w:val="24"/>
        </w:rPr>
        <w:t>结合本次绘图成果，方案比选重点比较沉箱重力式码头和大圆筒重力式码头。两类方案均可形成连续岸壁，均需设置抛石基床、现浇胸墙、倒滤层、后方回填、护舷和系船柱，但构件形式、施工风险和受力特点不同。</w:t>
      </w:r>
    </w:p>
    <w:p>
      <w:pPr>
        <w:spacing w:lineRule="auto" w:line="360" w:before="0" w:after="0"/>
        <w:ind w:firstLine="480"/>
      </w:pPr>
      <w:r>
        <w:rPr>
          <w:rFonts w:ascii="Times New Roman" w:hAnsi="Times New Roman" w:eastAsia="宋体"/>
          <w:sz w:val="24"/>
        </w:rPr>
        <w:t>比选过程采用同一设计边界：码头长度均为300m，前沿顶高程均按+5.50m控制，基床均采用块石基床，墙后均采用开山土石回填并设置倒滤层，附属设施均按集装箱泊位配置。统一边界后，方案差异主要体现在墙身构件形式、竖向力来源、基底受力和施工控制点，比较结果更具有可比性。</w:t>
      </w:r>
    </w:p>
    <w:p>
      <w:pPr>
        <w:spacing w:lineRule="auto" w:line="360" w:before="0" w:after="0"/>
        <w:ind w:firstLine="480"/>
      </w:pPr>
      <w:r>
        <w:rPr>
          <w:rFonts w:ascii="Times New Roman" w:hAnsi="Times New Roman" w:eastAsia="宋体"/>
          <w:sz w:val="24"/>
        </w:rPr>
        <w:t>本阶段不把造价作为唯一判断依据。沉箱方案混凝土和钢筋工程量较大，大圆筒方案预制混凝土量较小，但大圆筒对大型吊装设备、坐床精度、筒间防漏和回填密实度要求更高。若只比较主体混凝土量，容易低估施工组织和运行维护对方案可靠性的影响。</w:t>
      </w:r>
    </w:p>
    <w:p>
      <w:pPr>
        <w:pStyle w:val="2"/>
        <w:jc w:val="left"/>
      </w:pPr>
      <w:r>
        <w:rPr>
          <w:rFonts w:ascii="Times New Roman" w:hAnsi="Times New Roman" w:eastAsia="宋体"/>
          <w:b/>
          <w:sz w:val="24"/>
        </w:rPr>
        <w:t xml:space="preserve"> 重力式沉箱方案</w:t>
      </w:r>
    </w:p>
    <w:p>
      <w:pPr>
        <w:pStyle w:val="3"/>
        <w:jc w:val="left"/>
      </w:pPr>
      <w:r>
        <w:rPr>
          <w:rFonts w:ascii="Times New Roman" w:hAnsi="Times New Roman" w:eastAsia="宋体"/>
          <w:b/>
          <w:sz w:val="24"/>
        </w:rPr>
        <w:t xml:space="preserve"> 结构概述</w:t>
      </w:r>
    </w:p>
    <w:p>
      <w:pPr>
        <w:spacing w:lineRule="auto" w:line="360" w:before="0" w:after="0"/>
        <w:ind w:firstLine="480"/>
      </w:pPr>
      <w:r>
        <w:rPr>
          <w:rFonts w:ascii="Times New Roman" w:hAnsi="Times New Roman" w:eastAsia="宋体"/>
          <w:sz w:val="24"/>
        </w:rPr>
        <w:t>沉箱重力式码头以钢筋混凝土沉箱作为墙身主体，沉箱内设纵横隔墙分成若干舱格。沉箱一般在预制场预制，通过滑道、船坞或半潜驳下水，浮运至现场后定位沉放，再进行箱内回填和上部胸墙浇筑。</w:t>
      </w:r>
    </w:p>
    <w:p>
      <w:pPr>
        <w:spacing w:lineRule="auto" w:line="360" w:before="0" w:after="0"/>
        <w:ind w:firstLine="480"/>
      </w:pPr>
      <w:r>
        <w:rPr>
          <w:rFonts w:ascii="Times New Roman" w:hAnsi="Times New Roman" w:eastAsia="宋体"/>
          <w:sz w:val="24"/>
        </w:rPr>
        <w:t>沉箱方案的优点是结构整体性好、施工速度较快、水下现浇工作量少、岸壁线型整齐，适用于具备预制、出运和沉放条件的中大型码头。其不足是构件尺寸大，对预制场地、拖运航道和沉放精度要求较高，且钢筋混凝土用量较大。</w:t>
      </w:r>
    </w:p>
    <w:p>
      <w:pPr>
        <w:spacing w:lineRule="auto" w:line="360" w:before="0" w:after="0"/>
        <w:ind w:firstLine="480"/>
      </w:pPr>
      <w:r>
        <w:rPr>
          <w:rFonts w:ascii="Times New Roman" w:hAnsi="Times New Roman" w:eastAsia="宋体"/>
          <w:sz w:val="24"/>
        </w:rPr>
        <w:t>沉箱结构适合形成连续、规则的岸壁。沉箱底板和隔墙共同工作，箱内回填后竖向合力较大，结构依靠自重抵抗墙后土压力、堆载和系缆力。对集装箱码头而言，规则岸壁便于岸桥轨道、护舷、系船柱、给排水和电缆沟连续布置。</w:t>
      </w:r>
    </w:p>
    <w:p>
      <w:pPr>
        <w:spacing w:lineRule="auto" w:line="360" w:before="0" w:after="0"/>
        <w:ind w:firstLine="480"/>
      </w:pPr>
      <w:r>
        <w:rPr>
          <w:rFonts w:ascii="Times New Roman" w:hAnsi="Times New Roman" w:eastAsia="宋体"/>
          <w:sz w:val="24"/>
        </w:rPr>
        <w:t>沉箱方案的施工关键在于预制质量、浮运稳性、沉放定位和箱内回填顺序。沉箱预制阶段需控制混凝土裂缝、钢筋保护层和止水构造；沉放阶段需控制基床平整度、沉箱姿态和相邻箱体错台；回填阶段需分层均衡填筑，避免单侧偏压导致结构位移。</w:t>
      </w:r>
    </w:p>
    <w:p>
      <w:pPr>
        <w:pStyle w:val="3"/>
        <w:jc w:val="left"/>
      </w:pPr>
      <w:r>
        <w:rPr>
          <w:rFonts w:ascii="Times New Roman" w:hAnsi="Times New Roman" w:eastAsia="宋体"/>
          <w:b/>
          <w:sz w:val="24"/>
        </w:rPr>
        <w:t xml:space="preserve"> 主要设计数据</w:t>
      </w:r>
    </w:p>
    <w:p>
      <w:pPr>
        <w:spacing w:lineRule="auto" w:line="360" w:before="0" w:after="0"/>
        <w:ind w:firstLine="480"/>
      </w:pPr>
      <w:r>
        <w:rPr>
          <w:rFonts w:ascii="Times New Roman" w:hAnsi="Times New Roman" w:eastAsia="宋体"/>
          <w:sz w:val="24"/>
        </w:rPr>
        <w:t>本方案码头总长300m，共设10座沉箱，分段长度30m，与变形缝一一对应。单座沉箱外廓尺寸为29.95m×12.50m×13.50m，采用C45钢筋混凝土预制，外墙厚0.35m，内隔墙厚0.20m，底板厚0.50m。</w:t>
      </w:r>
    </w:p>
    <w:p>
      <w:pPr>
        <w:spacing w:lineRule="auto" w:line="360" w:before="0" w:after="0"/>
        <w:ind w:firstLine="480"/>
      </w:pPr>
      <w:r>
        <w:rPr>
          <w:rFonts w:ascii="Times New Roman" w:hAnsi="Times New Roman" w:eastAsia="宋体"/>
          <w:sz w:val="24"/>
        </w:rPr>
        <w:t>沉箱顶面标高取+3.50m，底面标高取-10.00m，箱内回填开山土石至+3.50m，顶面铺0.30m厚二片石垫层后浇筑0.50m厚低标号素混凝土封顶。后方设置倒滤层和开山土石回填，胸墙顶标高取+5.50m。</w:t>
      </w:r>
    </w:p>
    <w:p>
      <w:pPr>
        <w:keepNext/>
        <w:spacing w:lineRule="auto" w:line="300" w:before="0" w:after="120"/>
        <w:jc w:val="center"/>
      </w:pPr>
      <w:r>
        <w:rPr>
          <w:rFonts w:ascii="Times New Roman" w:hAnsi="Times New Roman" w:eastAsia="宋体"/>
          <w:b w:val="0"/>
          <w:sz w:val="20"/>
        </w:rPr>
        <w:t>表3-1 沉箱方案主要参数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2880"/>
        <w:gridCol w:w="3024"/>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592"/>
            <w:vAlign w:val="center"/>
          </w:tcPr>
          <w:p>
            <w:pPr>
              <w:spacing w:lineRule="auto" w:line="276"/>
              <w:jc w:val="center"/>
            </w:pPr>
            <w:r>
              <w:rPr>
                <w:rFonts w:ascii="Times New Roman" w:hAnsi="Times New Roman" w:eastAsia="宋体"/>
                <w:b w:val="0"/>
                <w:sz w:val="18"/>
              </w:rPr>
              <w:t>码头长度</w:t>
            </w:r>
          </w:p>
        </w:tc>
        <w:tc>
          <w:tcPr>
            <w:tcW w:type="dxa" w:w="2880"/>
            <w:vAlign w:val="center"/>
          </w:tcPr>
          <w:p>
            <w:pPr>
              <w:spacing w:lineRule="auto" w:line="276"/>
              <w:jc w:val="center"/>
            </w:pPr>
            <w:r>
              <w:rPr>
                <w:rFonts w:ascii="Times New Roman" w:hAnsi="Times New Roman" w:eastAsia="宋体"/>
                <w:b w:val="0"/>
                <w:sz w:val="18"/>
              </w:rPr>
              <w:t>300m</w:t>
            </w:r>
          </w:p>
        </w:tc>
        <w:tc>
          <w:tcPr>
            <w:tcW w:type="dxa" w:w="3024"/>
            <w:vAlign w:val="center"/>
          </w:tcPr>
          <w:p>
            <w:pPr>
              <w:spacing w:lineRule="auto" w:line="276"/>
              <w:jc w:val="center"/>
            </w:pPr>
            <w:r>
              <w:rPr>
                <w:rFonts w:ascii="Times New Roman" w:hAnsi="Times New Roman" w:eastAsia="宋体"/>
                <w:b w:val="0"/>
                <w:sz w:val="18"/>
              </w:rPr>
              <w:t>10个分段</w:t>
            </w:r>
          </w:p>
        </w:tc>
      </w:tr>
      <w:tr>
        <w:tc>
          <w:tcPr>
            <w:tcW w:type="dxa" w:w="2592"/>
            <w:vAlign w:val="center"/>
          </w:tcPr>
          <w:p>
            <w:pPr>
              <w:spacing w:lineRule="auto" w:line="276"/>
              <w:jc w:val="center"/>
            </w:pPr>
            <w:r>
              <w:rPr>
                <w:rFonts w:ascii="Times New Roman" w:hAnsi="Times New Roman" w:eastAsia="宋体"/>
                <w:b w:val="0"/>
                <w:sz w:val="18"/>
              </w:rPr>
              <w:t>沉箱数量</w:t>
            </w:r>
          </w:p>
        </w:tc>
        <w:tc>
          <w:tcPr>
            <w:tcW w:type="dxa" w:w="2880"/>
            <w:vAlign w:val="center"/>
          </w:tcPr>
          <w:p>
            <w:pPr>
              <w:spacing w:lineRule="auto" w:line="276"/>
              <w:jc w:val="center"/>
            </w:pPr>
            <w:r>
              <w:rPr>
                <w:rFonts w:ascii="Times New Roman" w:hAnsi="Times New Roman" w:eastAsia="宋体"/>
                <w:b w:val="0"/>
                <w:sz w:val="18"/>
              </w:rPr>
              <w:t>10座</w:t>
            </w:r>
          </w:p>
        </w:tc>
        <w:tc>
          <w:tcPr>
            <w:tcW w:type="dxa" w:w="3024"/>
            <w:vAlign w:val="center"/>
          </w:tcPr>
          <w:p>
            <w:pPr>
              <w:spacing w:lineRule="auto" w:line="276"/>
              <w:jc w:val="center"/>
            </w:pPr>
            <w:r>
              <w:rPr>
                <w:rFonts w:ascii="Times New Roman" w:hAnsi="Times New Roman" w:eastAsia="宋体"/>
                <w:b w:val="0"/>
                <w:sz w:val="18"/>
              </w:rPr>
              <w:t>每段1座</w:t>
            </w:r>
          </w:p>
        </w:tc>
      </w:tr>
      <w:tr>
        <w:tc>
          <w:tcPr>
            <w:tcW w:type="dxa" w:w="2592"/>
            <w:vAlign w:val="center"/>
          </w:tcPr>
          <w:p>
            <w:pPr>
              <w:spacing w:lineRule="auto" w:line="276"/>
              <w:jc w:val="center"/>
            </w:pPr>
            <w:r>
              <w:rPr>
                <w:rFonts w:ascii="Times New Roman" w:hAnsi="Times New Roman" w:eastAsia="宋体"/>
                <w:b w:val="0"/>
                <w:sz w:val="18"/>
              </w:rPr>
              <w:t>单座尺寸</w:t>
            </w:r>
          </w:p>
        </w:tc>
        <w:tc>
          <w:tcPr>
            <w:tcW w:type="dxa" w:w="2880"/>
            <w:vAlign w:val="center"/>
          </w:tcPr>
          <w:p>
            <w:pPr>
              <w:spacing w:lineRule="auto" w:line="276"/>
              <w:jc w:val="center"/>
            </w:pPr>
            <w:r>
              <w:rPr>
                <w:rFonts w:ascii="Times New Roman" w:hAnsi="Times New Roman" w:eastAsia="宋体"/>
                <w:b w:val="0"/>
                <w:sz w:val="18"/>
              </w:rPr>
              <w:t>29.95m×12.50m×13.50m</w:t>
            </w:r>
          </w:p>
        </w:tc>
        <w:tc>
          <w:tcPr>
            <w:tcW w:type="dxa" w:w="3024"/>
            <w:vAlign w:val="center"/>
          </w:tcPr>
          <w:p>
            <w:pPr>
              <w:spacing w:lineRule="auto" w:line="276"/>
              <w:jc w:val="center"/>
            </w:pPr>
            <w:r>
              <w:rPr>
                <w:rFonts w:ascii="Times New Roman" w:hAnsi="Times New Roman" w:eastAsia="宋体"/>
                <w:b w:val="0"/>
                <w:sz w:val="18"/>
              </w:rPr>
              <w:t>平面及立面控制</w:t>
            </w:r>
          </w:p>
        </w:tc>
      </w:tr>
      <w:tr>
        <w:tc>
          <w:tcPr>
            <w:tcW w:type="dxa" w:w="2592"/>
            <w:vAlign w:val="center"/>
          </w:tcPr>
          <w:p>
            <w:pPr>
              <w:spacing w:lineRule="auto" w:line="276"/>
              <w:jc w:val="center"/>
            </w:pPr>
            <w:r>
              <w:rPr>
                <w:rFonts w:ascii="Times New Roman" w:hAnsi="Times New Roman" w:eastAsia="宋体"/>
                <w:b w:val="0"/>
                <w:sz w:val="18"/>
              </w:rPr>
              <w:t>混凝土强度</w:t>
            </w:r>
          </w:p>
        </w:tc>
        <w:tc>
          <w:tcPr>
            <w:tcW w:type="dxa" w:w="2880"/>
            <w:vAlign w:val="center"/>
          </w:tcPr>
          <w:p>
            <w:pPr>
              <w:spacing w:lineRule="auto" w:line="276"/>
              <w:jc w:val="center"/>
            </w:pPr>
            <w:r>
              <w:rPr>
                <w:rFonts w:ascii="Times New Roman" w:hAnsi="Times New Roman" w:eastAsia="宋体"/>
                <w:b w:val="0"/>
                <w:sz w:val="18"/>
              </w:rPr>
              <w:t>C45</w:t>
            </w:r>
          </w:p>
        </w:tc>
        <w:tc>
          <w:tcPr>
            <w:tcW w:type="dxa" w:w="3024"/>
            <w:vAlign w:val="center"/>
          </w:tcPr>
          <w:p>
            <w:pPr>
              <w:spacing w:lineRule="auto" w:line="276"/>
              <w:jc w:val="center"/>
            </w:pPr>
            <w:r>
              <w:rPr>
                <w:rFonts w:ascii="Times New Roman" w:hAnsi="Times New Roman" w:eastAsia="宋体"/>
                <w:b w:val="0"/>
                <w:sz w:val="18"/>
              </w:rPr>
              <w:t>沉箱预制</w:t>
            </w:r>
          </w:p>
        </w:tc>
      </w:tr>
      <w:tr>
        <w:tc>
          <w:tcPr>
            <w:tcW w:type="dxa" w:w="2592"/>
            <w:vAlign w:val="center"/>
          </w:tcPr>
          <w:p>
            <w:pPr>
              <w:spacing w:lineRule="auto" w:line="276"/>
              <w:jc w:val="center"/>
            </w:pPr>
            <w:r>
              <w:rPr>
                <w:rFonts w:ascii="Times New Roman" w:hAnsi="Times New Roman" w:eastAsia="宋体"/>
                <w:b w:val="0"/>
                <w:sz w:val="18"/>
              </w:rPr>
              <w:t>胸墙强度</w:t>
            </w:r>
          </w:p>
        </w:tc>
        <w:tc>
          <w:tcPr>
            <w:tcW w:type="dxa" w:w="2880"/>
            <w:vAlign w:val="center"/>
          </w:tcPr>
          <w:p>
            <w:pPr>
              <w:spacing w:lineRule="auto" w:line="276"/>
              <w:jc w:val="center"/>
            </w:pPr>
            <w:r>
              <w:rPr>
                <w:rFonts w:ascii="Times New Roman" w:hAnsi="Times New Roman" w:eastAsia="宋体"/>
                <w:b w:val="0"/>
                <w:sz w:val="18"/>
              </w:rPr>
              <w:t>C40</w:t>
            </w:r>
          </w:p>
        </w:tc>
        <w:tc>
          <w:tcPr>
            <w:tcW w:type="dxa" w:w="3024"/>
            <w:vAlign w:val="center"/>
          </w:tcPr>
          <w:p>
            <w:pPr>
              <w:spacing w:lineRule="auto" w:line="276"/>
              <w:jc w:val="center"/>
            </w:pPr>
            <w:r>
              <w:rPr>
                <w:rFonts w:ascii="Times New Roman" w:hAnsi="Times New Roman" w:eastAsia="宋体"/>
                <w:b w:val="0"/>
                <w:sz w:val="18"/>
              </w:rPr>
              <w:t>现浇胸墙</w:t>
            </w:r>
          </w:p>
        </w:tc>
      </w:tr>
      <w:tr>
        <w:tc>
          <w:tcPr>
            <w:tcW w:type="dxa" w:w="2592"/>
            <w:vAlign w:val="center"/>
          </w:tcPr>
          <w:p>
            <w:pPr>
              <w:spacing w:lineRule="auto" w:line="276"/>
              <w:jc w:val="center"/>
            </w:pPr>
            <w:r>
              <w:rPr>
                <w:rFonts w:ascii="Times New Roman" w:hAnsi="Times New Roman" w:eastAsia="宋体"/>
                <w:b w:val="0"/>
                <w:sz w:val="18"/>
              </w:rPr>
              <w:t>基床厚度</w:t>
            </w:r>
          </w:p>
        </w:tc>
        <w:tc>
          <w:tcPr>
            <w:tcW w:type="dxa" w:w="2880"/>
            <w:vAlign w:val="center"/>
          </w:tcPr>
          <w:p>
            <w:pPr>
              <w:spacing w:lineRule="auto" w:line="276"/>
              <w:jc w:val="center"/>
            </w:pPr>
            <w:r>
              <w:rPr>
                <w:rFonts w:ascii="Times New Roman" w:hAnsi="Times New Roman" w:eastAsia="宋体"/>
                <w:b w:val="0"/>
                <w:sz w:val="18"/>
              </w:rPr>
              <w:t>2.0m</w:t>
            </w:r>
          </w:p>
        </w:tc>
        <w:tc>
          <w:tcPr>
            <w:tcW w:type="dxa" w:w="3024"/>
            <w:vAlign w:val="center"/>
          </w:tcPr>
          <w:p>
            <w:pPr>
              <w:spacing w:lineRule="auto" w:line="276"/>
              <w:jc w:val="center"/>
            </w:pPr>
            <w:r>
              <w:rPr>
                <w:rFonts w:ascii="Times New Roman" w:hAnsi="Times New Roman" w:eastAsia="宋体"/>
                <w:b w:val="0"/>
                <w:sz w:val="18"/>
              </w:rPr>
              <w:t>10~100kg块石</w:t>
            </w:r>
          </w:p>
        </w:tc>
      </w:tr>
      <w:tr>
        <w:tc>
          <w:tcPr>
            <w:tcW w:type="dxa" w:w="2592"/>
            <w:vAlign w:val="center"/>
          </w:tcPr>
          <w:p>
            <w:pPr>
              <w:spacing w:lineRule="auto" w:line="276"/>
              <w:jc w:val="center"/>
            </w:pPr>
            <w:r>
              <w:rPr>
                <w:rFonts w:ascii="Times New Roman" w:hAnsi="Times New Roman" w:eastAsia="宋体"/>
                <w:b w:val="0"/>
                <w:sz w:val="18"/>
              </w:rPr>
              <w:t>系船柱</w:t>
            </w:r>
          </w:p>
        </w:tc>
        <w:tc>
          <w:tcPr>
            <w:tcW w:type="dxa" w:w="2880"/>
            <w:vAlign w:val="center"/>
          </w:tcPr>
          <w:p>
            <w:pPr>
              <w:spacing w:lineRule="auto" w:line="276"/>
              <w:jc w:val="center"/>
            </w:pPr>
            <w:r>
              <w:rPr>
                <w:rFonts w:ascii="Times New Roman" w:hAnsi="Times New Roman" w:eastAsia="宋体"/>
                <w:b w:val="0"/>
                <w:sz w:val="18"/>
              </w:rPr>
              <w:t>1500kN</w:t>
            </w:r>
          </w:p>
        </w:tc>
        <w:tc>
          <w:tcPr>
            <w:tcW w:type="dxa" w:w="3024"/>
            <w:vAlign w:val="center"/>
          </w:tcPr>
          <w:p>
            <w:pPr>
              <w:spacing w:lineRule="auto" w:line="276"/>
              <w:jc w:val="center"/>
            </w:pPr>
            <w:r>
              <w:rPr>
                <w:rFonts w:ascii="Times New Roman" w:hAnsi="Times New Roman" w:eastAsia="宋体"/>
                <w:b w:val="0"/>
                <w:sz w:val="18"/>
              </w:rPr>
              <w:t>每段1个</w:t>
            </w:r>
          </w:p>
        </w:tc>
      </w:tr>
      <w:tr>
        <w:tc>
          <w:tcPr>
            <w:tcW w:type="dxa" w:w="2592"/>
            <w:vAlign w:val="center"/>
          </w:tcPr>
          <w:p>
            <w:pPr>
              <w:spacing w:lineRule="auto" w:line="276"/>
              <w:jc w:val="center"/>
            </w:pPr>
            <w:r>
              <w:rPr>
                <w:rFonts w:ascii="Times New Roman" w:hAnsi="Times New Roman" w:eastAsia="宋体"/>
                <w:b w:val="0"/>
                <w:sz w:val="18"/>
              </w:rPr>
              <w:t>护舷</w:t>
            </w:r>
          </w:p>
        </w:tc>
        <w:tc>
          <w:tcPr>
            <w:tcW w:type="dxa" w:w="2880"/>
            <w:vAlign w:val="center"/>
          </w:tcPr>
          <w:p>
            <w:pPr>
              <w:spacing w:lineRule="auto" w:line="276"/>
              <w:jc w:val="center"/>
            </w:pPr>
            <w:r>
              <w:rPr>
                <w:rFonts w:ascii="Times New Roman" w:hAnsi="Times New Roman" w:eastAsia="宋体"/>
                <w:b w:val="0"/>
                <w:sz w:val="18"/>
              </w:rPr>
              <w:t>2组/箱</w:t>
            </w:r>
          </w:p>
        </w:tc>
        <w:tc>
          <w:tcPr>
            <w:tcW w:type="dxa" w:w="3024"/>
            <w:vAlign w:val="center"/>
          </w:tcPr>
          <w:p>
            <w:pPr>
              <w:spacing w:lineRule="auto" w:line="276"/>
              <w:jc w:val="center"/>
            </w:pPr>
            <w:r>
              <w:rPr>
                <w:rFonts w:ascii="Times New Roman" w:hAnsi="Times New Roman" w:eastAsia="宋体"/>
                <w:b w:val="0"/>
                <w:sz w:val="18"/>
              </w:rPr>
              <w:t>沿前沿均匀布置</w:t>
            </w:r>
          </w:p>
        </w:tc>
      </w:tr>
    </w:tbl>
    <w:p/>
    <w:p>
      <w:pPr>
        <w:pStyle w:val="2"/>
        <w:jc w:val="left"/>
      </w:pPr>
      <w:r>
        <w:rPr>
          <w:rFonts w:ascii="Times New Roman" w:hAnsi="Times New Roman" w:eastAsia="宋体"/>
          <w:b/>
          <w:sz w:val="24"/>
        </w:rPr>
        <w:t xml:space="preserve"> 重力式大圆筒方案</w:t>
      </w:r>
    </w:p>
    <w:p>
      <w:pPr>
        <w:pStyle w:val="3"/>
        <w:jc w:val="left"/>
      </w:pPr>
      <w:r>
        <w:rPr>
          <w:rFonts w:ascii="Times New Roman" w:hAnsi="Times New Roman" w:eastAsia="宋体"/>
          <w:b/>
          <w:sz w:val="24"/>
        </w:rPr>
        <w:t xml:space="preserve"> 结构概述</w:t>
      </w:r>
    </w:p>
    <w:p>
      <w:pPr>
        <w:spacing w:lineRule="auto" w:line="360" w:before="0" w:after="0"/>
        <w:ind w:firstLine="480"/>
      </w:pPr>
      <w:r>
        <w:rPr>
          <w:rFonts w:ascii="Times New Roman" w:hAnsi="Times New Roman" w:eastAsia="宋体"/>
          <w:sz w:val="24"/>
        </w:rPr>
        <w:t>大圆筒码头以大直径无底薄壁钢筋混凝土圆筒作为墙身，圆筒预制后吊运或托运至现场，安放在整平后的抛石基床上，筒内回填开山土石，上部通过现浇胸墙连接成整体。</w:t>
      </w:r>
    </w:p>
    <w:p>
      <w:pPr>
        <w:spacing w:lineRule="auto" w:line="360" w:before="0" w:after="0"/>
        <w:ind w:firstLine="480"/>
      </w:pPr>
      <w:r>
        <w:rPr>
          <w:rFonts w:ascii="Times New Roman" w:hAnsi="Times New Roman" w:eastAsia="宋体"/>
          <w:sz w:val="24"/>
        </w:rPr>
        <w:t>大圆筒方案构件形式简单，单个构件混凝土用量相对沉箱较少，施工速度较快。其不足是对大型起重船和吊装窗口要求较高，筒底坐床精度、筒间接缝防漏和筒内回填密实度控制较为关键。</w:t>
      </w:r>
    </w:p>
    <w:p>
      <w:pPr>
        <w:spacing w:lineRule="auto" w:line="360" w:before="0" w:after="0"/>
        <w:ind w:firstLine="480"/>
      </w:pPr>
      <w:r>
        <w:rPr>
          <w:rFonts w:ascii="Times New Roman" w:hAnsi="Times New Roman" w:eastAsia="宋体"/>
          <w:sz w:val="24"/>
        </w:rPr>
        <w:t>大圆筒方案利用圆形薄壁构件承受环向压力，构件形状简单，预制模板可重复使用。圆筒安放后，筒内回填形成主要稳定重量，上部胸墙把相邻圆筒连接成连续岸壁。该方案在某些港区可降低预制混凝土工程量，并缩短水上墙身施工时间。</w:t>
      </w:r>
    </w:p>
    <w:p>
      <w:pPr>
        <w:spacing w:lineRule="auto" w:line="360" w:before="0" w:after="0"/>
        <w:ind w:firstLine="480"/>
      </w:pPr>
      <w:r>
        <w:rPr>
          <w:rFonts w:ascii="Times New Roman" w:hAnsi="Times New Roman" w:eastAsia="宋体"/>
          <w:sz w:val="24"/>
        </w:rPr>
        <w:t>大圆筒方案的薄弱环节集中在筒底、筒间和筒后。筒底坐落面积为环形，基床局部不平会造成应力集中；筒间缝数量多，倒滤和止漏处理不到位时容易发生填料流失；筒后回填若压实不均，会放大局部变形和胸墙裂缝风险。</w:t>
      </w:r>
    </w:p>
    <w:p>
      <w:pPr>
        <w:pStyle w:val="3"/>
        <w:jc w:val="left"/>
      </w:pPr>
      <w:r>
        <w:rPr>
          <w:rFonts w:ascii="Times New Roman" w:hAnsi="Times New Roman" w:eastAsia="宋体"/>
          <w:b/>
          <w:sz w:val="24"/>
        </w:rPr>
        <w:t xml:space="preserve"> 主要设计数据</w:t>
      </w:r>
    </w:p>
    <w:p>
      <w:pPr>
        <w:spacing w:lineRule="auto" w:line="360" w:before="0" w:after="0"/>
        <w:ind w:firstLine="480"/>
      </w:pPr>
      <w:r>
        <w:rPr>
          <w:rFonts w:ascii="Times New Roman" w:hAnsi="Times New Roman" w:eastAsia="宋体"/>
          <w:sz w:val="24"/>
        </w:rPr>
        <w:t>本方案码头总长300m，分为10个30m结构段，每段设置2个大圆筒，共20个。圆筒外径12.0m，壁厚0.35m，高度15.5m，中心距15.0m，筒顶标高+4.00m，筒底标高-11.50m。</w:t>
      </w:r>
    </w:p>
    <w:p>
      <w:pPr>
        <w:spacing w:lineRule="auto" w:line="360" w:before="0" w:after="0"/>
        <w:ind w:firstLine="480"/>
      </w:pPr>
      <w:r>
        <w:rPr>
          <w:rFonts w:ascii="Times New Roman" w:hAnsi="Times New Roman" w:eastAsia="宋体"/>
          <w:sz w:val="24"/>
        </w:rPr>
        <w:t>圆筒采用C45钢筋混凝土预制，胸墙采用C40现浇混凝土。基床采用10~100kg块石，厚度约2.0m，港池侧坡脚设置200~300kg块石护面。圆筒后方设置倒滤层，筒间接缝处倒滤层加厚，以防止后方填料流失。</w:t>
      </w:r>
    </w:p>
    <w:p>
      <w:pPr>
        <w:keepNext/>
        <w:spacing w:lineRule="auto" w:line="300" w:before="0" w:after="120"/>
        <w:jc w:val="center"/>
      </w:pPr>
      <w:r>
        <w:rPr>
          <w:rFonts w:ascii="Times New Roman" w:hAnsi="Times New Roman" w:eastAsia="宋体"/>
          <w:b w:val="0"/>
          <w:sz w:val="20"/>
        </w:rPr>
        <w:t>表3-2 大圆筒方案主要参数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3168"/>
        <w:gridCol w:w="288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592"/>
            <w:vAlign w:val="center"/>
          </w:tcPr>
          <w:p>
            <w:pPr>
              <w:spacing w:lineRule="auto" w:line="276"/>
              <w:jc w:val="center"/>
            </w:pPr>
            <w:r>
              <w:rPr>
                <w:rFonts w:ascii="Times New Roman" w:hAnsi="Times New Roman" w:eastAsia="宋体"/>
                <w:b w:val="0"/>
                <w:sz w:val="18"/>
              </w:rPr>
              <w:t>码头长度</w:t>
            </w:r>
          </w:p>
        </w:tc>
        <w:tc>
          <w:tcPr>
            <w:tcW w:type="dxa" w:w="3168"/>
            <w:vAlign w:val="center"/>
          </w:tcPr>
          <w:p>
            <w:pPr>
              <w:spacing w:lineRule="auto" w:line="276"/>
              <w:jc w:val="center"/>
            </w:pPr>
            <w:r>
              <w:rPr>
                <w:rFonts w:ascii="Times New Roman" w:hAnsi="Times New Roman" w:eastAsia="宋体"/>
                <w:b w:val="0"/>
                <w:sz w:val="18"/>
              </w:rPr>
              <w:t>300m</w:t>
            </w:r>
          </w:p>
        </w:tc>
        <w:tc>
          <w:tcPr>
            <w:tcW w:type="dxa" w:w="2880"/>
            <w:vAlign w:val="center"/>
          </w:tcPr>
          <w:p>
            <w:pPr>
              <w:spacing w:lineRule="auto" w:line="276"/>
              <w:jc w:val="center"/>
            </w:pPr>
            <w:r>
              <w:rPr>
                <w:rFonts w:ascii="Times New Roman" w:hAnsi="Times New Roman" w:eastAsia="宋体"/>
                <w:b w:val="0"/>
                <w:sz w:val="18"/>
              </w:rPr>
              <w:t>10个分段</w:t>
            </w:r>
          </w:p>
        </w:tc>
      </w:tr>
      <w:tr>
        <w:tc>
          <w:tcPr>
            <w:tcW w:type="dxa" w:w="2592"/>
            <w:vAlign w:val="center"/>
          </w:tcPr>
          <w:p>
            <w:pPr>
              <w:spacing w:lineRule="auto" w:line="276"/>
              <w:jc w:val="center"/>
            </w:pPr>
            <w:r>
              <w:rPr>
                <w:rFonts w:ascii="Times New Roman" w:hAnsi="Times New Roman" w:eastAsia="宋体"/>
                <w:b w:val="0"/>
                <w:sz w:val="18"/>
              </w:rPr>
              <w:t>圆筒数量</w:t>
            </w:r>
          </w:p>
        </w:tc>
        <w:tc>
          <w:tcPr>
            <w:tcW w:type="dxa" w:w="3168"/>
            <w:vAlign w:val="center"/>
          </w:tcPr>
          <w:p>
            <w:pPr>
              <w:spacing w:lineRule="auto" w:line="276"/>
              <w:jc w:val="center"/>
            </w:pPr>
            <w:r>
              <w:rPr>
                <w:rFonts w:ascii="Times New Roman" w:hAnsi="Times New Roman" w:eastAsia="宋体"/>
                <w:b w:val="0"/>
                <w:sz w:val="18"/>
              </w:rPr>
              <w:t>20个</w:t>
            </w:r>
          </w:p>
        </w:tc>
        <w:tc>
          <w:tcPr>
            <w:tcW w:type="dxa" w:w="2880"/>
            <w:vAlign w:val="center"/>
          </w:tcPr>
          <w:p>
            <w:pPr>
              <w:spacing w:lineRule="auto" w:line="276"/>
              <w:jc w:val="center"/>
            </w:pPr>
            <w:r>
              <w:rPr>
                <w:rFonts w:ascii="Times New Roman" w:hAnsi="Times New Roman" w:eastAsia="宋体"/>
                <w:b w:val="0"/>
                <w:sz w:val="18"/>
              </w:rPr>
              <w:t>每段2个</w:t>
            </w:r>
          </w:p>
        </w:tc>
      </w:tr>
      <w:tr>
        <w:tc>
          <w:tcPr>
            <w:tcW w:type="dxa" w:w="2592"/>
            <w:vAlign w:val="center"/>
          </w:tcPr>
          <w:p>
            <w:pPr>
              <w:spacing w:lineRule="auto" w:line="276"/>
              <w:jc w:val="center"/>
            </w:pPr>
            <w:r>
              <w:rPr>
                <w:rFonts w:ascii="Times New Roman" w:hAnsi="Times New Roman" w:eastAsia="宋体"/>
                <w:b w:val="0"/>
                <w:sz w:val="18"/>
              </w:rPr>
              <w:t>圆筒外径</w:t>
            </w:r>
          </w:p>
        </w:tc>
        <w:tc>
          <w:tcPr>
            <w:tcW w:type="dxa" w:w="3168"/>
            <w:vAlign w:val="center"/>
          </w:tcPr>
          <w:p>
            <w:pPr>
              <w:spacing w:lineRule="auto" w:line="276"/>
              <w:jc w:val="center"/>
            </w:pPr>
            <w:r>
              <w:rPr>
                <w:rFonts w:ascii="Times New Roman" w:hAnsi="Times New Roman" w:eastAsia="宋体"/>
                <w:b w:val="0"/>
                <w:sz w:val="18"/>
              </w:rPr>
              <w:t>12.0m</w:t>
            </w:r>
          </w:p>
        </w:tc>
        <w:tc>
          <w:tcPr>
            <w:tcW w:type="dxa" w:w="2880"/>
            <w:vAlign w:val="center"/>
          </w:tcPr>
          <w:p>
            <w:pPr>
              <w:spacing w:lineRule="auto" w:line="276"/>
              <w:jc w:val="center"/>
            </w:pPr>
            <w:r>
              <w:rPr>
                <w:rFonts w:ascii="Times New Roman" w:hAnsi="Times New Roman" w:eastAsia="宋体"/>
                <w:b w:val="0"/>
                <w:sz w:val="18"/>
              </w:rPr>
              <w:t>结构平面控制</w:t>
            </w:r>
          </w:p>
        </w:tc>
      </w:tr>
      <w:tr>
        <w:tc>
          <w:tcPr>
            <w:tcW w:type="dxa" w:w="2592"/>
            <w:vAlign w:val="center"/>
          </w:tcPr>
          <w:p>
            <w:pPr>
              <w:spacing w:lineRule="auto" w:line="276"/>
              <w:jc w:val="center"/>
            </w:pPr>
            <w:r>
              <w:rPr>
                <w:rFonts w:ascii="Times New Roman" w:hAnsi="Times New Roman" w:eastAsia="宋体"/>
                <w:b w:val="0"/>
                <w:sz w:val="18"/>
              </w:rPr>
              <w:t>圆筒壁厚</w:t>
            </w:r>
          </w:p>
        </w:tc>
        <w:tc>
          <w:tcPr>
            <w:tcW w:type="dxa" w:w="3168"/>
            <w:vAlign w:val="center"/>
          </w:tcPr>
          <w:p>
            <w:pPr>
              <w:spacing w:lineRule="auto" w:line="276"/>
              <w:jc w:val="center"/>
            </w:pPr>
            <w:r>
              <w:rPr>
                <w:rFonts w:ascii="Times New Roman" w:hAnsi="Times New Roman" w:eastAsia="宋体"/>
                <w:b w:val="0"/>
                <w:sz w:val="18"/>
              </w:rPr>
              <w:t>0.35m</w:t>
            </w:r>
          </w:p>
        </w:tc>
        <w:tc>
          <w:tcPr>
            <w:tcW w:type="dxa" w:w="2880"/>
            <w:vAlign w:val="center"/>
          </w:tcPr>
          <w:p>
            <w:pPr>
              <w:spacing w:lineRule="auto" w:line="276"/>
              <w:jc w:val="center"/>
            </w:pPr>
            <w:r>
              <w:rPr>
                <w:rFonts w:ascii="Times New Roman" w:hAnsi="Times New Roman" w:eastAsia="宋体"/>
                <w:b w:val="0"/>
                <w:sz w:val="18"/>
              </w:rPr>
              <w:t>预制薄壁构件</w:t>
            </w:r>
          </w:p>
        </w:tc>
      </w:tr>
      <w:tr>
        <w:tc>
          <w:tcPr>
            <w:tcW w:type="dxa" w:w="2592"/>
            <w:vAlign w:val="center"/>
          </w:tcPr>
          <w:p>
            <w:pPr>
              <w:spacing w:lineRule="auto" w:line="276"/>
              <w:jc w:val="center"/>
            </w:pPr>
            <w:r>
              <w:rPr>
                <w:rFonts w:ascii="Times New Roman" w:hAnsi="Times New Roman" w:eastAsia="宋体"/>
                <w:b w:val="0"/>
                <w:sz w:val="18"/>
              </w:rPr>
              <w:t>圆筒高度</w:t>
            </w:r>
          </w:p>
        </w:tc>
        <w:tc>
          <w:tcPr>
            <w:tcW w:type="dxa" w:w="3168"/>
            <w:vAlign w:val="center"/>
          </w:tcPr>
          <w:p>
            <w:pPr>
              <w:spacing w:lineRule="auto" w:line="276"/>
              <w:jc w:val="center"/>
            </w:pPr>
            <w:r>
              <w:rPr>
                <w:rFonts w:ascii="Times New Roman" w:hAnsi="Times New Roman" w:eastAsia="宋体"/>
                <w:b w:val="0"/>
                <w:sz w:val="18"/>
              </w:rPr>
              <w:t>15.5m</w:t>
            </w:r>
          </w:p>
        </w:tc>
        <w:tc>
          <w:tcPr>
            <w:tcW w:type="dxa" w:w="2880"/>
            <w:vAlign w:val="center"/>
          </w:tcPr>
          <w:p>
            <w:pPr>
              <w:spacing w:lineRule="auto" w:line="276"/>
              <w:jc w:val="center"/>
            </w:pPr>
            <w:r>
              <w:rPr>
                <w:rFonts w:ascii="Times New Roman" w:hAnsi="Times New Roman" w:eastAsia="宋体"/>
                <w:b w:val="0"/>
                <w:sz w:val="18"/>
              </w:rPr>
              <w:t>筒顶+4.00m，筒底-11.50m</w:t>
            </w:r>
          </w:p>
        </w:tc>
      </w:tr>
      <w:tr>
        <w:tc>
          <w:tcPr>
            <w:tcW w:type="dxa" w:w="2592"/>
            <w:vAlign w:val="center"/>
          </w:tcPr>
          <w:p>
            <w:pPr>
              <w:spacing w:lineRule="auto" w:line="276"/>
              <w:jc w:val="center"/>
            </w:pPr>
            <w:r>
              <w:rPr>
                <w:rFonts w:ascii="Times New Roman" w:hAnsi="Times New Roman" w:eastAsia="宋体"/>
                <w:b w:val="0"/>
                <w:sz w:val="18"/>
              </w:rPr>
              <w:t>圆筒中心距</w:t>
            </w:r>
          </w:p>
        </w:tc>
        <w:tc>
          <w:tcPr>
            <w:tcW w:type="dxa" w:w="3168"/>
            <w:vAlign w:val="center"/>
          </w:tcPr>
          <w:p>
            <w:pPr>
              <w:spacing w:lineRule="auto" w:line="276"/>
              <w:jc w:val="center"/>
            </w:pPr>
            <w:r>
              <w:rPr>
                <w:rFonts w:ascii="Times New Roman" w:hAnsi="Times New Roman" w:eastAsia="宋体"/>
                <w:b w:val="0"/>
                <w:sz w:val="18"/>
              </w:rPr>
              <w:t>15.0m</w:t>
            </w:r>
          </w:p>
        </w:tc>
        <w:tc>
          <w:tcPr>
            <w:tcW w:type="dxa" w:w="2880"/>
            <w:vAlign w:val="center"/>
          </w:tcPr>
          <w:p>
            <w:pPr>
              <w:spacing w:lineRule="auto" w:line="276"/>
              <w:jc w:val="center"/>
            </w:pPr>
            <w:r>
              <w:rPr>
                <w:rFonts w:ascii="Times New Roman" w:hAnsi="Times New Roman" w:eastAsia="宋体"/>
                <w:b w:val="0"/>
                <w:sz w:val="18"/>
              </w:rPr>
              <w:t>与分段长度匹配</w:t>
            </w:r>
          </w:p>
        </w:tc>
      </w:tr>
      <w:tr>
        <w:tc>
          <w:tcPr>
            <w:tcW w:type="dxa" w:w="2592"/>
            <w:vAlign w:val="center"/>
          </w:tcPr>
          <w:p>
            <w:pPr>
              <w:spacing w:lineRule="auto" w:line="276"/>
              <w:jc w:val="center"/>
            </w:pPr>
            <w:r>
              <w:rPr>
                <w:rFonts w:ascii="Times New Roman" w:hAnsi="Times New Roman" w:eastAsia="宋体"/>
                <w:b w:val="0"/>
                <w:sz w:val="18"/>
              </w:rPr>
              <w:t>基床厚度</w:t>
            </w:r>
          </w:p>
        </w:tc>
        <w:tc>
          <w:tcPr>
            <w:tcW w:type="dxa" w:w="3168"/>
            <w:vAlign w:val="center"/>
          </w:tcPr>
          <w:p>
            <w:pPr>
              <w:spacing w:lineRule="auto" w:line="276"/>
              <w:jc w:val="center"/>
            </w:pPr>
            <w:r>
              <w:rPr>
                <w:rFonts w:ascii="Times New Roman" w:hAnsi="Times New Roman" w:eastAsia="宋体"/>
                <w:b w:val="0"/>
                <w:sz w:val="18"/>
              </w:rPr>
              <w:t>2.0m</w:t>
            </w:r>
          </w:p>
        </w:tc>
        <w:tc>
          <w:tcPr>
            <w:tcW w:type="dxa" w:w="2880"/>
            <w:vAlign w:val="center"/>
          </w:tcPr>
          <w:p>
            <w:pPr>
              <w:spacing w:lineRule="auto" w:line="276"/>
              <w:jc w:val="center"/>
            </w:pPr>
            <w:r>
              <w:rPr>
                <w:rFonts w:ascii="Times New Roman" w:hAnsi="Times New Roman" w:eastAsia="宋体"/>
                <w:b w:val="0"/>
                <w:sz w:val="18"/>
              </w:rPr>
              <w:t>块石基床</w:t>
            </w:r>
          </w:p>
        </w:tc>
      </w:tr>
      <w:tr>
        <w:tc>
          <w:tcPr>
            <w:tcW w:type="dxa" w:w="2592"/>
            <w:vAlign w:val="center"/>
          </w:tcPr>
          <w:p>
            <w:pPr>
              <w:spacing w:lineRule="auto" w:line="276"/>
              <w:jc w:val="center"/>
            </w:pPr>
            <w:r>
              <w:rPr>
                <w:rFonts w:ascii="Times New Roman" w:hAnsi="Times New Roman" w:eastAsia="宋体"/>
                <w:b w:val="0"/>
                <w:sz w:val="18"/>
              </w:rPr>
              <w:t>胸墙顶标高</w:t>
            </w:r>
          </w:p>
        </w:tc>
        <w:tc>
          <w:tcPr>
            <w:tcW w:type="dxa" w:w="3168"/>
            <w:vAlign w:val="center"/>
          </w:tcPr>
          <w:p>
            <w:pPr>
              <w:spacing w:lineRule="auto" w:line="276"/>
              <w:jc w:val="center"/>
            </w:pPr>
            <w:r>
              <w:rPr>
                <w:rFonts w:ascii="Times New Roman" w:hAnsi="Times New Roman" w:eastAsia="宋体"/>
                <w:b w:val="0"/>
                <w:sz w:val="18"/>
              </w:rPr>
              <w:t>+5.50m</w:t>
            </w:r>
          </w:p>
        </w:tc>
        <w:tc>
          <w:tcPr>
            <w:tcW w:type="dxa" w:w="2880"/>
            <w:vAlign w:val="center"/>
          </w:tcPr>
          <w:p>
            <w:pPr>
              <w:spacing w:lineRule="auto" w:line="276"/>
              <w:jc w:val="center"/>
            </w:pPr>
            <w:r>
              <w:rPr>
                <w:rFonts w:ascii="Times New Roman" w:hAnsi="Times New Roman" w:eastAsia="宋体"/>
                <w:b w:val="0"/>
                <w:sz w:val="18"/>
              </w:rPr>
              <w:t>与码头面衔接</w:t>
            </w:r>
          </w:p>
        </w:tc>
      </w:tr>
    </w:tbl>
    <w:p/>
    <w:p>
      <w:pPr>
        <w:pStyle w:val="2"/>
        <w:jc w:val="left"/>
      </w:pPr>
      <w:r>
        <w:rPr>
          <w:rFonts w:ascii="Times New Roman" w:hAnsi="Times New Roman" w:eastAsia="宋体"/>
          <w:b/>
          <w:sz w:val="24"/>
        </w:rPr>
        <w:t xml:space="preserve"> 技术经济比较与推荐方案</w:t>
      </w:r>
    </w:p>
    <w:p>
      <w:pPr>
        <w:spacing w:before="120" w:after="0"/>
        <w:jc w:val="center"/>
      </w:pPr>
      <w:r>
        <w:drawing>
          <wp:inline xmlns:a="http://schemas.openxmlformats.org/drawingml/2006/main" xmlns:pic="http://schemas.openxmlformats.org/drawingml/2006/picture">
            <wp:extent cx="5257800" cy="3505200"/>
            <wp:docPr id="3" name="Picture 3"/>
            <wp:cNvGraphicFramePr>
              <a:graphicFrameLocks noChangeAspect="1"/>
            </wp:cNvGraphicFramePr>
            <a:graphic>
              <a:graphicData uri="http://schemas.openxmlformats.org/drawingml/2006/picture">
                <pic:pic>
                  <pic:nvPicPr>
                    <pic:cNvPr id="0" name="fig3-1-scheme-comparison-imagegen.png"/>
                    <pic:cNvPicPr/>
                  </pic:nvPicPr>
                  <pic:blipFill>
                    <a:blip r:embed="rId27"/>
                    <a:stretch>
                      <a:fillRect/>
                    </a:stretch>
                  </pic:blipFill>
                  <pic:spPr>
                    <a:xfrm>
                      <a:off x="0" y="0"/>
                      <a:ext cx="5257800" cy="35052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图3-1 沉箱方案与大圆筒方案比选逻辑</w:t>
      </w:r>
    </w:p>
    <w:p>
      <w:pPr>
        <w:spacing w:lineRule="auto" w:line="360" w:before="0" w:after="0"/>
        <w:ind w:firstLine="480"/>
      </w:pPr>
      <w:r>
        <w:rPr>
          <w:rFonts w:ascii="Times New Roman" w:hAnsi="Times New Roman" w:eastAsia="宋体"/>
          <w:sz w:val="24"/>
        </w:rPr>
        <w:t>图3-1将沉箱方案和大圆筒方案放在同一评价框架下比较。沉箱方案在地基适应性、接缝防漏和后期维护方面更稳定，大圆筒方案在构件形式和部分工程量方面具有一定优势，但对吊装设备、筒间防漏和坐床精度要求较高。因此，本设计将沉箱方案作为推荐方案，将大圆筒方案作为结构比选方案保留。</w:t>
      </w:r>
    </w:p>
    <w:p>
      <w:pPr>
        <w:spacing w:lineRule="auto" w:line="360" w:before="0" w:after="0"/>
        <w:ind w:firstLine="480"/>
      </w:pPr>
      <w:r>
        <w:rPr>
          <w:rFonts w:ascii="Times New Roman" w:hAnsi="Times New Roman" w:eastAsia="宋体"/>
          <w:sz w:val="24"/>
        </w:rPr>
        <w:t>从地基适应性看，沉箱方案和大圆筒方案均需可靠基床和较好持力层。沉箱底面积较大，基底压力分布相对均匀；大圆筒底部呈离散布置，对坐床平整度和局部承载要求更高。</w:t>
      </w:r>
    </w:p>
    <w:p>
      <w:pPr>
        <w:spacing w:lineRule="auto" w:line="360" w:before="0" w:after="0"/>
        <w:ind w:firstLine="480"/>
      </w:pPr>
      <w:r>
        <w:rPr>
          <w:rFonts w:ascii="Times New Roman" w:hAnsi="Times New Roman" w:eastAsia="宋体"/>
          <w:sz w:val="24"/>
        </w:rPr>
        <w:t>从施工组织看，沉箱方案需要预制场、浮运和沉放条件，施工工序成熟；大圆筒方案对大型起重设备依赖更强，吊装窗口受风浪影响较明显。若当地具备沉箱预制和浮运能力，沉箱方案施工风险更易控制。</w:t>
      </w:r>
      <w:r>
        <w:rPr>
          <w:rFonts w:ascii="Times New Roman" w:hAnsi="Times New Roman" w:eastAsia="宋体"/>
          <w:sz w:val="24"/>
          <w:vertAlign w:val="superscript"/>
        </w:rPr>
        <w:t>[10]</w:t>
      </w:r>
    </w:p>
    <w:p>
      <w:pPr>
        <w:spacing w:lineRule="auto" w:line="360" w:before="0" w:after="0"/>
        <w:ind w:firstLine="480"/>
      </w:pPr>
      <w:r>
        <w:rPr>
          <w:rFonts w:ascii="Times New Roman" w:hAnsi="Times New Roman" w:eastAsia="宋体"/>
          <w:sz w:val="24"/>
        </w:rPr>
        <w:t>从运行维护看，沉箱连续岸壁线型整齐，胸墙、护舷和系船柱布置规则，后期检查维护便利。大圆筒方案接缝较多，筒间倒滤、防漏和差异沉降需长期关注。</w:t>
      </w:r>
    </w:p>
    <w:p>
      <w:pPr>
        <w:keepNext/>
        <w:spacing w:lineRule="auto" w:line="300" w:before="0" w:after="120"/>
        <w:jc w:val="center"/>
      </w:pPr>
      <w:r>
        <w:rPr>
          <w:rFonts w:ascii="Times New Roman" w:hAnsi="Times New Roman" w:eastAsia="宋体"/>
          <w:b w:val="0"/>
          <w:sz w:val="20"/>
        </w:rPr>
        <w:t>表3-3 结构方案综合比选</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944"/>
        <w:gridCol w:w="2520"/>
        <w:gridCol w:w="2520"/>
        <w:gridCol w:w="1800"/>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比较项目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沉箱方案</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大圆筒方案</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评价</w:t>
            </w:r>
          </w:p>
        </w:tc>
      </w:tr>
      <w:tr>
        <w:tc>
          <w:tcPr>
            <w:tcW w:type="dxa" w:w="1944"/>
            <w:vAlign w:val="center"/>
          </w:tcPr>
          <w:p>
            <w:pPr>
              <w:spacing w:lineRule="auto" w:line="276"/>
              <w:jc w:val="center"/>
            </w:pPr>
            <w:r>
              <w:rPr>
                <w:rFonts w:ascii="Times New Roman" w:hAnsi="Times New Roman" w:eastAsia="宋体"/>
                <w:b w:val="0"/>
                <w:sz w:val="18"/>
              </w:rPr>
              <w:t>结构整体性</w:t>
            </w:r>
          </w:p>
        </w:tc>
        <w:tc>
          <w:tcPr>
            <w:tcW w:type="dxa" w:w="2520"/>
            <w:vAlign w:val="center"/>
          </w:tcPr>
          <w:p>
            <w:pPr>
              <w:spacing w:lineRule="auto" w:line="276"/>
              <w:jc w:val="center"/>
            </w:pPr>
            <w:r>
              <w:rPr>
                <w:rFonts w:ascii="Times New Roman" w:hAnsi="Times New Roman" w:eastAsia="宋体"/>
                <w:b w:val="0"/>
                <w:sz w:val="18"/>
              </w:rPr>
              <w:t>整体性较好，分段明确</w:t>
            </w:r>
          </w:p>
        </w:tc>
        <w:tc>
          <w:tcPr>
            <w:tcW w:type="dxa" w:w="2520"/>
            <w:vAlign w:val="center"/>
          </w:tcPr>
          <w:p>
            <w:pPr>
              <w:spacing w:lineRule="auto" w:line="276"/>
              <w:jc w:val="center"/>
            </w:pPr>
            <w:r>
              <w:rPr>
                <w:rFonts w:ascii="Times New Roman" w:hAnsi="Times New Roman" w:eastAsia="宋体"/>
                <w:b w:val="0"/>
                <w:sz w:val="18"/>
              </w:rPr>
              <w:t>筒间接缝较多</w:t>
            </w:r>
          </w:p>
        </w:tc>
        <w:tc>
          <w:tcPr>
            <w:tcW w:type="dxa" w:w="1800"/>
            <w:vAlign w:val="center"/>
          </w:tcPr>
          <w:p>
            <w:pPr>
              <w:spacing w:lineRule="auto" w:line="276"/>
              <w:jc w:val="center"/>
            </w:pPr>
            <w:r>
              <w:rPr>
                <w:rFonts w:ascii="Times New Roman" w:hAnsi="Times New Roman" w:eastAsia="宋体"/>
                <w:b w:val="0"/>
                <w:sz w:val="18"/>
              </w:rPr>
              <w:t>沉箱较优</w:t>
            </w:r>
          </w:p>
        </w:tc>
      </w:tr>
      <w:tr>
        <w:tc>
          <w:tcPr>
            <w:tcW w:type="dxa" w:w="1944"/>
            <w:vAlign w:val="center"/>
          </w:tcPr>
          <w:p>
            <w:pPr>
              <w:spacing w:lineRule="auto" w:line="276"/>
              <w:jc w:val="center"/>
            </w:pPr>
            <w:r>
              <w:rPr>
                <w:rFonts w:ascii="Times New Roman" w:hAnsi="Times New Roman" w:eastAsia="宋体"/>
                <w:b w:val="0"/>
                <w:sz w:val="18"/>
              </w:rPr>
              <w:t>施工条件</w:t>
            </w:r>
          </w:p>
        </w:tc>
        <w:tc>
          <w:tcPr>
            <w:tcW w:type="dxa" w:w="2520"/>
            <w:vAlign w:val="center"/>
          </w:tcPr>
          <w:p>
            <w:pPr>
              <w:spacing w:lineRule="auto" w:line="276"/>
              <w:jc w:val="center"/>
            </w:pPr>
            <w:r>
              <w:rPr>
                <w:rFonts w:ascii="Times New Roman" w:hAnsi="Times New Roman" w:eastAsia="宋体"/>
                <w:b w:val="0"/>
                <w:sz w:val="18"/>
              </w:rPr>
              <w:t>需预制、浮运、沉放</w:t>
            </w:r>
          </w:p>
        </w:tc>
        <w:tc>
          <w:tcPr>
            <w:tcW w:type="dxa" w:w="2520"/>
            <w:vAlign w:val="center"/>
          </w:tcPr>
          <w:p>
            <w:pPr>
              <w:spacing w:lineRule="auto" w:line="276"/>
              <w:jc w:val="center"/>
            </w:pPr>
            <w:r>
              <w:rPr>
                <w:rFonts w:ascii="Times New Roman" w:hAnsi="Times New Roman" w:eastAsia="宋体"/>
                <w:b w:val="0"/>
                <w:sz w:val="18"/>
              </w:rPr>
              <w:t>需大型吊装设备</w:t>
            </w:r>
          </w:p>
        </w:tc>
        <w:tc>
          <w:tcPr>
            <w:tcW w:type="dxa" w:w="1800"/>
            <w:vAlign w:val="center"/>
          </w:tcPr>
          <w:p>
            <w:pPr>
              <w:spacing w:lineRule="auto" w:line="276"/>
              <w:jc w:val="center"/>
            </w:pPr>
            <w:r>
              <w:rPr>
                <w:rFonts w:ascii="Times New Roman" w:hAnsi="Times New Roman" w:eastAsia="宋体"/>
                <w:b w:val="0"/>
                <w:sz w:val="18"/>
              </w:rPr>
              <w:t>视设备条件确定</w:t>
            </w:r>
          </w:p>
        </w:tc>
      </w:tr>
      <w:tr>
        <w:tc>
          <w:tcPr>
            <w:tcW w:type="dxa" w:w="1944"/>
            <w:vAlign w:val="center"/>
          </w:tcPr>
          <w:p>
            <w:pPr>
              <w:spacing w:lineRule="auto" w:line="276"/>
              <w:jc w:val="center"/>
            </w:pPr>
            <w:r>
              <w:rPr>
                <w:rFonts w:ascii="Times New Roman" w:hAnsi="Times New Roman" w:eastAsia="宋体"/>
                <w:b w:val="0"/>
                <w:sz w:val="18"/>
              </w:rPr>
              <w:t>地基适应性</w:t>
            </w:r>
          </w:p>
        </w:tc>
        <w:tc>
          <w:tcPr>
            <w:tcW w:type="dxa" w:w="2520"/>
            <w:vAlign w:val="center"/>
          </w:tcPr>
          <w:p>
            <w:pPr>
              <w:spacing w:lineRule="auto" w:line="276"/>
              <w:jc w:val="center"/>
            </w:pPr>
            <w:r>
              <w:rPr>
                <w:rFonts w:ascii="Times New Roman" w:hAnsi="Times New Roman" w:eastAsia="宋体"/>
                <w:b w:val="0"/>
                <w:sz w:val="18"/>
              </w:rPr>
              <w:t>底面积大，压力分布较均匀</w:t>
            </w:r>
          </w:p>
        </w:tc>
        <w:tc>
          <w:tcPr>
            <w:tcW w:type="dxa" w:w="2520"/>
            <w:vAlign w:val="center"/>
          </w:tcPr>
          <w:p>
            <w:pPr>
              <w:spacing w:lineRule="auto" w:line="276"/>
              <w:jc w:val="center"/>
            </w:pPr>
            <w:r>
              <w:rPr>
                <w:rFonts w:ascii="Times New Roman" w:hAnsi="Times New Roman" w:eastAsia="宋体"/>
                <w:b w:val="0"/>
                <w:sz w:val="18"/>
              </w:rPr>
              <w:t>局部坐床控制要求高</w:t>
            </w:r>
          </w:p>
        </w:tc>
        <w:tc>
          <w:tcPr>
            <w:tcW w:type="dxa" w:w="1800"/>
            <w:vAlign w:val="center"/>
          </w:tcPr>
          <w:p>
            <w:pPr>
              <w:spacing w:lineRule="auto" w:line="276"/>
              <w:jc w:val="center"/>
            </w:pPr>
            <w:r>
              <w:rPr>
                <w:rFonts w:ascii="Times New Roman" w:hAnsi="Times New Roman" w:eastAsia="宋体"/>
                <w:b w:val="0"/>
                <w:sz w:val="18"/>
              </w:rPr>
              <w:t>沉箱较优</w:t>
            </w:r>
          </w:p>
        </w:tc>
      </w:tr>
      <w:tr>
        <w:tc>
          <w:tcPr>
            <w:tcW w:type="dxa" w:w="1944"/>
            <w:vAlign w:val="center"/>
          </w:tcPr>
          <w:p>
            <w:pPr>
              <w:spacing w:lineRule="auto" w:line="276"/>
              <w:jc w:val="center"/>
            </w:pPr>
            <w:r>
              <w:rPr>
                <w:rFonts w:ascii="Times New Roman" w:hAnsi="Times New Roman" w:eastAsia="宋体"/>
                <w:b w:val="0"/>
                <w:sz w:val="18"/>
              </w:rPr>
              <w:t>工程量</w:t>
            </w:r>
          </w:p>
        </w:tc>
        <w:tc>
          <w:tcPr>
            <w:tcW w:type="dxa" w:w="2520"/>
            <w:vAlign w:val="center"/>
          </w:tcPr>
          <w:p>
            <w:pPr>
              <w:spacing w:lineRule="auto" w:line="276"/>
              <w:jc w:val="center"/>
            </w:pPr>
            <w:r>
              <w:rPr>
                <w:rFonts w:ascii="Times New Roman" w:hAnsi="Times New Roman" w:eastAsia="宋体"/>
                <w:b w:val="0"/>
                <w:sz w:val="18"/>
              </w:rPr>
              <w:t>混凝土和钢筋用量较大</w:t>
            </w:r>
          </w:p>
        </w:tc>
        <w:tc>
          <w:tcPr>
            <w:tcW w:type="dxa" w:w="2520"/>
            <w:vAlign w:val="center"/>
          </w:tcPr>
          <w:p>
            <w:pPr>
              <w:spacing w:lineRule="auto" w:line="276"/>
              <w:jc w:val="center"/>
            </w:pPr>
            <w:r>
              <w:rPr>
                <w:rFonts w:ascii="Times New Roman" w:hAnsi="Times New Roman" w:eastAsia="宋体"/>
                <w:b w:val="0"/>
                <w:sz w:val="18"/>
              </w:rPr>
              <w:t>构件用量相对较少</w:t>
            </w:r>
          </w:p>
        </w:tc>
        <w:tc>
          <w:tcPr>
            <w:tcW w:type="dxa" w:w="1800"/>
            <w:vAlign w:val="center"/>
          </w:tcPr>
          <w:p>
            <w:pPr>
              <w:spacing w:lineRule="auto" w:line="276"/>
              <w:jc w:val="center"/>
            </w:pPr>
            <w:r>
              <w:rPr>
                <w:rFonts w:ascii="Times New Roman" w:hAnsi="Times New Roman" w:eastAsia="宋体"/>
                <w:b w:val="0"/>
                <w:sz w:val="18"/>
              </w:rPr>
              <w:t>大圆筒较优</w:t>
            </w:r>
          </w:p>
        </w:tc>
      </w:tr>
      <w:tr>
        <w:tc>
          <w:tcPr>
            <w:tcW w:type="dxa" w:w="1944"/>
            <w:vAlign w:val="center"/>
          </w:tcPr>
          <w:p>
            <w:pPr>
              <w:spacing w:lineRule="auto" w:line="276"/>
              <w:jc w:val="center"/>
            </w:pPr>
            <w:r>
              <w:rPr>
                <w:rFonts w:ascii="Times New Roman" w:hAnsi="Times New Roman" w:eastAsia="宋体"/>
                <w:b w:val="0"/>
                <w:sz w:val="18"/>
              </w:rPr>
              <w:t>维护管理</w:t>
            </w:r>
          </w:p>
        </w:tc>
        <w:tc>
          <w:tcPr>
            <w:tcW w:type="dxa" w:w="2520"/>
            <w:vAlign w:val="center"/>
          </w:tcPr>
          <w:p>
            <w:pPr>
              <w:spacing w:lineRule="auto" w:line="276"/>
              <w:jc w:val="center"/>
            </w:pPr>
            <w:r>
              <w:rPr>
                <w:rFonts w:ascii="Times New Roman" w:hAnsi="Times New Roman" w:eastAsia="宋体"/>
                <w:b w:val="0"/>
                <w:sz w:val="18"/>
              </w:rPr>
              <w:t>岸壁连续，附属设施布置规则</w:t>
            </w:r>
          </w:p>
        </w:tc>
        <w:tc>
          <w:tcPr>
            <w:tcW w:type="dxa" w:w="2520"/>
            <w:vAlign w:val="center"/>
          </w:tcPr>
          <w:p>
            <w:pPr>
              <w:spacing w:lineRule="auto" w:line="276"/>
              <w:jc w:val="center"/>
            </w:pPr>
            <w:r>
              <w:rPr>
                <w:rFonts w:ascii="Times New Roman" w:hAnsi="Times New Roman" w:eastAsia="宋体"/>
                <w:b w:val="0"/>
                <w:sz w:val="18"/>
              </w:rPr>
              <w:t>接缝和倒滤层需关注</w:t>
            </w:r>
          </w:p>
        </w:tc>
        <w:tc>
          <w:tcPr>
            <w:tcW w:type="dxa" w:w="1800"/>
            <w:vAlign w:val="center"/>
          </w:tcPr>
          <w:p>
            <w:pPr>
              <w:spacing w:lineRule="auto" w:line="276"/>
              <w:jc w:val="center"/>
            </w:pPr>
            <w:r>
              <w:rPr>
                <w:rFonts w:ascii="Times New Roman" w:hAnsi="Times New Roman" w:eastAsia="宋体"/>
                <w:b w:val="0"/>
                <w:sz w:val="18"/>
              </w:rPr>
              <w:t>沉箱较优</w:t>
            </w:r>
          </w:p>
        </w:tc>
      </w:tr>
      <w:tr>
        <w:tc>
          <w:tcPr>
            <w:tcW w:type="dxa" w:w="1944"/>
            <w:vAlign w:val="center"/>
          </w:tcPr>
          <w:p>
            <w:pPr>
              <w:spacing w:lineRule="auto" w:line="276"/>
              <w:jc w:val="center"/>
            </w:pPr>
            <w:r>
              <w:rPr>
                <w:rFonts w:ascii="Times New Roman" w:hAnsi="Times New Roman" w:eastAsia="宋体"/>
                <w:b w:val="0"/>
                <w:sz w:val="18"/>
              </w:rPr>
              <w:t>图纸表达</w:t>
            </w:r>
          </w:p>
        </w:tc>
        <w:tc>
          <w:tcPr>
            <w:tcW w:type="dxa" w:w="2520"/>
            <w:vAlign w:val="center"/>
          </w:tcPr>
          <w:p>
            <w:pPr>
              <w:spacing w:lineRule="auto" w:line="276"/>
              <w:jc w:val="center"/>
            </w:pPr>
            <w:r>
              <w:rPr>
                <w:rFonts w:ascii="Times New Roman" w:hAnsi="Times New Roman" w:eastAsia="宋体"/>
                <w:b w:val="0"/>
                <w:sz w:val="18"/>
              </w:rPr>
              <w:t>平立剖面清晰，构造完整</w:t>
            </w:r>
          </w:p>
        </w:tc>
        <w:tc>
          <w:tcPr>
            <w:tcW w:type="dxa" w:w="2520"/>
            <w:vAlign w:val="center"/>
          </w:tcPr>
          <w:p>
            <w:pPr>
              <w:spacing w:lineRule="auto" w:line="276"/>
              <w:jc w:val="center"/>
            </w:pPr>
            <w:r>
              <w:rPr>
                <w:rFonts w:ascii="Times New Roman" w:hAnsi="Times New Roman" w:eastAsia="宋体"/>
                <w:b w:val="0"/>
                <w:sz w:val="18"/>
              </w:rPr>
              <w:t>能展示替代方案</w:t>
            </w:r>
          </w:p>
        </w:tc>
        <w:tc>
          <w:tcPr>
            <w:tcW w:type="dxa" w:w="1800"/>
            <w:vAlign w:val="center"/>
          </w:tcPr>
          <w:p>
            <w:pPr>
              <w:spacing w:lineRule="auto" w:line="276"/>
              <w:jc w:val="center"/>
            </w:pPr>
            <w:r>
              <w:rPr>
                <w:rFonts w:ascii="Times New Roman" w:hAnsi="Times New Roman" w:eastAsia="宋体"/>
                <w:b w:val="0"/>
                <w:sz w:val="18"/>
              </w:rPr>
              <w:t>均满足毕业设计表达</w:t>
            </w:r>
          </w:p>
        </w:tc>
      </w:tr>
    </w:tbl>
    <w:p/>
    <w:p>
      <w:pPr>
        <w:spacing w:lineRule="auto" w:line="360" w:before="0" w:after="0"/>
        <w:ind w:firstLine="480"/>
      </w:pPr>
      <w:r>
        <w:rPr>
          <w:rFonts w:ascii="Times New Roman" w:hAnsi="Times New Roman" w:eastAsia="宋体"/>
          <w:sz w:val="24"/>
        </w:rPr>
        <w:t>综合工程适应性、施工风险和运行维护，本设计推荐沉箱重力式码头作为本阶段较优方案，大圆筒方案作为比选方案保留。后续施工图阶段应结合更完整的地质勘察、造价指标和施工设备条件进一步复核。</w:t>
      </w:r>
    </w:p>
    <w:p>
      <w:pPr>
        <w:spacing w:lineRule="auto" w:line="360" w:before="0" w:after="0"/>
        <w:ind w:firstLine="480"/>
      </w:pPr>
      <w:r>
        <w:rPr>
          <w:rFonts w:ascii="Times New Roman" w:hAnsi="Times New Roman" w:eastAsia="宋体"/>
          <w:sz w:val="24"/>
        </w:rPr>
        <w:t>若从毕业设计成果完整性看，两种方案均能支撑平面、立面、剖面、构造和计算表达。沉箱方案适合作为推荐方案展开详细构造和稳定验算，大圆筒方案适合作为比选方案体现结构选择过程。第七章继续在统一工况下计算两种方案的竖向力、水平作用、抗滑、抗倾覆和基床应力。</w:t>
      </w:r>
    </w:p>
    <w:p>
      <w:pPr>
        <w:spacing w:lineRule="auto" w:line="360" w:before="0" w:after="0"/>
        <w:ind w:firstLine="480"/>
      </w:pPr>
      <w:r>
        <w:rPr>
          <w:rFonts w:ascii="Times New Roman" w:hAnsi="Times New Roman" w:eastAsia="宋体"/>
          <w:sz w:val="24"/>
        </w:rPr>
        <w:t>本设计最终推荐沉箱方案，并不否定大圆筒方案的可行性。大圆筒方案在预制混凝土量方面有优势，若工程所在地具备大型吊装船、成熟接缝处理经验和较高基床整平能力，也可以作为实施方案。结合本工程图纸深度、港区维护便利性和结构稳定储备，沉箱方案更适合本说明书的主线。</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本章完成了沉箱方案和大圆筒方案的结构比较。两种方案均可满足3万吨级集装箱泊位的岸壁布置要求，但沉箱方案整体性和可维护性更好，推荐作为本次说明书的主方案。</w:t>
      </w:r>
    </w:p>
    <w:p>
      <w:pPr>
        <w:spacing w:lineRule="auto" w:line="360" w:before="0" w:after="0"/>
        <w:ind w:firstLine="480"/>
      </w:pPr>
      <w:r>
        <w:rPr>
          <w:rFonts w:ascii="Times New Roman" w:hAnsi="Times New Roman" w:eastAsia="宋体"/>
          <w:sz w:val="24"/>
        </w:rPr>
        <w:t>方案比选的结论为后续章节提供了清晰分工：总平面和装卸工艺按推荐沉箱码头布置，结构图纸同时展示沉箱和大圆筒两个方案，计算章节则用同一荷载条件检验两种方案的合理性。</w:t>
      </w:r>
    </w:p>
    <w:p>
      <w:pPr>
        <w:pStyle w:val="1"/>
        <w:pageBreakBefore/>
        <w:jc w:val="center"/>
      </w:pPr>
      <w:r>
        <w:rPr>
          <w:rFonts w:ascii="Times New Roman" w:hAnsi="Times New Roman" w:eastAsia="宋体"/>
          <w:b/>
          <w:sz w:val="30"/>
        </w:rPr>
        <w:t xml:space="preserve"> 水域及陆域布置</w:t>
      </w:r>
    </w:p>
    <w:p>
      <w:pPr>
        <w:pStyle w:val="2"/>
        <w:jc w:val="left"/>
      </w:pPr>
      <w:r>
        <w:rPr>
          <w:rFonts w:ascii="Times New Roman" w:hAnsi="Times New Roman" w:eastAsia="宋体"/>
          <w:b/>
          <w:sz w:val="24"/>
        </w:rPr>
        <w:t xml:space="preserve"> 设计基础参数汇总</w:t>
      </w:r>
    </w:p>
    <w:p>
      <w:pPr>
        <w:spacing w:lineRule="auto" w:line="360" w:before="0" w:after="0"/>
        <w:ind w:firstLine="480"/>
      </w:pPr>
      <w:r>
        <w:rPr>
          <w:rFonts w:ascii="Times New Roman" w:hAnsi="Times New Roman" w:eastAsia="宋体"/>
          <w:sz w:val="24"/>
        </w:rPr>
        <w:t>水域和陆域布置以3万吨级集装箱船、300m码头前沿线和50万TEU年通过能力为控制条件。总平面既要满足船舶靠离泊、掉头和进出港安全，也要保证岸桥、集卡、堆场和闸口之间的短捷流线。</w:t>
      </w:r>
    </w:p>
    <w:p>
      <w:pPr>
        <w:keepNext/>
        <w:spacing w:lineRule="auto" w:line="300" w:before="0" w:after="120"/>
        <w:jc w:val="center"/>
      </w:pPr>
      <w:r>
        <w:rPr>
          <w:rFonts w:ascii="Times New Roman" w:hAnsi="Times New Roman" w:eastAsia="宋体"/>
          <w:b w:val="0"/>
          <w:sz w:val="20"/>
        </w:rPr>
        <w:t>表4-1 总平面设计基础参数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088"/>
        <w:gridCol w:w="1080"/>
        <w:gridCol w:w="936"/>
        <w:gridCol w:w="1296"/>
        <w:gridCol w:w="2880"/>
      </w:tblGrid>
      <w:tr>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参数名称</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符号</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单位</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备注</w:t>
            </w:r>
          </w:p>
        </w:tc>
      </w:tr>
      <w:tr>
        <w:tc>
          <w:tcPr>
            <w:tcW w:type="dxa" w:w="2088"/>
            <w:vAlign w:val="center"/>
          </w:tcPr>
          <w:p>
            <w:pPr>
              <w:spacing w:lineRule="auto" w:line="276"/>
              <w:jc w:val="center"/>
            </w:pPr>
            <w:r>
              <w:rPr>
                <w:rFonts w:ascii="Times New Roman" w:hAnsi="Times New Roman" w:eastAsia="宋体"/>
                <w:b w:val="0"/>
                <w:sz w:val="18"/>
              </w:rPr>
              <w:t>设计船型吨级</w:t>
            </w:r>
          </w:p>
        </w:tc>
        <w:tc>
          <w:tcPr>
            <w:tcW w:type="dxa" w:w="1080"/>
            <w:vAlign w:val="center"/>
          </w:tcPr>
          <w:p>
            <w:pPr>
              <w:spacing w:lineRule="auto" w:line="276"/>
              <w:jc w:val="center"/>
            </w:pPr>
            <w:r>
              <w:rPr>
                <w:rFonts w:ascii="Times New Roman" w:hAnsi="Times New Roman" w:eastAsia="宋体"/>
                <w:b w:val="0"/>
                <w:sz w:val="18"/>
              </w:rPr>
              <w:t>DWT</w:t>
            </w:r>
          </w:p>
        </w:tc>
        <w:tc>
          <w:tcPr>
            <w:tcW w:type="dxa" w:w="936"/>
            <w:vAlign w:val="center"/>
          </w:tcPr>
          <w:p>
            <w:pPr>
              <w:spacing w:lineRule="auto" w:line="276"/>
              <w:jc w:val="center"/>
            </w:pPr>
            <w:r>
              <w:rPr>
                <w:rFonts w:ascii="Times New Roman" w:hAnsi="Times New Roman" w:eastAsia="宋体"/>
                <w:b w:val="0"/>
                <w:sz w:val="18"/>
              </w:rPr>
              <w:t>t</w:t>
            </w:r>
          </w:p>
        </w:tc>
        <w:tc>
          <w:tcPr>
            <w:tcW w:type="dxa" w:w="1296"/>
            <w:vAlign w:val="center"/>
          </w:tcPr>
          <w:p>
            <w:pPr>
              <w:spacing w:lineRule="auto" w:line="276"/>
              <w:jc w:val="center"/>
            </w:pPr>
            <w:r>
              <w:rPr>
                <w:rFonts w:ascii="Times New Roman" w:hAnsi="Times New Roman" w:eastAsia="宋体"/>
                <w:b w:val="0"/>
                <w:sz w:val="18"/>
              </w:rPr>
              <w:t>30000</w:t>
            </w:r>
          </w:p>
        </w:tc>
        <w:tc>
          <w:tcPr>
            <w:tcW w:type="dxa" w:w="2880"/>
            <w:vAlign w:val="center"/>
          </w:tcPr>
          <w:p>
            <w:pPr>
              <w:spacing w:lineRule="auto" w:line="276"/>
              <w:jc w:val="center"/>
            </w:pPr>
            <w:r>
              <w:rPr>
                <w:rFonts w:ascii="Times New Roman" w:hAnsi="Times New Roman" w:eastAsia="宋体"/>
                <w:b w:val="0"/>
                <w:sz w:val="18"/>
              </w:rPr>
              <w:t>集装箱船</w:t>
            </w:r>
          </w:p>
        </w:tc>
      </w:tr>
      <w:tr>
        <w:tc>
          <w:tcPr>
            <w:tcW w:type="dxa" w:w="2088"/>
            <w:vAlign w:val="center"/>
          </w:tcPr>
          <w:p>
            <w:pPr>
              <w:spacing w:lineRule="auto" w:line="276"/>
              <w:jc w:val="center"/>
            </w:pPr>
            <w:r>
              <w:rPr>
                <w:rFonts w:ascii="Times New Roman" w:hAnsi="Times New Roman" w:eastAsia="宋体"/>
                <w:b w:val="0"/>
                <w:sz w:val="18"/>
              </w:rPr>
              <w:t>设计船长</w:t>
            </w:r>
          </w:p>
        </w:tc>
        <w:tc>
          <w:tcPr>
            <w:tcW w:type="dxa" w:w="1080"/>
            <w:vAlign w:val="center"/>
          </w:tcPr>
          <w:p>
            <w:pPr>
              <w:spacing w:lineRule="auto" w:line="276"/>
              <w:jc w:val="center"/>
            </w:pPr>
            <w:r>
              <w:rPr>
                <w:rFonts w:ascii="Times New Roman" w:hAnsi="Times New Roman" w:eastAsia="宋体"/>
                <w:b w:val="0"/>
                <w:sz w:val="18"/>
              </w:rPr>
              <w:t>L</w:t>
            </w:r>
          </w:p>
        </w:tc>
        <w:tc>
          <w:tcPr>
            <w:tcW w:type="dxa" w:w="936"/>
            <w:vAlign w:val="center"/>
          </w:tcPr>
          <w:p>
            <w:pPr>
              <w:spacing w:lineRule="auto" w:line="276"/>
              <w:jc w:val="center"/>
            </w:pPr>
            <w:r>
              <w:rPr>
                <w:rFonts w:ascii="Times New Roman" w:hAnsi="Times New Roman" w:eastAsia="宋体"/>
                <w:b w:val="0"/>
                <w:sz w:val="18"/>
              </w:rPr>
              <w:t>m</w:t>
            </w:r>
          </w:p>
        </w:tc>
        <w:tc>
          <w:tcPr>
            <w:tcW w:type="dxa" w:w="1296"/>
            <w:vAlign w:val="center"/>
          </w:tcPr>
          <w:p>
            <w:pPr>
              <w:spacing w:lineRule="auto" w:line="276"/>
              <w:jc w:val="center"/>
            </w:pPr>
            <w:r>
              <w:rPr>
                <w:rFonts w:ascii="Times New Roman" w:hAnsi="Times New Roman" w:eastAsia="宋体"/>
                <w:b w:val="0"/>
                <w:sz w:val="18"/>
              </w:rPr>
              <w:t>241</w:t>
            </w:r>
          </w:p>
        </w:tc>
        <w:tc>
          <w:tcPr>
            <w:tcW w:type="dxa" w:w="2880"/>
            <w:vAlign w:val="center"/>
          </w:tcPr>
          <w:p>
            <w:pPr>
              <w:spacing w:lineRule="auto" w:line="276"/>
              <w:jc w:val="center"/>
            </w:pPr>
            <w:r>
              <w:rPr>
                <w:rFonts w:ascii="Times New Roman" w:hAnsi="Times New Roman" w:eastAsia="宋体"/>
                <w:b w:val="0"/>
                <w:sz w:val="18"/>
              </w:rPr>
              <w:t>计算水域尺度</w:t>
            </w:r>
          </w:p>
        </w:tc>
      </w:tr>
      <w:tr>
        <w:tc>
          <w:tcPr>
            <w:tcW w:type="dxa" w:w="2088"/>
            <w:vAlign w:val="center"/>
          </w:tcPr>
          <w:p>
            <w:pPr>
              <w:spacing w:lineRule="auto" w:line="276"/>
              <w:jc w:val="center"/>
            </w:pPr>
            <w:r>
              <w:rPr>
                <w:rFonts w:ascii="Times New Roman" w:hAnsi="Times New Roman" w:eastAsia="宋体"/>
                <w:b w:val="0"/>
                <w:sz w:val="18"/>
              </w:rPr>
              <w:t>设计船宽</w:t>
            </w:r>
          </w:p>
        </w:tc>
        <w:tc>
          <w:tcPr>
            <w:tcW w:type="dxa" w:w="1080"/>
            <w:vAlign w:val="center"/>
          </w:tcPr>
          <w:p>
            <w:pPr>
              <w:spacing w:lineRule="auto" w:line="276"/>
              <w:jc w:val="center"/>
            </w:pPr>
            <w:r>
              <w:rPr>
                <w:rFonts w:ascii="Times New Roman" w:hAnsi="Times New Roman" w:eastAsia="宋体"/>
                <w:b w:val="0"/>
                <w:sz w:val="18"/>
              </w:rPr>
              <w:t>B</w:t>
            </w:r>
          </w:p>
        </w:tc>
        <w:tc>
          <w:tcPr>
            <w:tcW w:type="dxa" w:w="936"/>
            <w:vAlign w:val="center"/>
          </w:tcPr>
          <w:p>
            <w:pPr>
              <w:spacing w:lineRule="auto" w:line="276"/>
              <w:jc w:val="center"/>
            </w:pPr>
            <w:r>
              <w:rPr>
                <w:rFonts w:ascii="Times New Roman" w:hAnsi="Times New Roman" w:eastAsia="宋体"/>
                <w:b w:val="0"/>
                <w:sz w:val="18"/>
              </w:rPr>
              <w:t>m</w:t>
            </w:r>
          </w:p>
        </w:tc>
        <w:tc>
          <w:tcPr>
            <w:tcW w:type="dxa" w:w="1296"/>
            <w:vAlign w:val="center"/>
          </w:tcPr>
          <w:p>
            <w:pPr>
              <w:spacing w:lineRule="auto" w:line="276"/>
              <w:jc w:val="center"/>
            </w:pPr>
            <w:r>
              <w:rPr>
                <w:rFonts w:ascii="Times New Roman" w:hAnsi="Times New Roman" w:eastAsia="宋体"/>
                <w:b w:val="0"/>
                <w:sz w:val="18"/>
              </w:rPr>
              <w:t>32.3</w:t>
            </w:r>
          </w:p>
        </w:tc>
        <w:tc>
          <w:tcPr>
            <w:tcW w:type="dxa" w:w="2880"/>
            <w:vAlign w:val="center"/>
          </w:tcPr>
          <w:p>
            <w:pPr>
              <w:spacing w:lineRule="auto" w:line="276"/>
              <w:jc w:val="center"/>
            </w:pPr>
            <w:r>
              <w:rPr>
                <w:rFonts w:ascii="Times New Roman" w:hAnsi="Times New Roman" w:eastAsia="宋体"/>
                <w:b w:val="0"/>
                <w:sz w:val="18"/>
              </w:rPr>
              <w:t>停泊水域控制</w:t>
            </w:r>
          </w:p>
        </w:tc>
      </w:tr>
      <w:tr>
        <w:tc>
          <w:tcPr>
            <w:tcW w:type="dxa" w:w="2088"/>
            <w:vAlign w:val="center"/>
          </w:tcPr>
          <w:p>
            <w:pPr>
              <w:spacing w:lineRule="auto" w:line="276"/>
              <w:jc w:val="center"/>
            </w:pPr>
            <w:r>
              <w:rPr>
                <w:rFonts w:ascii="Times New Roman" w:hAnsi="Times New Roman" w:eastAsia="宋体"/>
                <w:b w:val="0"/>
                <w:sz w:val="18"/>
              </w:rPr>
              <w:t>满载吃水</w:t>
            </w:r>
          </w:p>
        </w:tc>
        <w:tc>
          <w:tcPr>
            <w:tcW w:type="dxa" w:w="1080"/>
            <w:vAlign w:val="center"/>
          </w:tcPr>
          <w:p>
            <w:pPr>
              <w:spacing w:lineRule="auto" w:line="276"/>
              <w:jc w:val="center"/>
            </w:pPr>
            <w:r>
              <w:rPr>
                <w:rFonts w:ascii="Times New Roman" w:hAnsi="Times New Roman" w:eastAsia="宋体"/>
                <w:b w:val="0"/>
                <w:sz w:val="18"/>
              </w:rPr>
              <w:t>T</w:t>
            </w:r>
          </w:p>
        </w:tc>
        <w:tc>
          <w:tcPr>
            <w:tcW w:type="dxa" w:w="936"/>
            <w:vAlign w:val="center"/>
          </w:tcPr>
          <w:p>
            <w:pPr>
              <w:spacing w:lineRule="auto" w:line="276"/>
              <w:jc w:val="center"/>
            </w:pPr>
            <w:r>
              <w:rPr>
                <w:rFonts w:ascii="Times New Roman" w:hAnsi="Times New Roman" w:eastAsia="宋体"/>
                <w:b w:val="0"/>
                <w:sz w:val="18"/>
              </w:rPr>
              <w:t>m</w:t>
            </w:r>
          </w:p>
        </w:tc>
        <w:tc>
          <w:tcPr>
            <w:tcW w:type="dxa" w:w="1296"/>
            <w:vAlign w:val="center"/>
          </w:tcPr>
          <w:p>
            <w:pPr>
              <w:spacing w:lineRule="auto" w:line="276"/>
              <w:jc w:val="center"/>
            </w:pPr>
            <w:r>
              <w:rPr>
                <w:rFonts w:ascii="Times New Roman" w:hAnsi="Times New Roman" w:eastAsia="宋体"/>
                <w:b w:val="0"/>
                <w:sz w:val="18"/>
              </w:rPr>
              <w:t>12.0</w:t>
            </w:r>
          </w:p>
        </w:tc>
        <w:tc>
          <w:tcPr>
            <w:tcW w:type="dxa" w:w="2880"/>
            <w:vAlign w:val="center"/>
          </w:tcPr>
          <w:p>
            <w:pPr>
              <w:spacing w:lineRule="auto" w:line="276"/>
              <w:jc w:val="center"/>
            </w:pPr>
            <w:r>
              <w:rPr>
                <w:rFonts w:ascii="Times New Roman" w:hAnsi="Times New Roman" w:eastAsia="宋体"/>
                <w:b w:val="0"/>
                <w:sz w:val="18"/>
              </w:rPr>
              <w:t>前沿水深控制</w:t>
            </w:r>
          </w:p>
        </w:tc>
      </w:tr>
      <w:tr>
        <w:tc>
          <w:tcPr>
            <w:tcW w:type="dxa" w:w="2088"/>
            <w:vAlign w:val="center"/>
          </w:tcPr>
          <w:p>
            <w:pPr>
              <w:spacing w:lineRule="auto" w:line="276"/>
              <w:jc w:val="center"/>
            </w:pPr>
            <w:r>
              <w:rPr>
                <w:rFonts w:ascii="Times New Roman" w:hAnsi="Times New Roman" w:eastAsia="宋体"/>
                <w:b w:val="0"/>
                <w:sz w:val="18"/>
              </w:rPr>
              <w:t>码头长度</w:t>
            </w:r>
          </w:p>
        </w:tc>
        <w:tc>
          <w:tcPr>
            <w:tcW w:type="dxa" w:w="1080"/>
            <w:vAlign w:val="center"/>
          </w:tcPr>
          <w:p>
            <w:pPr>
              <w:spacing w:lineRule="auto" w:line="276"/>
              <w:jc w:val="center"/>
            </w:pPr>
            <w:r>
              <w:rPr>
                <w:rFonts w:ascii="Times New Roman" w:hAnsi="Times New Roman" w:eastAsia="宋体"/>
                <w:b w:val="0"/>
                <w:sz w:val="18"/>
              </w:rPr>
              <w:t>Lb</w:t>
            </w:r>
          </w:p>
        </w:tc>
        <w:tc>
          <w:tcPr>
            <w:tcW w:type="dxa" w:w="936"/>
            <w:vAlign w:val="center"/>
          </w:tcPr>
          <w:p>
            <w:pPr>
              <w:spacing w:lineRule="auto" w:line="276"/>
              <w:jc w:val="center"/>
            </w:pPr>
            <w:r>
              <w:rPr>
                <w:rFonts w:ascii="Times New Roman" w:hAnsi="Times New Roman" w:eastAsia="宋体"/>
                <w:b w:val="0"/>
                <w:sz w:val="18"/>
              </w:rPr>
              <w:t>m</w:t>
            </w:r>
          </w:p>
        </w:tc>
        <w:tc>
          <w:tcPr>
            <w:tcW w:type="dxa" w:w="1296"/>
            <w:vAlign w:val="center"/>
          </w:tcPr>
          <w:p>
            <w:pPr>
              <w:spacing w:lineRule="auto" w:line="276"/>
              <w:jc w:val="center"/>
            </w:pPr>
            <w:r>
              <w:rPr>
                <w:rFonts w:ascii="Times New Roman" w:hAnsi="Times New Roman" w:eastAsia="宋体"/>
                <w:b w:val="0"/>
                <w:sz w:val="18"/>
              </w:rPr>
              <w:t>300</w:t>
            </w:r>
          </w:p>
        </w:tc>
        <w:tc>
          <w:tcPr>
            <w:tcW w:type="dxa" w:w="2880"/>
            <w:vAlign w:val="center"/>
          </w:tcPr>
          <w:p>
            <w:pPr>
              <w:spacing w:lineRule="auto" w:line="276"/>
              <w:jc w:val="center"/>
            </w:pPr>
            <w:r>
              <w:rPr>
                <w:rFonts w:ascii="Times New Roman" w:hAnsi="Times New Roman" w:eastAsia="宋体"/>
                <w:b w:val="0"/>
                <w:sz w:val="18"/>
              </w:rPr>
              <w:t>图纸控制</w:t>
            </w:r>
          </w:p>
        </w:tc>
      </w:tr>
      <w:tr>
        <w:tc>
          <w:tcPr>
            <w:tcW w:type="dxa" w:w="2088"/>
            <w:vAlign w:val="center"/>
          </w:tcPr>
          <w:p>
            <w:pPr>
              <w:spacing w:lineRule="auto" w:line="276"/>
              <w:jc w:val="center"/>
            </w:pPr>
            <w:r>
              <w:rPr>
                <w:rFonts w:ascii="Times New Roman" w:hAnsi="Times New Roman" w:eastAsia="宋体"/>
                <w:b w:val="0"/>
                <w:sz w:val="18"/>
              </w:rPr>
              <w:t>设计通过能力</w:t>
            </w:r>
          </w:p>
        </w:tc>
        <w:tc>
          <w:tcPr>
            <w:tcW w:type="dxa" w:w="1080"/>
            <w:vAlign w:val="center"/>
          </w:tcPr>
          <w:p>
            <w:pPr>
              <w:spacing w:lineRule="auto" w:line="276"/>
              <w:jc w:val="center"/>
            </w:pPr>
            <w:r>
              <w:rPr>
                <w:rFonts w:ascii="Times New Roman" w:hAnsi="Times New Roman" w:eastAsia="宋体"/>
                <w:b w:val="0"/>
                <w:sz w:val="18"/>
              </w:rPr>
              <w:t>Qh</w:t>
            </w:r>
          </w:p>
        </w:tc>
        <w:tc>
          <w:tcPr>
            <w:tcW w:type="dxa" w:w="936"/>
            <w:vAlign w:val="center"/>
          </w:tcPr>
          <w:p>
            <w:pPr>
              <w:spacing w:lineRule="auto" w:line="276"/>
              <w:jc w:val="center"/>
            </w:pPr>
            <w:r>
              <w:rPr>
                <w:rFonts w:ascii="Times New Roman" w:hAnsi="Times New Roman" w:eastAsia="宋体"/>
                <w:b w:val="0"/>
                <w:sz w:val="18"/>
              </w:rPr>
              <w:t>万TEU/年</w:t>
            </w:r>
          </w:p>
        </w:tc>
        <w:tc>
          <w:tcPr>
            <w:tcW w:type="dxa" w:w="1296"/>
            <w:vAlign w:val="center"/>
          </w:tcPr>
          <w:p>
            <w:pPr>
              <w:spacing w:lineRule="auto" w:line="276"/>
              <w:jc w:val="center"/>
            </w:pPr>
            <w:r>
              <w:rPr>
                <w:rFonts w:ascii="Times New Roman" w:hAnsi="Times New Roman" w:eastAsia="宋体"/>
                <w:b w:val="0"/>
                <w:sz w:val="18"/>
              </w:rPr>
              <w:t>50</w:t>
            </w:r>
          </w:p>
        </w:tc>
        <w:tc>
          <w:tcPr>
            <w:tcW w:type="dxa" w:w="2880"/>
            <w:vAlign w:val="center"/>
          </w:tcPr>
          <w:p>
            <w:pPr>
              <w:spacing w:lineRule="auto" w:line="276"/>
              <w:jc w:val="center"/>
            </w:pPr>
            <w:r>
              <w:rPr>
                <w:rFonts w:ascii="Times New Roman" w:hAnsi="Times New Roman" w:eastAsia="宋体"/>
                <w:b w:val="0"/>
                <w:sz w:val="18"/>
              </w:rPr>
              <w:t>堆场与设备配置</w:t>
            </w:r>
          </w:p>
        </w:tc>
      </w:tr>
      <w:tr>
        <w:tc>
          <w:tcPr>
            <w:tcW w:type="dxa" w:w="2088"/>
            <w:vAlign w:val="center"/>
          </w:tcPr>
          <w:p>
            <w:pPr>
              <w:spacing w:lineRule="auto" w:line="276"/>
              <w:jc w:val="center"/>
            </w:pPr>
            <w:r>
              <w:rPr>
                <w:rFonts w:ascii="Times New Roman" w:hAnsi="Times New Roman" w:eastAsia="宋体"/>
                <w:b w:val="0"/>
                <w:sz w:val="18"/>
              </w:rPr>
              <w:t>陆域纵深</w:t>
            </w:r>
          </w:p>
        </w:tc>
        <w:tc>
          <w:tcPr>
            <w:tcW w:type="dxa" w:w="1080"/>
            <w:vAlign w:val="center"/>
          </w:tcPr>
          <w:p>
            <w:pPr>
              <w:spacing w:lineRule="auto" w:line="276"/>
              <w:jc w:val="center"/>
            </w:pPr>
            <w:r>
              <w:rPr>
                <w:rFonts w:ascii="Times New Roman" w:hAnsi="Times New Roman" w:eastAsia="宋体"/>
                <w:b w:val="0"/>
                <w:sz w:val="18"/>
              </w:rPr>
              <w:t>D</w:t>
            </w:r>
          </w:p>
        </w:tc>
        <w:tc>
          <w:tcPr>
            <w:tcW w:type="dxa" w:w="936"/>
            <w:vAlign w:val="center"/>
          </w:tcPr>
          <w:p>
            <w:pPr>
              <w:spacing w:lineRule="auto" w:line="276"/>
              <w:jc w:val="center"/>
            </w:pPr>
            <w:r>
              <w:rPr>
                <w:rFonts w:ascii="Times New Roman" w:hAnsi="Times New Roman" w:eastAsia="宋体"/>
                <w:b w:val="0"/>
                <w:sz w:val="18"/>
              </w:rPr>
              <w:t>m</w:t>
            </w:r>
          </w:p>
        </w:tc>
        <w:tc>
          <w:tcPr>
            <w:tcW w:type="dxa" w:w="1296"/>
            <w:vAlign w:val="center"/>
          </w:tcPr>
          <w:p>
            <w:pPr>
              <w:spacing w:lineRule="auto" w:line="276"/>
              <w:jc w:val="center"/>
            </w:pPr>
            <w:r>
              <w:rPr>
                <w:rFonts w:ascii="Times New Roman" w:hAnsi="Times New Roman" w:eastAsia="宋体"/>
                <w:b w:val="0"/>
                <w:sz w:val="18"/>
              </w:rPr>
              <w:t>850</w:t>
            </w:r>
          </w:p>
        </w:tc>
        <w:tc>
          <w:tcPr>
            <w:tcW w:type="dxa" w:w="2880"/>
            <w:vAlign w:val="center"/>
          </w:tcPr>
          <w:p>
            <w:pPr>
              <w:spacing w:lineRule="auto" w:line="276"/>
              <w:jc w:val="center"/>
            </w:pPr>
            <w:r>
              <w:rPr>
                <w:rFonts w:ascii="Times New Roman" w:hAnsi="Times New Roman" w:eastAsia="宋体"/>
                <w:b w:val="0"/>
                <w:sz w:val="18"/>
              </w:rPr>
              <w:t>图纸取值</w:t>
            </w:r>
          </w:p>
        </w:tc>
      </w:tr>
    </w:tbl>
    <w:p/>
    <w:p>
      <w:pPr>
        <w:spacing w:lineRule="auto" w:line="360" w:before="0" w:after="0"/>
        <w:ind w:firstLine="480"/>
      </w:pPr>
      <w:r>
        <w:rPr>
          <w:rFonts w:ascii="Times New Roman" w:hAnsi="Times New Roman" w:eastAsia="宋体"/>
          <w:sz w:val="24"/>
        </w:rPr>
        <w:t>总平面布置的核心是减少船、箱、车之间的相互干扰。船舶作业集中在前沿岸桥带，集卡在前沿和堆场之间短循环，外集卡通过闸口进入指定箱区，铁路换装布置在陆域后方。各功能区之间既要有短捷联系，也要避免外部车辆穿越岸桥作业核心区。</w:t>
      </w:r>
    </w:p>
    <w:p>
      <w:pPr>
        <w:spacing w:lineRule="auto" w:line="360" w:before="0" w:after="0"/>
        <w:ind w:firstLine="480"/>
      </w:pPr>
      <w:r>
        <w:rPr>
          <w:rFonts w:ascii="Times New Roman" w:hAnsi="Times New Roman" w:eastAsia="宋体"/>
          <w:sz w:val="24"/>
        </w:rPr>
        <w:t>本工程陆域纵深取850m，能够容纳前沿作业带、重箱区、空箱区、冷藏箱区、危险品箱区、道路、闸口、辅助生产区和铁路衔接区。布置时优先保证前沿到重箱区的直线运输距离，再结合排水坡度和道路转弯半径组织后方功能。</w:t>
      </w:r>
    </w:p>
    <w:p>
      <w:pPr>
        <w:pStyle w:val="2"/>
        <w:jc w:val="left"/>
      </w:pPr>
      <w:r>
        <w:rPr>
          <w:rFonts w:ascii="Times New Roman" w:hAnsi="Times New Roman" w:eastAsia="宋体"/>
          <w:b/>
          <w:sz w:val="24"/>
        </w:rPr>
        <w:t xml:space="preserve"> 水域布置</w:t>
      </w:r>
    </w:p>
    <w:p>
      <w:pPr>
        <w:pStyle w:val="3"/>
        <w:jc w:val="left"/>
      </w:pPr>
      <w:r>
        <w:rPr>
          <w:rFonts w:ascii="Times New Roman" w:hAnsi="Times New Roman" w:eastAsia="宋体"/>
          <w:b/>
          <w:sz w:val="24"/>
        </w:rPr>
        <w:t xml:space="preserve"> 码头前沿线与停泊水域</w:t>
      </w:r>
    </w:p>
    <w:p>
      <w:pPr>
        <w:spacing w:lineRule="auto" w:line="360" w:before="0" w:after="0"/>
        <w:ind w:firstLine="480"/>
      </w:pPr>
      <w:r>
        <w:rPr>
          <w:rFonts w:ascii="Times New Roman" w:hAnsi="Times New Roman" w:eastAsia="宋体"/>
          <w:sz w:val="24"/>
        </w:rPr>
        <w:t>本工程采用顺岸式连续布置，码头前沿线与现状港区岸线方向保持一致。顺岸式布置有利于利用既有港池和陆域条件，减少新建防波堤和港池开挖工程量。</w:t>
      </w:r>
    </w:p>
    <w:p>
      <w:pPr>
        <w:tabs>
          <w:tab w:pos="4100" w:val="center"/>
          <w:tab w:pos="8200" w:val="right"/>
        </w:tabs>
        <w:spacing w:lineRule="auto" w:line="360" w:before="0" w:after="0"/>
        <w:jc w:val="left"/>
      </w:pPr>
      <w:r>
        <w:tab/>
      </w:r>
      <m:oMath>
        <m:sSub>
          <m:e>
            <m:r>
              <m:t>B</m:t>
            </m:r>
          </m:e>
          <m:sub>
            <m:r>
              <m:t>t</m:t>
            </m:r>
          </m:sub>
        </m:sSub>
        <m:r>
          <m:rPr>
            <m:sty m:val="p"/>
          </m:rPr>
          <m:t>=</m:t>
        </m:r>
        <m:r>
          <m:t>2</m:t>
        </m:r>
        <m:r>
          <m:t>B</m:t>
        </m:r>
        <m:r>
          <m:rPr>
            <m:sty m:val="p"/>
          </m:rPr>
          <m:t>=</m:t>
        </m:r>
        <m:r>
          <m:t>2</m:t>
        </m:r>
        <m:r>
          <m:rPr>
            <m:sty m:val="p"/>
          </m:rPr>
          <m:t>×</m:t>
        </m:r>
        <m:r>
          <m:t>32.3</m:t>
        </m:r>
        <m:r>
          <m:rPr>
            <m:sty m:val="p"/>
          </m:rPr>
          <m:t>=</m:t>
        </m:r>
        <m:r>
          <m:t>64.6</m:t>
        </m:r>
        <m:r>
          <m:t>m</m:t>
        </m:r>
      </m:oMath>
      <w:r>
        <w:rPr>
          <w:rFonts w:ascii="Times New Roman" w:hAnsi="Times New Roman" w:eastAsia="宋体"/>
          <w:sz w:val="24"/>
        </w:rPr>
        <w:tab/>
        <w:t>（4.1）</w:t>
      </w:r>
    </w:p>
    <w:p>
      <w:pPr>
        <w:spacing w:lineRule="auto" w:line="360" w:before="0" w:after="0"/>
        <w:ind w:firstLine="480"/>
      </w:pPr>
      <w:r>
        <w:rPr>
          <w:rFonts w:ascii="Times New Roman" w:hAnsi="Times New Roman" w:eastAsia="宋体"/>
          <w:sz w:val="24"/>
        </w:rPr>
        <w:t>按设计船宽32.3m计算，停泊水域宽度为64.6m，设计取65m。停泊水域设计水深与码头前沿设计水深一致，取13.50m。</w:t>
      </w:r>
    </w:p>
    <w:p>
      <w:pPr>
        <w:spacing w:lineRule="auto" w:line="360" w:before="0" w:after="0"/>
        <w:ind w:firstLine="480"/>
      </w:pPr>
      <w:r>
        <w:rPr>
          <w:rFonts w:ascii="Times New Roman" w:hAnsi="Times New Roman" w:eastAsia="宋体"/>
          <w:sz w:val="24"/>
        </w:rPr>
        <w:t>停泊水域除满足船宽要求外，还应考虑缆绳布置、拖轮辅助、船舶横移和安全避让空间。前沿水深取13.50m时，可覆盖12.0m满载吃水和必要富裕水深，减少低潮限制对靠泊计划的影响。</w:t>
      </w:r>
    </w:p>
    <w:p>
      <w:pPr>
        <w:spacing w:lineRule="auto" w:line="360" w:before="0" w:after="0"/>
        <w:ind w:firstLine="480"/>
      </w:pPr>
      <w:r>
        <w:rPr>
          <w:rFonts w:ascii="Times New Roman" w:hAnsi="Times New Roman" w:eastAsia="宋体"/>
          <w:sz w:val="24"/>
        </w:rPr>
        <w:t>码头前沿线与岸桥轨道线、护舷线和胸墙前沿线保持一致。该布置有利于岸桥轨道基础连续施工，也便于沉箱分段、伸缩缝和附属设施在图纸中统一表达。</w:t>
      </w:r>
    </w:p>
    <w:p>
      <w:pPr>
        <w:pStyle w:val="3"/>
        <w:jc w:val="left"/>
      </w:pPr>
      <w:r>
        <w:rPr>
          <w:rFonts w:ascii="Times New Roman" w:hAnsi="Times New Roman" w:eastAsia="宋体"/>
          <w:b/>
          <w:sz w:val="24"/>
        </w:rPr>
        <w:t xml:space="preserve"> 回旋水域与航道</w:t>
      </w:r>
    </w:p>
    <w:p>
      <w:pPr>
        <w:tabs>
          <w:tab w:pos="4100" w:val="center"/>
          <w:tab w:pos="8200" w:val="right"/>
        </w:tabs>
        <w:spacing w:lineRule="auto" w:line="360" w:before="0" w:after="0"/>
        <w:jc w:val="left"/>
      </w:pPr>
      <w:r>
        <w:tab/>
      </w:r>
      <m:oMath>
        <m:sSub>
          <m:e>
            <m:r>
              <m:t>L</m:t>
            </m:r>
          </m:e>
          <m:sub>
            <m:r>
              <m:t>t</m:t>
            </m:r>
          </m:sub>
        </m:sSub>
        <m:r>
          <m:rPr>
            <m:sty m:val="p"/>
          </m:rPr>
          <m:t>=</m:t>
        </m:r>
        <m:r>
          <m:t>2.0</m:t>
        </m:r>
        <m:r>
          <m:t>L</m:t>
        </m:r>
        <m:r>
          <m:rPr>
            <m:sty m:val="p"/>
          </m:rPr>
          <m:t>∼</m:t>
        </m:r>
        <m:r>
          <m:t>2.5</m:t>
        </m:r>
        <m:r>
          <m:t>L</m:t>
        </m:r>
        <m:r>
          <m:rPr>
            <m:sty m:val="p"/>
          </m:rPr>
          <m:t>=</m:t>
        </m:r>
        <m:r>
          <m:t>482</m:t>
        </m:r>
        <m:r>
          <m:rPr>
            <m:sty m:val="p"/>
          </m:rPr>
          <m:t>∼</m:t>
        </m:r>
        <m:r>
          <m:t>603</m:t>
        </m:r>
        <m:r>
          <m:t>m</m:t>
        </m:r>
      </m:oMath>
      <w:r>
        <w:rPr>
          <w:rFonts w:ascii="Times New Roman" w:hAnsi="Times New Roman" w:eastAsia="宋体"/>
          <w:sz w:val="24"/>
        </w:rPr>
        <w:tab/>
        <w:t>（4.2）</w:t>
      </w:r>
    </w:p>
    <w:p>
      <w:pPr>
        <w:spacing w:lineRule="auto" w:line="360" w:before="0" w:after="0"/>
        <w:ind w:firstLine="480"/>
      </w:pPr>
      <w:r>
        <w:rPr>
          <w:rFonts w:ascii="Times New Roman" w:hAnsi="Times New Roman" w:eastAsia="宋体"/>
          <w:sz w:val="24"/>
        </w:rPr>
        <w:t>回旋水域按椭圆形布置，长轴取500m，短轴取400m。该尺度位于规范推荐范围内，可满足3万吨级集装箱船在港池内调头需要。</w:t>
      </w:r>
    </w:p>
    <w:p>
      <w:pPr>
        <w:tabs>
          <w:tab w:pos="4100" w:val="center"/>
          <w:tab w:pos="8200" w:val="right"/>
        </w:tabs>
        <w:spacing w:lineRule="auto" w:line="360" w:before="0" w:after="0"/>
        <w:jc w:val="left"/>
      </w:pPr>
      <w:r>
        <w:tab/>
      </w:r>
      <m:oMath>
        <m:sSub>
          <m:e>
            <m:r>
              <m:t>B</m:t>
            </m:r>
          </m:e>
          <m:sub>
            <m:r>
              <m:t>c</m:t>
            </m:r>
          </m:sub>
        </m:sSub>
        <m:r>
          <m:rPr>
            <m:sty m:val="p"/>
          </m:rPr>
          <m:t>=</m:t>
        </m:r>
        <m:r>
          <m:t>4.5</m:t>
        </m:r>
        <m:r>
          <m:t>B</m:t>
        </m:r>
        <m:r>
          <m:rPr>
            <m:sty m:val="p"/>
          </m:rPr>
          <m:t>∼</m:t>
        </m:r>
        <m:r>
          <m:t>5.0</m:t>
        </m:r>
        <m:r>
          <m:t>B</m:t>
        </m:r>
        <m:r>
          <m:rPr>
            <m:sty m:val="p"/>
          </m:rPr>
          <m:t>=</m:t>
        </m:r>
        <m:r>
          <m:t>145.4</m:t>
        </m:r>
        <m:r>
          <m:rPr>
            <m:sty m:val="p"/>
          </m:rPr>
          <m:t>∼</m:t>
        </m:r>
        <m:r>
          <m:t>161.5</m:t>
        </m:r>
        <m:r>
          <m:t>m</m:t>
        </m:r>
      </m:oMath>
      <w:r>
        <w:rPr>
          <w:rFonts w:ascii="Times New Roman" w:hAnsi="Times New Roman" w:eastAsia="宋体"/>
          <w:sz w:val="24"/>
        </w:rPr>
        <w:tab/>
        <w:t>（4.3）</w:t>
      </w:r>
    </w:p>
    <w:p>
      <w:pPr>
        <w:spacing w:lineRule="auto" w:line="360" w:before="0" w:after="0"/>
        <w:ind w:firstLine="480"/>
      </w:pPr>
      <w:r>
        <w:rPr>
          <w:rFonts w:ascii="Times New Roman" w:hAnsi="Times New Roman" w:eastAsia="宋体"/>
          <w:sz w:val="24"/>
        </w:rPr>
        <w:t>进港航道利用既有航道条件，航道有效宽度取150m，航道设计水深取13.50m，边坡取1:5~1:8。航道与停泊水域、回旋水域应平顺衔接，避免船舶进出港时发生急转。</w:t>
      </w:r>
    </w:p>
    <w:p>
      <w:pPr>
        <w:keepNext/>
        <w:spacing w:lineRule="auto" w:line="300" w:before="0" w:after="120"/>
        <w:jc w:val="center"/>
      </w:pPr>
      <w:r>
        <w:rPr>
          <w:rFonts w:ascii="Times New Roman" w:hAnsi="Times New Roman" w:eastAsia="宋体"/>
          <w:b w:val="0"/>
          <w:sz w:val="20"/>
        </w:rPr>
        <w:t>表4-2 水域布置尺度汇总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160"/>
        <w:gridCol w:w="1080"/>
        <w:gridCol w:w="1008"/>
        <w:gridCol w:w="1728"/>
        <w:gridCol w:w="2592"/>
      </w:tblGrid>
      <w:tr>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水域项目</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符号</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单位</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设计取值</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计算依据</w:t>
            </w:r>
          </w:p>
        </w:tc>
      </w:tr>
      <w:tr>
        <w:tc>
          <w:tcPr>
            <w:tcW w:type="dxa" w:w="2160"/>
            <w:vAlign w:val="center"/>
          </w:tcPr>
          <w:p>
            <w:pPr>
              <w:spacing w:lineRule="auto" w:line="276"/>
              <w:jc w:val="center"/>
            </w:pPr>
            <w:r>
              <w:rPr>
                <w:rFonts w:ascii="Times New Roman" w:hAnsi="Times New Roman" w:eastAsia="宋体"/>
                <w:b w:val="0"/>
                <w:sz w:val="18"/>
              </w:rPr>
              <w:t>停泊水域宽度</w:t>
            </w:r>
          </w:p>
        </w:tc>
        <w:tc>
          <w:tcPr>
            <w:tcW w:type="dxa" w:w="1080"/>
            <w:vAlign w:val="center"/>
          </w:tcPr>
          <w:p>
            <w:pPr>
              <w:spacing w:lineRule="auto" w:line="276"/>
              <w:jc w:val="center"/>
            </w:pPr>
            <w:r>
              <w:rPr>
                <w:rFonts w:ascii="Times New Roman" w:hAnsi="Times New Roman" w:eastAsia="宋体"/>
                <w:b w:val="0"/>
                <w:sz w:val="18"/>
              </w:rPr>
              <w:t>Bt</w:t>
            </w:r>
          </w:p>
        </w:tc>
        <w:tc>
          <w:tcPr>
            <w:tcW w:type="dxa" w:w="1008"/>
            <w:vAlign w:val="center"/>
          </w:tcPr>
          <w:p>
            <w:pPr>
              <w:spacing w:lineRule="auto" w:line="276"/>
              <w:jc w:val="center"/>
            </w:pPr>
            <w:r>
              <w:rPr>
                <w:rFonts w:ascii="Times New Roman" w:hAnsi="Times New Roman" w:eastAsia="宋体"/>
                <w:b w:val="0"/>
                <w:sz w:val="18"/>
              </w:rPr>
              <w:t>m</w:t>
            </w:r>
          </w:p>
        </w:tc>
        <w:tc>
          <w:tcPr>
            <w:tcW w:type="dxa" w:w="1728"/>
            <w:vAlign w:val="center"/>
          </w:tcPr>
          <w:p>
            <w:pPr>
              <w:spacing w:lineRule="auto" w:line="276"/>
              <w:jc w:val="center"/>
            </w:pPr>
            <w:r>
              <w:rPr>
                <w:rFonts w:ascii="Times New Roman" w:hAnsi="Times New Roman" w:eastAsia="宋体"/>
                <w:b w:val="0"/>
                <w:sz w:val="18"/>
              </w:rPr>
              <w:t>65</w:t>
            </w:r>
          </w:p>
        </w:tc>
        <w:tc>
          <w:tcPr>
            <w:tcW w:type="dxa" w:w="2592"/>
            <w:vAlign w:val="center"/>
          </w:tcPr>
          <w:p>
            <w:pPr>
              <w:spacing w:lineRule="auto" w:line="276"/>
              <w:jc w:val="center"/>
            </w:pPr>
            <w:r>
              <w:rPr>
                <w:rFonts w:ascii="Times New Roman" w:hAnsi="Times New Roman" w:eastAsia="宋体"/>
                <w:b w:val="0"/>
                <w:sz w:val="18"/>
              </w:rPr>
              <w:t>2B</w:t>
            </w:r>
          </w:p>
        </w:tc>
      </w:tr>
      <w:tr>
        <w:tc>
          <w:tcPr>
            <w:tcW w:type="dxa" w:w="2160"/>
            <w:vAlign w:val="center"/>
          </w:tcPr>
          <w:p>
            <w:pPr>
              <w:spacing w:lineRule="auto" w:line="276"/>
              <w:jc w:val="center"/>
            </w:pPr>
            <w:r>
              <w:rPr>
                <w:rFonts w:ascii="Times New Roman" w:hAnsi="Times New Roman" w:eastAsia="宋体"/>
                <w:b w:val="0"/>
                <w:sz w:val="18"/>
              </w:rPr>
              <w:t>停泊水域水深</w:t>
            </w:r>
          </w:p>
        </w:tc>
        <w:tc>
          <w:tcPr>
            <w:tcW w:type="dxa" w:w="1080"/>
            <w:vAlign w:val="center"/>
          </w:tcPr>
          <w:p>
            <w:pPr>
              <w:spacing w:lineRule="auto" w:line="276"/>
              <w:jc w:val="center"/>
            </w:pPr>
            <w:r>
              <w:rPr>
                <w:rFonts w:ascii="Times New Roman" w:hAnsi="Times New Roman" w:eastAsia="宋体"/>
                <w:b w:val="0"/>
                <w:sz w:val="18"/>
              </w:rPr>
              <w:t>-</w:t>
            </w:r>
          </w:p>
        </w:tc>
        <w:tc>
          <w:tcPr>
            <w:tcW w:type="dxa" w:w="1008"/>
            <w:vAlign w:val="center"/>
          </w:tcPr>
          <w:p>
            <w:pPr>
              <w:spacing w:lineRule="auto" w:line="276"/>
              <w:jc w:val="center"/>
            </w:pPr>
            <w:r>
              <w:rPr>
                <w:rFonts w:ascii="Times New Roman" w:hAnsi="Times New Roman" w:eastAsia="宋体"/>
                <w:b w:val="0"/>
                <w:sz w:val="18"/>
              </w:rPr>
              <w:t>m</w:t>
            </w:r>
          </w:p>
        </w:tc>
        <w:tc>
          <w:tcPr>
            <w:tcW w:type="dxa" w:w="1728"/>
            <w:vAlign w:val="center"/>
          </w:tcPr>
          <w:p>
            <w:pPr>
              <w:spacing w:lineRule="auto" w:line="276"/>
              <w:jc w:val="center"/>
            </w:pPr>
            <w:r>
              <w:rPr>
                <w:rFonts w:ascii="Times New Roman" w:hAnsi="Times New Roman" w:eastAsia="宋体"/>
                <w:b w:val="0"/>
                <w:sz w:val="18"/>
              </w:rPr>
              <w:t>13.50</w:t>
            </w:r>
          </w:p>
        </w:tc>
        <w:tc>
          <w:tcPr>
            <w:tcW w:type="dxa" w:w="2592"/>
            <w:vAlign w:val="center"/>
          </w:tcPr>
          <w:p>
            <w:pPr>
              <w:spacing w:lineRule="auto" w:line="276"/>
              <w:jc w:val="center"/>
            </w:pPr>
            <w:r>
              <w:rPr>
                <w:rFonts w:ascii="Times New Roman" w:hAnsi="Times New Roman" w:eastAsia="宋体"/>
                <w:b w:val="0"/>
                <w:sz w:val="18"/>
              </w:rPr>
              <w:t>吃水加富裕</w:t>
            </w:r>
          </w:p>
        </w:tc>
      </w:tr>
      <w:tr>
        <w:tc>
          <w:tcPr>
            <w:tcW w:type="dxa" w:w="2160"/>
            <w:vAlign w:val="center"/>
          </w:tcPr>
          <w:p>
            <w:pPr>
              <w:spacing w:lineRule="auto" w:line="276"/>
              <w:jc w:val="center"/>
            </w:pPr>
            <w:r>
              <w:rPr>
                <w:rFonts w:ascii="Times New Roman" w:hAnsi="Times New Roman" w:eastAsia="宋体"/>
                <w:b w:val="0"/>
                <w:sz w:val="18"/>
              </w:rPr>
              <w:t>回旋水域长轴</w:t>
            </w:r>
          </w:p>
        </w:tc>
        <w:tc>
          <w:tcPr>
            <w:tcW w:type="dxa" w:w="1080"/>
            <w:vAlign w:val="center"/>
          </w:tcPr>
          <w:p>
            <w:pPr>
              <w:spacing w:lineRule="auto" w:line="276"/>
              <w:jc w:val="center"/>
            </w:pPr>
            <w:r>
              <w:rPr>
                <w:rFonts w:ascii="Times New Roman" w:hAnsi="Times New Roman" w:eastAsia="宋体"/>
                <w:b w:val="0"/>
                <w:sz w:val="18"/>
              </w:rPr>
              <w:t>-</w:t>
            </w:r>
          </w:p>
        </w:tc>
        <w:tc>
          <w:tcPr>
            <w:tcW w:type="dxa" w:w="1008"/>
            <w:vAlign w:val="center"/>
          </w:tcPr>
          <w:p>
            <w:pPr>
              <w:spacing w:lineRule="auto" w:line="276"/>
              <w:jc w:val="center"/>
            </w:pPr>
            <w:r>
              <w:rPr>
                <w:rFonts w:ascii="Times New Roman" w:hAnsi="Times New Roman" w:eastAsia="宋体"/>
                <w:b w:val="0"/>
                <w:sz w:val="18"/>
              </w:rPr>
              <w:t>m</w:t>
            </w:r>
          </w:p>
        </w:tc>
        <w:tc>
          <w:tcPr>
            <w:tcW w:type="dxa" w:w="1728"/>
            <w:vAlign w:val="center"/>
          </w:tcPr>
          <w:p>
            <w:pPr>
              <w:spacing w:lineRule="auto" w:line="276"/>
              <w:jc w:val="center"/>
            </w:pPr>
            <w:r>
              <w:rPr>
                <w:rFonts w:ascii="Times New Roman" w:hAnsi="Times New Roman" w:eastAsia="宋体"/>
                <w:b w:val="0"/>
                <w:sz w:val="18"/>
              </w:rPr>
              <w:t>500</w:t>
            </w:r>
          </w:p>
        </w:tc>
        <w:tc>
          <w:tcPr>
            <w:tcW w:type="dxa" w:w="2592"/>
            <w:vAlign w:val="center"/>
          </w:tcPr>
          <w:p>
            <w:pPr>
              <w:spacing w:lineRule="auto" w:line="276"/>
              <w:jc w:val="center"/>
            </w:pPr>
            <w:r>
              <w:rPr>
                <w:rFonts w:ascii="Times New Roman" w:hAnsi="Times New Roman" w:eastAsia="宋体"/>
                <w:b w:val="0"/>
                <w:sz w:val="18"/>
              </w:rPr>
              <w:t>2.0L~2.5L</w:t>
            </w:r>
          </w:p>
        </w:tc>
      </w:tr>
      <w:tr>
        <w:tc>
          <w:tcPr>
            <w:tcW w:type="dxa" w:w="2160"/>
            <w:vAlign w:val="center"/>
          </w:tcPr>
          <w:p>
            <w:pPr>
              <w:spacing w:lineRule="auto" w:line="276"/>
              <w:jc w:val="center"/>
            </w:pPr>
            <w:r>
              <w:rPr>
                <w:rFonts w:ascii="Times New Roman" w:hAnsi="Times New Roman" w:eastAsia="宋体"/>
                <w:b w:val="0"/>
                <w:sz w:val="18"/>
              </w:rPr>
              <w:t>回旋水域短轴</w:t>
            </w:r>
          </w:p>
        </w:tc>
        <w:tc>
          <w:tcPr>
            <w:tcW w:type="dxa" w:w="1080"/>
            <w:vAlign w:val="center"/>
          </w:tcPr>
          <w:p>
            <w:pPr>
              <w:spacing w:lineRule="auto" w:line="276"/>
              <w:jc w:val="center"/>
            </w:pPr>
            <w:r>
              <w:rPr>
                <w:rFonts w:ascii="Times New Roman" w:hAnsi="Times New Roman" w:eastAsia="宋体"/>
                <w:b w:val="0"/>
                <w:sz w:val="18"/>
              </w:rPr>
              <w:t>-</w:t>
            </w:r>
          </w:p>
        </w:tc>
        <w:tc>
          <w:tcPr>
            <w:tcW w:type="dxa" w:w="1008"/>
            <w:vAlign w:val="center"/>
          </w:tcPr>
          <w:p>
            <w:pPr>
              <w:spacing w:lineRule="auto" w:line="276"/>
              <w:jc w:val="center"/>
            </w:pPr>
            <w:r>
              <w:rPr>
                <w:rFonts w:ascii="Times New Roman" w:hAnsi="Times New Roman" w:eastAsia="宋体"/>
                <w:b w:val="0"/>
                <w:sz w:val="18"/>
              </w:rPr>
              <w:t>m</w:t>
            </w:r>
          </w:p>
        </w:tc>
        <w:tc>
          <w:tcPr>
            <w:tcW w:type="dxa" w:w="1728"/>
            <w:vAlign w:val="center"/>
          </w:tcPr>
          <w:p>
            <w:pPr>
              <w:spacing w:lineRule="auto" w:line="276"/>
              <w:jc w:val="center"/>
            </w:pPr>
            <w:r>
              <w:rPr>
                <w:rFonts w:ascii="Times New Roman" w:hAnsi="Times New Roman" w:eastAsia="宋体"/>
                <w:b w:val="0"/>
                <w:sz w:val="18"/>
              </w:rPr>
              <w:t>400</w:t>
            </w:r>
          </w:p>
        </w:tc>
        <w:tc>
          <w:tcPr>
            <w:tcW w:type="dxa" w:w="2592"/>
            <w:vAlign w:val="center"/>
          </w:tcPr>
          <w:p>
            <w:pPr>
              <w:spacing w:lineRule="auto" w:line="276"/>
              <w:jc w:val="center"/>
            </w:pPr>
            <w:r>
              <w:rPr>
                <w:rFonts w:ascii="Times New Roman" w:hAnsi="Times New Roman" w:eastAsia="宋体"/>
                <w:b w:val="0"/>
                <w:sz w:val="18"/>
              </w:rPr>
              <w:t>1.5L~2.0L</w:t>
            </w:r>
          </w:p>
        </w:tc>
      </w:tr>
      <w:tr>
        <w:tc>
          <w:tcPr>
            <w:tcW w:type="dxa" w:w="2160"/>
            <w:vAlign w:val="center"/>
          </w:tcPr>
          <w:p>
            <w:pPr>
              <w:spacing w:lineRule="auto" w:line="276"/>
              <w:jc w:val="center"/>
            </w:pPr>
            <w:r>
              <w:rPr>
                <w:rFonts w:ascii="Times New Roman" w:hAnsi="Times New Roman" w:eastAsia="宋体"/>
                <w:b w:val="0"/>
                <w:sz w:val="18"/>
              </w:rPr>
              <w:t>航道有效宽度</w:t>
            </w:r>
          </w:p>
        </w:tc>
        <w:tc>
          <w:tcPr>
            <w:tcW w:type="dxa" w:w="1080"/>
            <w:vAlign w:val="center"/>
          </w:tcPr>
          <w:p>
            <w:pPr>
              <w:spacing w:lineRule="auto" w:line="276"/>
              <w:jc w:val="center"/>
            </w:pPr>
            <w:r>
              <w:rPr>
                <w:rFonts w:ascii="Times New Roman" w:hAnsi="Times New Roman" w:eastAsia="宋体"/>
                <w:b w:val="0"/>
                <w:sz w:val="18"/>
              </w:rPr>
              <w:t>Bc</w:t>
            </w:r>
          </w:p>
        </w:tc>
        <w:tc>
          <w:tcPr>
            <w:tcW w:type="dxa" w:w="1008"/>
            <w:vAlign w:val="center"/>
          </w:tcPr>
          <w:p>
            <w:pPr>
              <w:spacing w:lineRule="auto" w:line="276"/>
              <w:jc w:val="center"/>
            </w:pPr>
            <w:r>
              <w:rPr>
                <w:rFonts w:ascii="Times New Roman" w:hAnsi="Times New Roman" w:eastAsia="宋体"/>
                <w:b w:val="0"/>
                <w:sz w:val="18"/>
              </w:rPr>
              <w:t>m</w:t>
            </w:r>
          </w:p>
        </w:tc>
        <w:tc>
          <w:tcPr>
            <w:tcW w:type="dxa" w:w="1728"/>
            <w:vAlign w:val="center"/>
          </w:tcPr>
          <w:p>
            <w:pPr>
              <w:spacing w:lineRule="auto" w:line="276"/>
              <w:jc w:val="center"/>
            </w:pPr>
            <w:r>
              <w:rPr>
                <w:rFonts w:ascii="Times New Roman" w:hAnsi="Times New Roman" w:eastAsia="宋体"/>
                <w:b w:val="0"/>
                <w:sz w:val="18"/>
              </w:rPr>
              <w:t>150</w:t>
            </w:r>
          </w:p>
        </w:tc>
        <w:tc>
          <w:tcPr>
            <w:tcW w:type="dxa" w:w="2592"/>
            <w:vAlign w:val="center"/>
          </w:tcPr>
          <w:p>
            <w:pPr>
              <w:spacing w:lineRule="auto" w:line="276"/>
              <w:jc w:val="center"/>
            </w:pPr>
            <w:r>
              <w:rPr>
                <w:rFonts w:ascii="Times New Roman" w:hAnsi="Times New Roman" w:eastAsia="宋体"/>
                <w:b w:val="0"/>
                <w:sz w:val="18"/>
              </w:rPr>
              <w:t>4.5B~5.0B</w:t>
            </w:r>
          </w:p>
        </w:tc>
      </w:tr>
      <w:tr>
        <w:tc>
          <w:tcPr>
            <w:tcW w:type="dxa" w:w="2160"/>
            <w:vAlign w:val="center"/>
          </w:tcPr>
          <w:p>
            <w:pPr>
              <w:spacing w:lineRule="auto" w:line="276"/>
              <w:jc w:val="center"/>
            </w:pPr>
            <w:r>
              <w:rPr>
                <w:rFonts w:ascii="Times New Roman" w:hAnsi="Times New Roman" w:eastAsia="宋体"/>
                <w:b w:val="0"/>
                <w:sz w:val="18"/>
              </w:rPr>
              <w:t>航道设计水深</w:t>
            </w:r>
          </w:p>
        </w:tc>
        <w:tc>
          <w:tcPr>
            <w:tcW w:type="dxa" w:w="1080"/>
            <w:vAlign w:val="center"/>
          </w:tcPr>
          <w:p>
            <w:pPr>
              <w:spacing w:lineRule="auto" w:line="276"/>
              <w:jc w:val="center"/>
            </w:pPr>
            <w:r>
              <w:rPr>
                <w:rFonts w:ascii="Times New Roman" w:hAnsi="Times New Roman" w:eastAsia="宋体"/>
                <w:b w:val="0"/>
                <w:sz w:val="18"/>
              </w:rPr>
              <w:t>-</w:t>
            </w:r>
          </w:p>
        </w:tc>
        <w:tc>
          <w:tcPr>
            <w:tcW w:type="dxa" w:w="1008"/>
            <w:vAlign w:val="center"/>
          </w:tcPr>
          <w:p>
            <w:pPr>
              <w:spacing w:lineRule="auto" w:line="276"/>
              <w:jc w:val="center"/>
            </w:pPr>
            <w:r>
              <w:rPr>
                <w:rFonts w:ascii="Times New Roman" w:hAnsi="Times New Roman" w:eastAsia="宋体"/>
                <w:b w:val="0"/>
                <w:sz w:val="18"/>
              </w:rPr>
              <w:t>m</w:t>
            </w:r>
          </w:p>
        </w:tc>
        <w:tc>
          <w:tcPr>
            <w:tcW w:type="dxa" w:w="1728"/>
            <w:vAlign w:val="center"/>
          </w:tcPr>
          <w:p>
            <w:pPr>
              <w:spacing w:lineRule="auto" w:line="276"/>
              <w:jc w:val="center"/>
            </w:pPr>
            <w:r>
              <w:rPr>
                <w:rFonts w:ascii="Times New Roman" w:hAnsi="Times New Roman" w:eastAsia="宋体"/>
                <w:b w:val="0"/>
                <w:sz w:val="18"/>
              </w:rPr>
              <w:t>13.50</w:t>
            </w:r>
          </w:p>
        </w:tc>
        <w:tc>
          <w:tcPr>
            <w:tcW w:type="dxa" w:w="2592"/>
            <w:vAlign w:val="center"/>
          </w:tcPr>
          <w:p>
            <w:pPr>
              <w:spacing w:lineRule="auto" w:line="276"/>
              <w:jc w:val="center"/>
            </w:pPr>
            <w:r>
              <w:rPr>
                <w:rFonts w:ascii="Times New Roman" w:hAnsi="Times New Roman" w:eastAsia="宋体"/>
                <w:b w:val="0"/>
                <w:sz w:val="18"/>
              </w:rPr>
              <w:t>与前沿一致</w:t>
            </w:r>
          </w:p>
        </w:tc>
      </w:tr>
    </w:tbl>
    <w:p/>
    <w:p>
      <w:pPr>
        <w:spacing w:lineRule="auto" w:line="360" w:before="0" w:after="0"/>
        <w:ind w:firstLine="480"/>
      </w:pPr>
      <w:r>
        <w:rPr>
          <w:rFonts w:ascii="Times New Roman" w:hAnsi="Times New Roman" w:eastAsia="宋体"/>
          <w:sz w:val="24"/>
        </w:rPr>
        <w:t>回旋水域长轴取500m、短轴取400m，能够满足设计船型在拖轮辅助下完成掉头。若实际港池内同时存在靠离泊、锚泊或施工作业，调度上应限制多船交叉作业，保证回旋水域不被临时占用。</w:t>
      </w:r>
    </w:p>
    <w:p>
      <w:pPr>
        <w:spacing w:lineRule="auto" w:line="360" w:before="0" w:after="0"/>
        <w:ind w:firstLine="480"/>
      </w:pPr>
      <w:r>
        <w:rPr>
          <w:rFonts w:ascii="Times New Roman" w:hAnsi="Times New Roman" w:eastAsia="宋体"/>
          <w:sz w:val="24"/>
        </w:rPr>
        <w:t>航道与停泊水域连接处应避免急折线。总平面图中航道、回旋水域和码头前沿的关系应清楚表达，便于评审时判断船舶进出港路线、靠泊角度和拖轮作业空间。</w:t>
      </w:r>
    </w:p>
    <w:p>
      <w:pPr>
        <w:pStyle w:val="2"/>
        <w:jc w:val="left"/>
      </w:pPr>
      <w:r>
        <w:rPr>
          <w:rFonts w:ascii="Times New Roman" w:hAnsi="Times New Roman" w:eastAsia="宋体"/>
          <w:b/>
          <w:sz w:val="24"/>
        </w:rPr>
        <w:t xml:space="preserve"> 陆域布置</w:t>
      </w:r>
    </w:p>
    <w:p>
      <w:pPr>
        <w:pStyle w:val="3"/>
        <w:jc w:val="left"/>
      </w:pPr>
      <w:r>
        <w:rPr>
          <w:rFonts w:ascii="Times New Roman" w:hAnsi="Times New Roman" w:eastAsia="宋体"/>
          <w:b/>
          <w:sz w:val="24"/>
        </w:rPr>
        <w:t xml:space="preserve"> 堆场容量</w:t>
      </w:r>
    </w:p>
    <w:p>
      <w:pPr>
        <w:spacing w:lineRule="auto" w:line="360" w:before="0" w:after="0"/>
        <w:ind w:firstLine="480"/>
      </w:pPr>
      <w:r>
        <w:rPr>
          <w:rFonts w:ascii="Times New Roman" w:hAnsi="Times New Roman" w:eastAsia="宋体"/>
          <w:sz w:val="24"/>
        </w:rPr>
        <w:t>堆场容量按年货运量、到港不均衡系数、平均堆存期和年工作天数计算。进口重箱平均堆存期取8d，堆场工作不平衡系数取1.20，到港月不平衡系数取1.15。</w:t>
      </w:r>
    </w:p>
    <w:p>
      <w:pPr>
        <w:tabs>
          <w:tab w:pos="4100" w:val="center"/>
          <w:tab w:pos="8200" w:val="right"/>
        </w:tabs>
        <w:spacing w:lineRule="auto" w:line="360" w:before="0" w:after="0"/>
        <w:jc w:val="left"/>
      </w:pPr>
      <w:r>
        <w:tab/>
      </w:r>
      <m:oMath>
        <m:r>
          <m:t>E</m:t>
        </m:r>
        <m:r>
          <m:rPr>
            <m:sty m:val="p"/>
          </m:rPr>
          <m:t>=</m:t>
        </m:r>
        <m:sSub>
          <m:e>
            <m:r>
              <m:t>Q</m:t>
            </m:r>
          </m:e>
          <m:sub>
            <m:r>
              <m:t>h</m:t>
            </m:r>
          </m:sub>
        </m:sSub>
        <m:sSub>
          <m:e>
            <m:r>
              <m:t>K</m:t>
            </m:r>
          </m:e>
          <m:sub>
            <m:r>
              <m:t>B</m:t>
            </m:r>
          </m:sub>
        </m:sSub>
        <m:r>
          <m:t>K</m:t>
        </m:r>
        <m:sSub>
          <m:e>
            <m:r>
              <m:t>K</m:t>
            </m:r>
          </m:e>
          <m:sub>
            <m:r>
              <m:t>d</m:t>
            </m:r>
          </m:sub>
        </m:sSub>
        <m:sSub>
          <m:e>
            <m:r>
              <m:t>t</m:t>
            </m:r>
          </m:e>
          <m:sub>
            <m:r>
              <m:t>d</m:t>
            </m:r>
          </m:sub>
        </m:sSub>
        <m:r>
          <m:t>c</m:t>
        </m:r>
        <m:r>
          <m:rPr>
            <m:sty m:val="p"/>
          </m:rPr>
          <m:t>/</m:t>
        </m:r>
        <m:sSub>
          <m:e>
            <m:r>
              <m:t>T</m:t>
            </m:r>
          </m:e>
          <m:sub>
            <m:r>
              <m:t>y</m:t>
            </m:r>
          </m:sub>
        </m:sSub>
        <m:r>
          <m:t>k</m:t>
        </m:r>
      </m:oMath>
      <w:r>
        <w:rPr>
          <w:rFonts w:ascii="Times New Roman" w:hAnsi="Times New Roman" w:eastAsia="宋体"/>
          <w:sz w:val="24"/>
        </w:rPr>
        <w:tab/>
        <w:t>（4.4）</w:t>
      </w:r>
    </w:p>
    <w:p>
      <w:pPr>
        <w:spacing w:lineRule="auto" w:line="360" w:before="0" w:after="0"/>
        <w:ind w:firstLine="480"/>
      </w:pPr>
      <w:r>
        <w:rPr>
          <w:rFonts w:ascii="Times New Roman" w:hAnsi="Times New Roman" w:eastAsia="宋体"/>
          <w:sz w:val="24"/>
        </w:rPr>
        <w:t>代入Qh=500000TEU、KBK=1.20、Kd=1.15、tdc=8d、Tyk=350d，计算堆场所需容量约15771TEU，设计取16000TEU。</w:t>
      </w:r>
    </w:p>
    <w:p>
      <w:pPr>
        <w:tabs>
          <w:tab w:pos="4100" w:val="center"/>
          <w:tab w:pos="8200" w:val="right"/>
        </w:tabs>
        <w:spacing w:lineRule="auto" w:line="360" w:before="0" w:after="0"/>
        <w:jc w:val="left"/>
      </w:pPr>
      <w:r>
        <w:tab/>
      </w:r>
      <m:oMath>
        <m:sSub>
          <m:e>
            <m:r>
              <m:t>N</m:t>
            </m:r>
          </m:e>
          <m:sub>
            <m:r>
              <m:t>s</m:t>
            </m:r>
          </m:sub>
        </m:sSub>
        <m:r>
          <m:rPr>
            <m:sty m:val="p"/>
          </m:rPr>
          <m:t>=</m:t>
        </m:r>
        <m:r>
          <m:t>E</m:t>
        </m:r>
        <m:r>
          <m:rPr>
            <m:sty m:val="p"/>
          </m:rPr>
          <m:t>/</m:t>
        </m:r>
        <m:r>
          <m:rPr>
            <m:sty m:val="p"/>
          </m:rPr>
          <m:t>(</m:t>
        </m:r>
        <m:sSub>
          <m:e>
            <m:r>
              <m:t>n</m:t>
            </m:r>
          </m:e>
          <m:sub>
            <m:r>
              <m:t>c</m:t>
            </m:r>
          </m:sub>
        </m:sSub>
        <m:sSub>
          <m:e>
            <m:r>
              <m:t>K</m:t>
            </m:r>
          </m:e>
          <m:sub>
            <m:r>
              <m:t>s</m:t>
            </m:r>
          </m:sub>
        </m:sSub>
        <m:r>
          <m:rPr>
            <m:sty m:val="p"/>
          </m:rPr>
          <m:t>)</m:t>
        </m:r>
        <m:r>
          <m:rPr>
            <m:sty m:val="p"/>
          </m:rPr>
          <m:t>=</m:t>
        </m:r>
        <m:r>
          <m:t>16000</m:t>
        </m:r>
        <m:r>
          <m:rPr>
            <m:sty m:val="p"/>
          </m:rPr>
          <m:t>/</m:t>
        </m:r>
        <m:r>
          <m:rPr>
            <m:sty m:val="p"/>
          </m:rPr>
          <m:t>(</m:t>
        </m:r>
        <m:r>
          <m:t>4</m:t>
        </m:r>
        <m:r>
          <m:rPr>
            <m:sty m:val="p"/>
          </m:rPr>
          <m:t>×</m:t>
        </m:r>
        <m:r>
          <m:t>0.80</m:t>
        </m:r>
        <m:r>
          <m:rPr>
            <m:sty m:val="p"/>
          </m:rPr>
          <m:t>)</m:t>
        </m:r>
        <m:r>
          <m:rPr>
            <m:sty m:val="p"/>
          </m:rPr>
          <m:t>=</m:t>
        </m:r>
        <m:r>
          <m:t>5000</m:t>
        </m:r>
      </m:oMath>
      <w:r>
        <w:rPr>
          <w:rFonts w:ascii="Times New Roman" w:hAnsi="Times New Roman" w:eastAsia="宋体"/>
          <w:sz w:val="24"/>
        </w:rPr>
        <w:tab/>
        <w:t>（4.5）</w:t>
      </w:r>
    </w:p>
    <w:p>
      <w:pPr>
        <w:spacing w:lineRule="auto" w:line="360" w:before="0" w:after="0"/>
        <w:ind w:firstLine="480"/>
      </w:pPr>
      <w:r>
        <w:rPr>
          <w:rFonts w:ascii="Times New Roman" w:hAnsi="Times New Roman" w:eastAsia="宋体"/>
          <w:sz w:val="24"/>
        </w:rPr>
        <w:t>堆箱层数按轮胎式场桥堆4过5考虑，堆场高度利用系数取0.80，计算地面箱位数为5000TEU。</w:t>
      </w:r>
    </w:p>
    <w:p>
      <w:pPr>
        <w:spacing w:lineRule="auto" w:line="360" w:before="0" w:after="0"/>
        <w:ind w:firstLine="480"/>
      </w:pPr>
      <w:r>
        <w:rPr>
          <w:rFonts w:ascii="Times New Roman" w:hAnsi="Times New Roman" w:eastAsia="宋体"/>
          <w:sz w:val="24"/>
        </w:rPr>
        <w:t>堆场容量计算以进口重箱为主要控制对象。进口重箱停留时间通常长于出口箱，受查验、提箱预约和铁路换装影响较明显，因此平均堆存期取8d。若未来外贸查验比例提高或铁路集疏运衔接不畅，堆存期可能延长，应通过预约提箱和分区堆存减小峰值压力。</w:t>
      </w:r>
    </w:p>
    <w:p>
      <w:pPr>
        <w:spacing w:lineRule="auto" w:line="360" w:before="0" w:after="0"/>
        <w:ind w:firstLine="480"/>
      </w:pPr>
      <w:r>
        <w:rPr>
          <w:rFonts w:ascii="Times New Roman" w:hAnsi="Times New Roman" w:eastAsia="宋体"/>
          <w:sz w:val="24"/>
        </w:rPr>
        <w:t>地面箱位数按4层堆存和0.80高度利用系数确定。高度利用系数反映箱型差异、翻箱作业、安全通道、冷藏箱插座和危险品隔离对堆存效率的影响，采用0.80比理论满堆更接近实际生产。</w:t>
      </w:r>
    </w:p>
    <w:p>
      <w:pPr>
        <w:pStyle w:val="3"/>
        <w:jc w:val="left"/>
      </w:pPr>
      <w:r>
        <w:rPr>
          <w:rFonts w:ascii="Times New Roman" w:hAnsi="Times New Roman" w:eastAsia="宋体"/>
          <w:b/>
          <w:sz w:val="24"/>
        </w:rPr>
        <w:t xml:space="preserve"> 堆场面积与分区</w:t>
      </w:r>
    </w:p>
    <w:p>
      <w:pPr>
        <w:tabs>
          <w:tab w:pos="4100" w:val="center"/>
          <w:tab w:pos="8200" w:val="right"/>
        </w:tabs>
        <w:spacing w:lineRule="auto" w:line="360" w:before="0" w:after="0"/>
        <w:jc w:val="left"/>
      </w:pPr>
      <w:r>
        <w:tab/>
      </w:r>
      <m:oMath>
        <m:sSub>
          <m:e>
            <m:r>
              <m:t>A</m:t>
            </m:r>
          </m:e>
          <m:sub>
            <m:r>
              <m:t>y</m:t>
            </m:r>
          </m:sub>
        </m:sSub>
        <m:r>
          <m:rPr>
            <m:sty m:val="p"/>
          </m:rPr>
          <m:t>=</m:t>
        </m:r>
        <m:sSub>
          <m:e>
            <m:r>
              <m:t>N</m:t>
            </m:r>
          </m:e>
          <m:sub>
            <m:r>
              <m:t>s</m:t>
            </m:r>
          </m:sub>
        </m:sSub>
        <m:sSub>
          <m:e>
            <m:r>
              <m:t>A</m:t>
            </m:r>
          </m:e>
          <m:sub>
            <m:r>
              <m:t>d</m:t>
            </m:r>
          </m:sub>
        </m:sSub>
        <m:sSub>
          <m:e>
            <m:r>
              <m:t>K</m:t>
            </m:r>
          </m:e>
          <m:sub>
            <m:r>
              <m:t>a</m:t>
            </m:r>
          </m:sub>
        </m:sSub>
        <m:r>
          <m:rPr>
            <m:sty m:val="p"/>
          </m:rPr>
          <m:t>=</m:t>
        </m:r>
        <m:r>
          <m:t>5000</m:t>
        </m:r>
        <m:r>
          <m:rPr>
            <m:sty m:val="p"/>
          </m:rPr>
          <m:t>×</m:t>
        </m:r>
        <m:r>
          <m:t>28</m:t>
        </m:r>
        <m:r>
          <m:rPr>
            <m:sty m:val="p"/>
          </m:rPr>
          <m:t>×</m:t>
        </m:r>
        <m:r>
          <m:t>1.40</m:t>
        </m:r>
        <m:r>
          <m:rPr>
            <m:sty m:val="p"/>
          </m:rPr>
          <m:t>=</m:t>
        </m:r>
        <m:r>
          <m:t>196000</m:t>
        </m:r>
        <m:sSup>
          <m:e>
            <m:r>
              <m:t>m</m:t>
            </m:r>
          </m:e>
          <m:sup>
            <m:r>
              <m:t>2</m:t>
            </m:r>
          </m:sup>
        </m:sSup>
      </m:oMath>
      <w:r>
        <w:rPr>
          <w:rFonts w:ascii="Times New Roman" w:hAnsi="Times New Roman" w:eastAsia="宋体"/>
          <w:sz w:val="24"/>
        </w:rPr>
        <w:tab/>
        <w:t>（4.6）</w:t>
      </w:r>
    </w:p>
    <w:p>
      <w:pPr>
        <w:spacing w:lineRule="auto" w:line="360" w:before="0" w:after="0"/>
        <w:ind w:firstLine="480"/>
      </w:pPr>
      <w:r>
        <w:rPr>
          <w:rFonts w:ascii="Times New Roman" w:hAnsi="Times New Roman" w:eastAsia="宋体"/>
          <w:sz w:val="24"/>
        </w:rPr>
        <w:t>单个标准箱位占地面积按28m²/TEU考虑，通道及辅助面积系数取1.40，计算堆场面积约19.6万m²，设计取20万m²。码头陆域纵深结合堆场面积、道路和辅助设施取850m。</w:t>
      </w:r>
    </w:p>
    <w:p>
      <w:pPr>
        <w:spacing w:lineRule="auto" w:line="360" w:before="0" w:after="0"/>
        <w:ind w:firstLine="480"/>
      </w:pPr>
      <w:r>
        <w:rPr>
          <w:rFonts w:ascii="Times New Roman" w:hAnsi="Times New Roman" w:eastAsia="宋体"/>
          <w:sz w:val="24"/>
        </w:rPr>
        <w:t>堆场按重箱区、空箱区、冷藏箱区、危险品箱区和预留发展区分区布置。</w:t>
      </w:r>
      <w:r>
        <w:rPr>
          <w:rFonts w:ascii="Times New Roman" w:hAnsi="Times New Roman" w:eastAsia="宋体"/>
          <w:sz w:val="24"/>
          <w:vertAlign w:val="superscript"/>
        </w:rPr>
        <w:t>[11]</w:t>
      </w:r>
      <w:r>
        <w:rPr>
          <w:rFonts w:ascii="Times New Roman" w:hAnsi="Times New Roman" w:eastAsia="宋体"/>
          <w:sz w:val="24"/>
        </w:rPr>
        <w:t>重箱区靠近码头前沿，减少水平运输距离；空箱区布置在堆场后方；冷藏箱区靠近变电所；危险品箱区布置在边缘下风向位置并与其他箱区保持安全距离。</w:t>
      </w:r>
    </w:p>
    <w:p>
      <w:pPr>
        <w:spacing w:lineRule="auto" w:line="360" w:before="0" w:after="0"/>
        <w:ind w:firstLine="480"/>
      </w:pPr>
      <w:r>
        <w:rPr>
          <w:rFonts w:ascii="Times New Roman" w:hAnsi="Times New Roman" w:eastAsia="宋体"/>
          <w:sz w:val="24"/>
        </w:rPr>
        <w:t>重箱区宜靠近码头前沿并沿岸线方向展开，使岸桥下箱后可以快速进入对应堆区。空箱区布置在后方，可减少空箱调拨对前沿作业的干扰；冷藏箱区靠近变电所和维修通道，便于插座供电和巡检；危险品箱区布置在相对独立位置，满足消防、通风和隔离要求。</w:t>
      </w:r>
    </w:p>
    <w:p>
      <w:pPr>
        <w:spacing w:lineRule="auto" w:line="360" w:before="0" w:after="0"/>
        <w:ind w:firstLine="480"/>
      </w:pPr>
      <w:r>
        <w:rPr>
          <w:rFonts w:ascii="Times New Roman" w:hAnsi="Times New Roman" w:eastAsia="宋体"/>
          <w:sz w:val="24"/>
        </w:rPr>
        <w:t>堆场排水采用横坡与纵坡组合。箱区地面需保证雨水快速排入道路边沟或排水管网，避免箱底长期积水；冷藏箱区和危险品箱区还应考虑事故水收集，防止污染物直接进入港池。</w:t>
      </w:r>
    </w:p>
    <w:p>
      <w:pPr>
        <w:pStyle w:val="3"/>
        <w:jc w:val="left"/>
      </w:pPr>
      <w:r>
        <w:rPr>
          <w:rFonts w:ascii="Times New Roman" w:hAnsi="Times New Roman" w:eastAsia="宋体"/>
          <w:b/>
          <w:sz w:val="24"/>
        </w:rPr>
        <w:t xml:space="preserve"> 道路、闸口与铁路衔接</w:t>
      </w:r>
    </w:p>
    <w:p>
      <w:pPr>
        <w:spacing w:lineRule="auto" w:line="360" w:before="0" w:after="0"/>
        <w:ind w:firstLine="480"/>
      </w:pPr>
      <w:r>
        <w:rPr>
          <w:rFonts w:ascii="Times New Roman" w:hAnsi="Times New Roman" w:eastAsia="宋体"/>
          <w:sz w:val="24"/>
        </w:rPr>
        <w:t>港内道路分为主干道、次干道和支路。主干道沿堆场周边环形布置，宽度取25m，满足集装箱牵引车及半挂车双向通行；次干道位于箱区之间，宽度取15m；支路服务辅助建筑物和维修区，宽度取10m。</w:t>
      </w:r>
    </w:p>
    <w:p>
      <w:pPr>
        <w:spacing w:lineRule="auto" w:line="360" w:before="0" w:after="0"/>
        <w:ind w:firstLine="480"/>
      </w:pPr>
      <w:r>
        <w:rPr>
          <w:rFonts w:ascii="Times New Roman" w:hAnsi="Times New Roman" w:eastAsia="宋体"/>
          <w:sz w:val="24"/>
        </w:rPr>
        <w:t>主出入口布置在陆域后方，与疏港公路衔接。闸口设置多车道智能闸口系统，承担进出港箱号识别、查验、称重和单证核验。铁路装卸区布置在堆场后方，设置到发线和装卸线，便于海铁联运换装。</w:t>
      </w:r>
    </w:p>
    <w:p>
      <w:pPr>
        <w:spacing w:before="120" w:after="0"/>
        <w:jc w:val="center"/>
      </w:pPr>
      <w:r>
        <w:drawing>
          <wp:inline xmlns:a="http://schemas.openxmlformats.org/drawingml/2006/main" xmlns:pic="http://schemas.openxmlformats.org/drawingml/2006/picture">
            <wp:extent cx="5349240" cy="3566160"/>
            <wp:docPr id="4" name="Picture 4"/>
            <wp:cNvGraphicFramePr>
              <a:graphicFrameLocks noChangeAspect="1"/>
            </wp:cNvGraphicFramePr>
            <a:graphic>
              <a:graphicData uri="http://schemas.openxmlformats.org/drawingml/2006/picture">
                <pic:pic>
                  <pic:nvPicPr>
                    <pic:cNvPr id="0" name="fig4-1-yard-traffic-imagegen.png"/>
                    <pic:cNvPicPr/>
                  </pic:nvPicPr>
                  <pic:blipFill>
                    <a:blip r:embed="rId28"/>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图4-1 码头陆域功能分区与交通组织示意</w:t>
      </w:r>
    </w:p>
    <w:p>
      <w:pPr>
        <w:spacing w:lineRule="auto" w:line="360" w:before="0" w:after="0"/>
        <w:ind w:firstLine="480"/>
      </w:pPr>
      <w:r>
        <w:rPr>
          <w:rFonts w:ascii="Times New Roman" w:hAnsi="Times New Roman" w:eastAsia="宋体"/>
          <w:sz w:val="24"/>
        </w:rPr>
        <w:t>图4-1从平面组织角度说明陆域功能分区和集卡循环路径。</w:t>
      </w:r>
      <w:r>
        <w:rPr>
          <w:rFonts w:ascii="Times New Roman" w:hAnsi="Times New Roman" w:eastAsia="宋体"/>
          <w:sz w:val="24"/>
          <w:vertAlign w:val="superscript"/>
        </w:rPr>
        <w:t>[12]</w:t>
      </w:r>
      <w:r>
        <w:rPr>
          <w:rFonts w:ascii="Times New Roman" w:hAnsi="Times New Roman" w:eastAsia="宋体"/>
          <w:sz w:val="24"/>
        </w:rPr>
        <w:t>岸桥作业带、重箱区、空箱区、冷藏箱区、危险品箱区、闸口和铁路装卸线分别承担不同作业功能；25m主干道形成外部循环，15m次干道连接各箱区，使卸船、堆存、查验和疏运流程保持连续。</w:t>
      </w:r>
    </w:p>
    <w:p>
      <w:pPr>
        <w:spacing w:lineRule="auto" w:line="360" w:before="0" w:after="0"/>
        <w:ind w:firstLine="480"/>
      </w:pPr>
      <w:r>
        <w:rPr>
          <w:rFonts w:ascii="Times New Roman" w:hAnsi="Times New Roman" w:eastAsia="宋体"/>
          <w:sz w:val="24"/>
        </w:rPr>
        <w:t>港内道路组织采用“前沿作业车辆内循环、外集卡外围进出”的原则。岸桥下集卡主要在前沿和重箱区之间循环，外集卡由闸口进入后按指令到达指定箱区，铁路换装车辆在后方组织，减少不同作业车辆在同一交叉口集中冲突。</w:t>
      </w:r>
    </w:p>
    <w:p>
      <w:pPr>
        <w:spacing w:lineRule="auto" w:line="360" w:before="0" w:after="0"/>
        <w:ind w:firstLine="480"/>
      </w:pPr>
      <w:r>
        <w:rPr>
          <w:rFonts w:ascii="Times New Roman" w:hAnsi="Times New Roman" w:eastAsia="宋体"/>
          <w:sz w:val="24"/>
        </w:rPr>
        <w:t>闸口能力应与日高峰箱量相匹配。按进口箱提离和空箱回场综合考虑，闸口车道应具备车牌识别、箱号识别、称重、查验指引和异常处理功能。道路转弯半径按集装箱半挂车运行要求控制，交叉口处设置足够视距和等待区。</w:t>
      </w:r>
    </w:p>
    <w:p>
      <w:pPr>
        <w:pStyle w:val="2"/>
        <w:jc w:val="left"/>
      </w:pPr>
      <w:r>
        <w:rPr>
          <w:rFonts w:ascii="Times New Roman" w:hAnsi="Times New Roman" w:eastAsia="宋体"/>
          <w:b/>
          <w:sz w:val="24"/>
        </w:rPr>
        <w:t xml:space="preserve"> 总平面布置图说明</w:t>
      </w:r>
    </w:p>
    <w:p>
      <w:pPr>
        <w:spacing w:before="120" w:after="0"/>
        <w:jc w:val="center"/>
      </w:pPr>
      <w:r>
        <w:drawing>
          <wp:inline xmlns:a="http://schemas.openxmlformats.org/drawingml/2006/main" xmlns:pic="http://schemas.openxmlformats.org/drawingml/2006/picture">
            <wp:extent cx="5394960" cy="3810795"/>
            <wp:docPr id="5" name="Picture 5"/>
            <wp:cNvGraphicFramePr>
              <a:graphicFrameLocks noChangeAspect="1"/>
            </wp:cNvGraphicFramePr>
            <a:graphic>
              <a:graphicData uri="http://schemas.openxmlformats.org/drawingml/2006/picture">
                <pic:pic>
                  <pic:nvPicPr>
                    <pic:cNvPr id="0" name="G-01_general_layout_revised_rail_road.png"/>
                    <pic:cNvPicPr/>
                  </pic:nvPicPr>
                  <pic:blipFill>
                    <a:blip r:embed="rId29"/>
                    <a:stretch>
                      <a:fillRect/>
                    </a:stretch>
                  </pic:blipFill>
                  <pic:spPr>
                    <a:xfrm>
                      <a:off x="0" y="0"/>
                      <a:ext cx="5394960" cy="3810795"/>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图4-2 集装箱码头总平面布置图</w:t>
      </w:r>
    </w:p>
    <w:p>
      <w:pPr>
        <w:spacing w:lineRule="auto" w:line="360" w:before="0" w:after="0"/>
        <w:ind w:firstLine="480"/>
      </w:pPr>
      <w:r>
        <w:rPr>
          <w:rFonts w:ascii="Times New Roman" w:hAnsi="Times New Roman" w:eastAsia="宋体"/>
          <w:sz w:val="24"/>
        </w:rPr>
        <w:t>图4-2表达了码头前沿、停泊水域、回旋水域、航道、堆场、道路、铁路装卸区和辅助建筑物之间的总体关系。码头前沿布置在图纸下侧，前沿作业带与堆场通过多条横向道路衔接，后方设置铁路装卸线和到发线，形成公铁水多方式集疏运组织。</w:t>
      </w:r>
    </w:p>
    <w:p>
      <w:pPr>
        <w:spacing w:lineRule="auto" w:line="360" w:before="0" w:after="0"/>
        <w:ind w:firstLine="480"/>
      </w:pPr>
      <w:r>
        <w:rPr>
          <w:rFonts w:ascii="Times New Roman" w:hAnsi="Times New Roman" w:eastAsia="宋体"/>
          <w:sz w:val="24"/>
        </w:rPr>
        <w:t>总平面中，水域侧重点控制停泊水域宽度、回旋水域尺度和航道有效宽度；陆域侧重点控制堆场纵深、主次道路宽度、箱区分区和闸口位置。通过环形主干道组织集卡循环，可减少交叉冲突，提高码头运行效率。</w:t>
      </w:r>
    </w:p>
    <w:p>
      <w:pPr>
        <w:spacing w:lineRule="auto" w:line="360" w:before="0" w:after="0"/>
        <w:ind w:firstLine="480"/>
      </w:pPr>
      <w:r>
        <w:rPr>
          <w:rFonts w:ascii="Times New Roman" w:hAnsi="Times New Roman" w:eastAsia="宋体"/>
          <w:sz w:val="24"/>
        </w:rPr>
        <w:t>总平面图不仅表现用地分区，也反映设计计算的结果。泊位长度来自设计船型和岸桥布置，前沿水深来自吃水与富裕水深，堆场面积来自箱量与堆存期，道路宽度来自车辆组织和交通流线。图纸中的每一类尺度均应能在说明书中找到对应依据。</w:t>
      </w:r>
    </w:p>
    <w:p>
      <w:pPr>
        <w:spacing w:lineRule="auto" w:line="360" w:before="0" w:after="0"/>
        <w:ind w:firstLine="480"/>
      </w:pPr>
      <w:r>
        <w:rPr>
          <w:rFonts w:ascii="Times New Roman" w:hAnsi="Times New Roman" w:eastAsia="宋体"/>
          <w:sz w:val="24"/>
        </w:rPr>
        <w:t>图4-2所示总平面将前沿作业区、堆场区、道路系统、铁路衔接区和辅助区分层组织。该布置便于进口箱从船舶到堆场再到疏港通道形成连续流程，也为第六章结构图纸和第七章工程量估算提供平面边界。</w:t>
      </w:r>
    </w:p>
    <w:p>
      <w:pPr>
        <w:spacing w:lineRule="auto" w:line="360" w:before="0" w:after="0"/>
        <w:ind w:firstLine="480"/>
      </w:pPr>
      <w:r>
        <w:rPr>
          <w:rFonts w:ascii="Times New Roman" w:hAnsi="Times New Roman" w:eastAsia="宋体"/>
          <w:sz w:val="24"/>
        </w:rPr>
        <w:t>总平面布置还要考虑建设时序。基槽开挖、基床抛石、沉箱沉放和胸墙浇筑均集中在码头前沿水域，后方堆场和道路施工可与部分水工结构施工穿插进行。若施工组织不协调，前沿吊装、材料运输和后方场地填筑会相互影响，因此总平面应保留施工通道和临时堆料空间。</w:t>
      </w:r>
    </w:p>
    <w:p>
      <w:pPr>
        <w:spacing w:lineRule="auto" w:line="360" w:before="0" w:after="0"/>
        <w:ind w:firstLine="480"/>
      </w:pPr>
      <w:r>
        <w:rPr>
          <w:rFonts w:ascii="Times New Roman" w:hAnsi="Times New Roman" w:eastAsia="宋体"/>
          <w:sz w:val="24"/>
        </w:rPr>
        <w:t>陆域排水和道路高程应与码头面高程统一。码头面顶高程取+5.50m后，堆场地面需形成向排水沟和雨水管网的合理坡度，同时避免箱区局部低洼。强降雨条件下，若堆场排水不畅，会影响箱区通行、冷藏箱供电和危险品箱安全管理。</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本章完成了水域及陆域布置设计。设计确定停泊水域宽度65m、回旋水域500m×400m、航道有效宽度150m、堆场面积约20万m²、陆域纵深850m，形成与3万吨级集装箱船和50万TEU年通过能力相匹配的总平面方案。</w:t>
      </w:r>
    </w:p>
    <w:p>
      <w:pPr>
        <w:spacing w:lineRule="auto" w:line="360" w:before="0" w:after="0"/>
        <w:ind w:firstLine="480"/>
      </w:pPr>
      <w:r>
        <w:rPr>
          <w:rFonts w:ascii="Times New Roman" w:hAnsi="Times New Roman" w:eastAsia="宋体"/>
          <w:sz w:val="24"/>
        </w:rPr>
        <w:t>本章扩展了水域、陆域、堆场和交通组织的设计理由，使后续结构和工艺计算不再孤立。总体看，300m岸线、13.50m前沿水深、20万m²堆场和850m陆域纵深能够共同支撑50万TEU/年的设计规模。</w:t>
      </w:r>
    </w:p>
    <w:p>
      <w:pPr>
        <w:pStyle w:val="1"/>
        <w:pageBreakBefore/>
        <w:jc w:val="center"/>
      </w:pPr>
      <w:r>
        <w:rPr>
          <w:rFonts w:ascii="Times New Roman" w:hAnsi="Times New Roman" w:eastAsia="宋体"/>
          <w:b/>
          <w:sz w:val="30"/>
        </w:rPr>
        <w:t xml:space="preserve"> 装卸工艺</w:t>
      </w:r>
    </w:p>
    <w:p>
      <w:pPr>
        <w:pStyle w:val="2"/>
        <w:jc w:val="left"/>
      </w:pPr>
      <w:r>
        <w:rPr>
          <w:rFonts w:ascii="Times New Roman" w:hAnsi="Times New Roman" w:eastAsia="宋体"/>
          <w:b/>
          <w:sz w:val="24"/>
        </w:rPr>
        <w:t xml:space="preserve"> 总体工艺方案</w:t>
      </w:r>
    </w:p>
    <w:p>
      <w:pPr>
        <w:spacing w:lineRule="auto" w:line="360" w:before="0" w:after="0"/>
        <w:ind w:firstLine="480"/>
      </w:pPr>
      <w:r>
        <w:rPr>
          <w:rFonts w:ascii="Times New Roman" w:hAnsi="Times New Roman" w:eastAsia="宋体"/>
          <w:sz w:val="24"/>
        </w:rPr>
        <w:t>本工程采用“岸桥—集装箱牵引车+半挂车—轮胎式场桥”的三级式装卸工艺。该工艺成熟可靠、设备通用性强、调度方式灵活，适合中型集装箱进口泊位。</w:t>
      </w:r>
    </w:p>
    <w:p>
      <w:pPr>
        <w:spacing w:lineRule="auto" w:line="360" w:before="0" w:after="0"/>
        <w:ind w:firstLine="480"/>
      </w:pPr>
      <w:r>
        <w:rPr>
          <w:rFonts w:ascii="Times New Roman" w:hAnsi="Times New Roman" w:eastAsia="宋体"/>
          <w:sz w:val="24"/>
        </w:rPr>
        <w:t>卸船作业中，岸桥负责船岸装卸，集装箱牵引车负责码头前沿与堆场之间的水平运输，轮胎式场桥负责堆场内的取放箱作业。三类设备的能力应相互匹配，避免岸桥等待集卡或堆场拥堵。</w:t>
      </w:r>
    </w:p>
    <w:p>
      <w:pPr>
        <w:spacing w:lineRule="auto" w:line="360" w:before="0" w:after="0"/>
        <w:ind w:firstLine="480"/>
      </w:pPr>
      <w:r>
        <w:rPr>
          <w:rFonts w:ascii="Times New Roman" w:hAnsi="Times New Roman" w:eastAsia="宋体"/>
          <w:sz w:val="24"/>
        </w:rPr>
        <w:t>本泊位进口卸船流程为：船舶靠泊后，岸桥从船舱或甲板吊取集装箱，放置于码头前沿集卡半挂车上；集卡沿前沿道路和主干道驶入堆场；RTG在指定箱区完成卸箱堆存；后续根据提箱计划通过闸口、公路或铁路疏运。</w:t>
      </w:r>
    </w:p>
    <w:p>
      <w:pPr>
        <w:spacing w:before="120" w:after="0"/>
        <w:jc w:val="center"/>
      </w:pPr>
      <w:r>
        <w:drawing>
          <wp:inline xmlns:a="http://schemas.openxmlformats.org/drawingml/2006/main" xmlns:pic="http://schemas.openxmlformats.org/drawingml/2006/picture">
            <wp:extent cx="5257800" cy="2060596"/>
            <wp:docPr id="6" name="Picture 6"/>
            <wp:cNvGraphicFramePr>
              <a:graphicFrameLocks noChangeAspect="1"/>
            </wp:cNvGraphicFramePr>
            <a:graphic>
              <a:graphicData uri="http://schemas.openxmlformats.org/drawingml/2006/picture">
                <pic:pic>
                  <pic:nvPicPr>
                    <pic:cNvPr id="0" name="fig5-1-handling-flow-imagegen.png"/>
                    <pic:cNvPicPr/>
                  </pic:nvPicPr>
                  <pic:blipFill>
                    <a:blip r:embed="rId30"/>
                    <a:stretch>
                      <a:fillRect/>
                    </a:stretch>
                  </pic:blipFill>
                  <pic:spPr>
                    <a:xfrm>
                      <a:off x="0" y="0"/>
                      <a:ext cx="5257800" cy="2060596"/>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图5-1 集装箱进口卸船作业流程</w:t>
      </w:r>
    </w:p>
    <w:p>
      <w:pPr>
        <w:spacing w:lineRule="auto" w:line="360" w:before="0" w:after="0"/>
        <w:ind w:firstLine="480"/>
      </w:pPr>
      <w:r>
        <w:rPr>
          <w:rFonts w:ascii="Times New Roman" w:hAnsi="Times New Roman" w:eastAsia="宋体"/>
          <w:sz w:val="24"/>
        </w:rPr>
        <w:t>图5-1把进口卸船作业拆分为船舶靠泊、岸桥卸船、集卡接箱、水平运输、堆场交接、RTG堆存和闸口/铁路疏运等环节。查验箱、冷藏箱和危险品箱在堆场交接后进入专门区域处理，避免普通重箱作业流线被特殊箱种打断。</w:t>
      </w:r>
    </w:p>
    <w:p>
      <w:pPr>
        <w:spacing w:lineRule="auto" w:line="360" w:before="0" w:after="0"/>
        <w:ind w:firstLine="480"/>
      </w:pPr>
      <w:r>
        <w:rPr>
          <w:rFonts w:ascii="Times New Roman" w:hAnsi="Times New Roman" w:eastAsia="宋体"/>
          <w:sz w:val="24"/>
        </w:rPr>
        <w:t>进口集装箱作业的核心目标是缩短船时、降低场内倒运和保证箱区可追踪。船舶靠泊后，岸桥按船舶配载计划逐舱作业，集卡把卸下的集装箱运至对应堆区，场桥完成落箱、堆码和提箱交接。整个流程需要由生产调度系统统一下达任务，避免岸桥等待集卡或集卡等待场桥。</w:t>
      </w:r>
    </w:p>
    <w:p>
      <w:pPr>
        <w:spacing w:lineRule="auto" w:line="360" w:before="0" w:after="0"/>
        <w:ind w:firstLine="480"/>
      </w:pPr>
      <w:r>
        <w:rPr>
          <w:rFonts w:ascii="Times New Roman" w:hAnsi="Times New Roman" w:eastAsia="宋体"/>
          <w:sz w:val="24"/>
        </w:rPr>
        <w:t>工艺方案采用岸桥—集卡—轮胎式场桥系统，原因在于该系统对中型泊位适应性较强，设备来源成熟，堆场调整灵活，适合本工程进口箱、铁路换装和公路提箱并存的作业结构。</w:t>
      </w:r>
    </w:p>
    <w:p>
      <w:pPr>
        <w:pStyle w:val="2"/>
        <w:jc w:val="left"/>
      </w:pPr>
      <w:r>
        <w:rPr>
          <w:rFonts w:ascii="Times New Roman" w:hAnsi="Times New Roman" w:eastAsia="宋体"/>
          <w:b/>
          <w:sz w:val="24"/>
        </w:rPr>
        <w:t xml:space="preserve"> 装卸机械设备选型</w:t>
      </w:r>
    </w:p>
    <w:p>
      <w:pPr>
        <w:pStyle w:val="3"/>
        <w:jc w:val="left"/>
      </w:pPr>
      <w:r>
        <w:rPr>
          <w:rFonts w:ascii="Times New Roman" w:hAnsi="Times New Roman" w:eastAsia="宋体"/>
          <w:b/>
          <w:sz w:val="24"/>
        </w:rPr>
        <w:t xml:space="preserve"> 岸边集装箱起重机</w:t>
      </w:r>
    </w:p>
    <w:p>
      <w:pPr>
        <w:spacing w:lineRule="auto" w:line="360" w:before="0" w:after="0"/>
        <w:ind w:firstLine="480"/>
      </w:pPr>
      <w:r>
        <w:rPr>
          <w:rFonts w:ascii="Times New Roman" w:hAnsi="Times New Roman" w:eastAsia="宋体"/>
          <w:sz w:val="24"/>
        </w:rPr>
        <w:t>岸桥选型应满足3万吨级集装箱船型宽和甲板堆箱列数要求。设计船宽32.3m，甲板最大堆箱列数约10~12列，岸桥外伸距应覆盖船舶最外侧箱位，并留有一定操作富裕。</w:t>
      </w:r>
    </w:p>
    <w:p>
      <w:pPr>
        <w:spacing w:lineRule="auto" w:line="360" w:before="0" w:after="0"/>
        <w:ind w:firstLine="480"/>
      </w:pPr>
      <w:r>
        <w:rPr>
          <w:rFonts w:ascii="Times New Roman" w:hAnsi="Times New Roman" w:eastAsia="宋体"/>
          <w:sz w:val="24"/>
        </w:rPr>
        <w:t>本设计选用双箱吊岸桥，单机额定效率按30TEU/h考虑。考虑300m泊位长度、岸桥轨距、安全作业间距和船舶配载，本泊位配置5台岸桥。岸桥平均间距约60m，可满足船舶多作业面同时卸船。</w:t>
      </w:r>
    </w:p>
    <w:p>
      <w:pPr>
        <w:spacing w:lineRule="auto" w:line="360" w:before="0" w:after="0"/>
        <w:ind w:firstLine="480"/>
      </w:pPr>
      <w:r>
        <w:rPr>
          <w:rFonts w:ascii="Times New Roman" w:hAnsi="Times New Roman" w:eastAsia="宋体"/>
          <w:sz w:val="24"/>
        </w:rPr>
        <w:t>岸桥外伸距应覆盖设计船型最外侧箱位，后伸距应满足陆侧集卡通道和维修空间。5台岸桥布置在300m岸线上，能够形成多作业面卸船条件，但实际排布需保留岸桥间安全距离和检修停放空间。</w:t>
      </w:r>
    </w:p>
    <w:p>
      <w:pPr>
        <w:spacing w:lineRule="auto" w:line="360" w:before="0" w:after="0"/>
        <w:ind w:firstLine="480"/>
      </w:pPr>
      <w:r>
        <w:rPr>
          <w:rFonts w:ascii="Times New Roman" w:hAnsi="Times New Roman" w:eastAsia="宋体"/>
          <w:sz w:val="24"/>
        </w:rPr>
        <w:t>岸桥轨道基础与胸墙、前沿梁和沉箱分段关系密切。结构设计中需要避免轨道支承点落在不利接缝处，必要时通过现浇胸墙和轨道梁连续配筋提高局部刚度。</w:t>
      </w:r>
    </w:p>
    <w:p>
      <w:pPr>
        <w:pStyle w:val="3"/>
        <w:jc w:val="left"/>
      </w:pPr>
      <w:r>
        <w:rPr>
          <w:rFonts w:ascii="Times New Roman" w:hAnsi="Times New Roman" w:eastAsia="宋体"/>
          <w:b/>
          <w:sz w:val="24"/>
        </w:rPr>
        <w:t xml:space="preserve"> 水平运输设备</w:t>
      </w:r>
    </w:p>
    <w:p>
      <w:pPr>
        <w:spacing w:lineRule="auto" w:line="360" w:before="0" w:after="0"/>
        <w:ind w:firstLine="480"/>
      </w:pPr>
      <w:r>
        <w:rPr>
          <w:rFonts w:ascii="Times New Roman" w:hAnsi="Times New Roman" w:eastAsia="宋体"/>
          <w:sz w:val="24"/>
        </w:rPr>
        <w:t>水平运输采用集装箱牵引车与半挂车组合。牵引车额定牵引能力应满足40英尺重箱运输要求，半挂车与牵引车按1.3倍左右配置，以吸收岸桥和堆场作业节拍差。</w:t>
      </w:r>
    </w:p>
    <w:p>
      <w:pPr>
        <w:spacing w:lineRule="auto" w:line="360" w:before="0" w:after="0"/>
        <w:ind w:firstLine="480"/>
      </w:pPr>
      <w:r>
        <w:rPr>
          <w:rFonts w:ascii="Times New Roman" w:hAnsi="Times New Roman" w:eastAsia="宋体"/>
          <w:sz w:val="24"/>
        </w:rPr>
        <w:t>按每台岸桥配置4台集卡估算，5台岸桥需配置20台牵引车。考虑半挂车周转等待和备用，半挂车数量取26台。水平运输路径应尽量形成单向循环，减少前沿区掉头和交叉。</w:t>
      </w:r>
    </w:p>
    <w:p>
      <w:pPr>
        <w:spacing w:lineRule="auto" w:line="360" w:before="0" w:after="0"/>
        <w:ind w:firstLine="480"/>
      </w:pPr>
      <w:r>
        <w:rPr>
          <w:rFonts w:ascii="Times New Roman" w:hAnsi="Times New Roman" w:eastAsia="宋体"/>
          <w:sz w:val="24"/>
        </w:rPr>
        <w:t>水平运输设备数量取决于岸桥数量、单循环时间和场内平均运距。集卡循环包括岸桥下接箱、行驶至堆场、等待场桥、落箱、空车返回等环节。若道路组织不顺或场桥交接效率不足，单循环时间会明显增加，进而需要增加车辆数量。</w:t>
      </w:r>
    </w:p>
    <w:p>
      <w:pPr>
        <w:tabs>
          <w:tab w:pos="4100" w:val="center"/>
          <w:tab w:pos="8200" w:val="right"/>
        </w:tabs>
        <w:spacing w:lineRule="auto" w:line="360" w:before="0" w:after="0"/>
        <w:jc w:val="left"/>
      </w:pPr>
      <w:r>
        <w:tab/>
      </w:r>
      <m:oMath>
        <m:sSub>
          <m:e>
            <m:r>
              <m:t>N</m:t>
            </m:r>
          </m:e>
          <m:sub>
            <m:r>
              <m:t>t</m:t>
            </m:r>
          </m:sub>
        </m:sSub>
        <m:r>
          <m:rPr>
            <m:sty m:val="p"/>
          </m:rPr>
          <m:t>=</m:t>
        </m:r>
        <m:sSub>
          <m:e>
            <m:r>
              <m:t>N</m:t>
            </m:r>
          </m:e>
          <m:sub>
            <m:r>
              <m:t>q</m:t>
            </m:r>
          </m:sub>
        </m:sSub>
        <m:r>
          <m:t>q</m:t>
        </m:r>
        <m:sSub>
          <m:e>
            <m:r>
              <m:t>t</m:t>
            </m:r>
          </m:e>
          <m:sub>
            <m:r>
              <m:t>c</m:t>
            </m:r>
          </m:sub>
        </m:sSub>
        <m:r>
          <m:rPr>
            <m:sty m:val="p"/>
          </m:rPr>
          <m:t>/</m:t>
        </m:r>
        <m:r>
          <m:t>60</m:t>
        </m:r>
      </m:oMath>
      <w:r>
        <w:rPr>
          <w:rFonts w:ascii="Times New Roman" w:hAnsi="Times New Roman" w:eastAsia="宋体"/>
          <w:sz w:val="24"/>
        </w:rPr>
        <w:tab/>
        <w:t>（5.4）</w:t>
      </w:r>
    </w:p>
    <w:p>
      <w:pPr>
        <w:spacing w:lineRule="auto" w:line="360" w:before="0" w:after="0"/>
        <w:ind w:firstLine="480"/>
      </w:pPr>
      <w:r>
        <w:rPr>
          <w:rFonts w:ascii="Times New Roman" w:hAnsi="Times New Roman" w:eastAsia="宋体"/>
          <w:sz w:val="24"/>
        </w:rPr>
        <w:t>式中，Nt为水平运输车辆需求量，Nq为同时作业岸桥数量，q为单台岸桥小时效率，tc为单车平均循环时间。按5台岸桥、30TEU/h、循环时间12min估算，理论需求量约30辆；考虑备用、调度波动和维修，设计可配置35~40辆集装箱牵引车。</w:t>
      </w:r>
    </w:p>
    <w:p>
      <w:pPr>
        <w:pStyle w:val="3"/>
        <w:jc w:val="left"/>
      </w:pPr>
      <w:r>
        <w:rPr>
          <w:rFonts w:ascii="Times New Roman" w:hAnsi="Times New Roman" w:eastAsia="宋体"/>
          <w:b/>
          <w:sz w:val="24"/>
        </w:rPr>
        <w:t xml:space="preserve"> 堆场作业设备</w:t>
      </w:r>
    </w:p>
    <w:p>
      <w:pPr>
        <w:spacing w:lineRule="auto" w:line="360" w:before="0" w:after="0"/>
        <w:ind w:firstLine="480"/>
      </w:pPr>
      <w:r>
        <w:rPr>
          <w:rFonts w:ascii="Times New Roman" w:hAnsi="Times New Roman" w:eastAsia="宋体"/>
          <w:sz w:val="24"/>
        </w:rPr>
        <w:t>堆场设备选用轮胎式场桥（RTG）。</w:t>
      </w:r>
      <w:r>
        <w:rPr>
          <w:rFonts w:ascii="Times New Roman" w:hAnsi="Times New Roman" w:eastAsia="宋体"/>
          <w:sz w:val="24"/>
          <w:vertAlign w:val="superscript"/>
        </w:rPr>
        <w:t>[13]</w:t>
      </w:r>
      <w:r>
        <w:rPr>
          <w:rFonts w:ascii="Times New Roman" w:hAnsi="Times New Roman" w:eastAsia="宋体"/>
          <w:sz w:val="24"/>
        </w:rPr>
        <w:t>RTG机动灵活，可跨越6列集装箱和1条集卡车道，适合重箱区和空箱区的分区作业。与轨道式场桥相比，RTG土建投入较小，转场便利，适合本阶段中型泊位设计。</w:t>
      </w:r>
    </w:p>
    <w:p>
      <w:pPr>
        <w:tabs>
          <w:tab w:pos="4100" w:val="center"/>
          <w:tab w:pos="8200" w:val="right"/>
        </w:tabs>
        <w:spacing w:lineRule="auto" w:line="360" w:before="0" w:after="0"/>
        <w:jc w:val="left"/>
      </w:pPr>
      <w:r>
        <w:tab/>
      </w:r>
      <m:oMath>
        <m:sSub>
          <m:e>
            <m:r>
              <m:t>N</m:t>
            </m:r>
          </m:e>
          <m:sub>
            <m:r>
              <m:t>R</m:t>
            </m:r>
          </m:sub>
        </m:sSub>
        <m:r>
          <m:rPr>
            <m:sty m:val="p"/>
          </m:rPr>
          <m:t>=</m:t>
        </m:r>
        <m:sSub>
          <m:e>
            <m:r>
              <m:t>Q</m:t>
            </m:r>
          </m:e>
          <m:sub>
            <m:r>
              <m:t>y</m:t>
            </m:r>
          </m:sub>
        </m:sSub>
        <m:r>
          <m:rPr>
            <m:sty m:val="p"/>
          </m:rPr>
          <m:t>/</m:t>
        </m:r>
        <m:r>
          <m:rPr>
            <m:sty m:val="p"/>
          </m:rPr>
          <m:t>(</m:t>
        </m:r>
        <m:sSub>
          <m:e>
            <m:r>
              <m:t>q</m:t>
            </m:r>
          </m:e>
          <m:sub>
            <m:r>
              <m:t>R</m:t>
            </m:r>
          </m:sub>
        </m:sSub>
        <m:sSub>
          <m:e>
            <m:r>
              <m:t>T</m:t>
            </m:r>
          </m:e>
          <m:sub>
            <m:r>
              <m:t>R</m:t>
            </m:r>
          </m:sub>
        </m:sSub>
        <m:sSub>
          <m:e>
            <m:r>
              <m:t>K</m:t>
            </m:r>
          </m:e>
          <m:sub>
            <m:r>
              <m:t>R</m:t>
            </m:r>
          </m:sub>
        </m:sSub>
        <m:r>
          <m:rPr>
            <m:sty m:val="p"/>
          </m:rPr>
          <m:t>)</m:t>
        </m:r>
      </m:oMath>
      <w:r>
        <w:rPr>
          <w:rFonts w:ascii="Times New Roman" w:hAnsi="Times New Roman" w:eastAsia="宋体"/>
          <w:sz w:val="24"/>
        </w:rPr>
        <w:tab/>
        <w:t>（5.1）</w:t>
      </w:r>
    </w:p>
    <w:p>
      <w:pPr>
        <w:spacing w:lineRule="auto" w:line="360" w:before="0" w:after="0"/>
        <w:ind w:firstLine="480"/>
      </w:pPr>
      <w:r>
        <w:rPr>
          <w:rFonts w:ascii="Times New Roman" w:hAnsi="Times New Roman" w:eastAsia="宋体"/>
          <w:sz w:val="24"/>
        </w:rPr>
        <w:t>式中，NR为场桥数量，Qy为堆场年作业箱量，qR为单台场桥效率，TR为年有效作业时间，KR为利用系数。结合50万TEU/年通过能力和分区堆场布置，本设计取8台RTG作为初步配置。</w:t>
      </w:r>
    </w:p>
    <w:p>
      <w:pPr>
        <w:spacing w:lineRule="auto" w:line="360" w:before="0" w:after="0"/>
        <w:ind w:firstLine="480"/>
      </w:pPr>
      <w:r>
        <w:rPr>
          <w:rFonts w:ascii="Times New Roman" w:hAnsi="Times New Roman" w:eastAsia="宋体"/>
          <w:sz w:val="24"/>
        </w:rPr>
        <w:t>堆场设备采用轮胎式场桥，主要服务重箱区、空箱区和铁路换装前的缓冲箱区。轮胎式场桥机动性好，能够根据箱区压力调整作业位置，适合本工程陆域分区和进口箱堆存特点。</w:t>
      </w:r>
    </w:p>
    <w:p>
      <w:pPr>
        <w:tabs>
          <w:tab w:pos="4100" w:val="center"/>
          <w:tab w:pos="8200" w:val="right"/>
        </w:tabs>
        <w:spacing w:lineRule="auto" w:line="360" w:before="0" w:after="0"/>
        <w:jc w:val="left"/>
      </w:pPr>
      <w:r>
        <w:tab/>
      </w:r>
      <m:oMath>
        <m:sSub>
          <m:e>
            <m:r>
              <m:t>N</m:t>
            </m:r>
          </m:e>
          <m:sub>
            <m:r>
              <m:t>r</m:t>
            </m:r>
          </m:sub>
        </m:sSub>
        <m:r>
          <m:rPr>
            <m:sty m:val="p"/>
          </m:rPr>
          <m:t>=</m:t>
        </m:r>
        <m:sSub>
          <m:e>
            <m:r>
              <m:t>Q</m:t>
            </m:r>
          </m:e>
          <m:sub>
            <m:r>
              <m:t>d</m:t>
            </m:r>
          </m:sub>
        </m:sSub>
        <m:sSub>
          <m:e>
            <m:r>
              <m:t>t</m:t>
            </m:r>
          </m:e>
          <m:sub>
            <m:r>
              <m:t>h</m:t>
            </m:r>
          </m:sub>
        </m:sSub>
        <m:r>
          <m:rPr>
            <m:sty m:val="p"/>
          </m:rPr>
          <m:t>/</m:t>
        </m:r>
        <m:r>
          <m:rPr>
            <m:sty m:val="p"/>
          </m:rPr>
          <m:t>(</m:t>
        </m:r>
        <m:sSub>
          <m:e>
            <m:r>
              <m:t>T</m:t>
            </m:r>
          </m:e>
          <m:sub>
            <m:r>
              <m:t>o</m:t>
            </m:r>
          </m:sub>
        </m:sSub>
        <m:sSub>
          <m:e>
            <m:r>
              <m:t>q</m:t>
            </m:r>
          </m:e>
          <m:sub>
            <m:r>
              <m:t>r</m:t>
            </m:r>
          </m:sub>
        </m:sSub>
        <m:r>
          <m:rPr>
            <m:sty m:val="p"/>
          </m:rPr>
          <m:t>)</m:t>
        </m:r>
      </m:oMath>
      <w:r>
        <w:rPr>
          <w:rFonts w:ascii="Times New Roman" w:hAnsi="Times New Roman" w:eastAsia="宋体"/>
          <w:sz w:val="24"/>
        </w:rPr>
        <w:tab/>
        <w:t>（5.5）</w:t>
      </w:r>
    </w:p>
    <w:p>
      <w:pPr>
        <w:spacing w:lineRule="auto" w:line="360" w:before="0" w:after="0"/>
        <w:ind w:firstLine="480"/>
      </w:pPr>
      <w:r>
        <w:rPr>
          <w:rFonts w:ascii="Times New Roman" w:hAnsi="Times New Roman" w:eastAsia="宋体"/>
          <w:sz w:val="24"/>
        </w:rPr>
        <w:t>式中，Nr为场桥数量，Qd为日高峰处理量，th为单箱场桥作业次数，To为每日有效作业小时数，qr为单台场桥小时效率。按日高峰约1971TEU、单箱2次场桥作业、有效作业18h、单机效率25move/h估算，需约9台场桥，结合备用取10~12台。</w:t>
      </w:r>
    </w:p>
    <w:p>
      <w:pPr>
        <w:pStyle w:val="2"/>
        <w:jc w:val="left"/>
      </w:pPr>
      <w:r>
        <w:rPr>
          <w:rFonts w:ascii="Times New Roman" w:hAnsi="Times New Roman" w:eastAsia="宋体"/>
          <w:b/>
          <w:sz w:val="24"/>
        </w:rPr>
        <w:t xml:space="preserve"> 设备数量与能力校核</w:t>
      </w:r>
    </w:p>
    <w:p>
      <w:pPr>
        <w:tabs>
          <w:tab w:pos="4100" w:val="center"/>
          <w:tab w:pos="8200" w:val="right"/>
        </w:tabs>
        <w:spacing w:lineRule="auto" w:line="360" w:before="0" w:after="0"/>
        <w:jc w:val="left"/>
      </w:pPr>
      <w:r>
        <w:tab/>
      </w:r>
      <m:oMath>
        <m:sSub>
          <m:e>
            <m:r>
              <m:t>Q</m:t>
            </m:r>
          </m:e>
          <m:sub>
            <m:r>
              <m:t>s</m:t>
            </m:r>
          </m:sub>
        </m:sSub>
        <m:r>
          <m:rPr>
            <m:sty m:val="p"/>
          </m:rPr>
          <m:t>=</m:t>
        </m:r>
        <m:r>
          <m:t>N</m:t>
        </m:r>
        <m:r>
          <m:t>q</m:t>
        </m:r>
        <m:sSub>
          <m:e>
            <m:r>
              <m:t>K</m:t>
            </m:r>
          </m:e>
          <m:sub>
            <m:r>
              <m:t>s</m:t>
            </m:r>
          </m:sub>
        </m:sSub>
        <m:r>
          <m:rPr>
            <m:sty m:val="p"/>
          </m:rPr>
          <m:t>=</m:t>
        </m:r>
        <m:r>
          <m:t>5</m:t>
        </m:r>
        <m:r>
          <m:rPr>
            <m:sty m:val="p"/>
          </m:rPr>
          <m:t>×</m:t>
        </m:r>
        <m:r>
          <m:t>30</m:t>
        </m:r>
        <m:r>
          <m:rPr>
            <m:sty m:val="p"/>
          </m:rPr>
          <m:t>×</m:t>
        </m:r>
        <m:r>
          <m:t>0.85</m:t>
        </m:r>
        <m:r>
          <m:rPr>
            <m:sty m:val="p"/>
          </m:rPr>
          <m:t>=</m:t>
        </m:r>
        <m:r>
          <m:t>127.5</m:t>
        </m:r>
        <m:r>
          <m:t>T</m:t>
        </m:r>
        <m:r>
          <m:t>E</m:t>
        </m:r>
        <m:r>
          <m:t>U</m:t>
        </m:r>
        <m:r>
          <m:rPr>
            <m:sty m:val="p"/>
          </m:rPr>
          <m:t>/</m:t>
        </m:r>
        <m:r>
          <m:t>h</m:t>
        </m:r>
      </m:oMath>
      <w:r>
        <w:rPr>
          <w:rFonts w:ascii="Times New Roman" w:hAnsi="Times New Roman" w:eastAsia="宋体"/>
          <w:sz w:val="24"/>
        </w:rPr>
        <w:tab/>
        <w:t>（5.2）</w:t>
      </w:r>
    </w:p>
    <w:p>
      <w:pPr>
        <w:spacing w:lineRule="auto" w:line="360" w:before="0" w:after="0"/>
        <w:ind w:firstLine="480"/>
      </w:pPr>
      <w:r>
        <w:rPr>
          <w:rFonts w:ascii="Times New Roman" w:hAnsi="Times New Roman" w:eastAsia="宋体"/>
          <w:sz w:val="24"/>
        </w:rPr>
        <w:t>5台岸桥同时作业时，考虑同时作业系数0.85，船时效率约127.5TEU/h。该数值高于75~100TEU/h的中型集装箱泊位目标船时效率，可满足卸船作业要求。</w:t>
      </w:r>
    </w:p>
    <w:p>
      <w:pPr>
        <w:tabs>
          <w:tab w:pos="4100" w:val="center"/>
          <w:tab w:pos="8200" w:val="right"/>
        </w:tabs>
        <w:spacing w:lineRule="auto" w:line="360" w:before="0" w:after="0"/>
        <w:jc w:val="left"/>
      </w:pPr>
      <w:r>
        <w:tab/>
      </w:r>
      <m:oMath>
        <m:sSub>
          <m:e>
            <m:r>
              <m:t>t</m:t>
            </m:r>
          </m:e>
          <m:sub>
            <m:r>
              <m:t>s</m:t>
            </m:r>
          </m:sub>
        </m:sSub>
        <m:r>
          <m:rPr>
            <m:sty m:val="p"/>
          </m:rPr>
          <m:t>=</m:t>
        </m:r>
        <m:sSub>
          <m:e>
            <m:r>
              <m:t>Q</m:t>
            </m:r>
          </m:e>
          <m:sub>
            <m:r>
              <m:t>v</m:t>
            </m:r>
          </m:sub>
        </m:sSub>
        <m:r>
          <m:rPr>
            <m:sty m:val="p"/>
          </m:rPr>
          <m:t>/</m:t>
        </m:r>
        <m:sSub>
          <m:e>
            <m:r>
              <m:t>Q</m:t>
            </m:r>
          </m:e>
          <m:sub>
            <m:r>
              <m:t>s</m:t>
            </m:r>
          </m:sub>
        </m:sSub>
      </m:oMath>
      <w:r>
        <w:rPr>
          <w:rFonts w:ascii="Times New Roman" w:hAnsi="Times New Roman" w:eastAsia="宋体"/>
          <w:sz w:val="24"/>
        </w:rPr>
        <w:tab/>
        <w:t>（5.3）</w:t>
      </w:r>
    </w:p>
    <w:p>
      <w:pPr>
        <w:spacing w:lineRule="auto" w:line="360" w:before="0" w:after="0"/>
        <w:ind w:firstLine="480"/>
      </w:pPr>
      <w:r>
        <w:rPr>
          <w:rFonts w:ascii="Times New Roman" w:hAnsi="Times New Roman" w:eastAsia="宋体"/>
          <w:sz w:val="24"/>
        </w:rPr>
        <w:t>若单船卸箱量按1200~1800TEU估算，单船纯作业时间约9.4~14.1h，考虑靠离泊、换班、查验和设备调整后，可满足常规班轮靠泊窗口要求。</w:t>
      </w:r>
    </w:p>
    <w:p>
      <w:pPr>
        <w:keepNext/>
        <w:spacing w:lineRule="auto" w:line="300" w:before="0" w:after="120"/>
        <w:jc w:val="center"/>
      </w:pPr>
      <w:r>
        <w:rPr>
          <w:rFonts w:ascii="Times New Roman" w:hAnsi="Times New Roman" w:eastAsia="宋体"/>
          <w:b w:val="0"/>
          <w:sz w:val="20"/>
        </w:rPr>
        <w:t>表5-1 装卸设备配置汇总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04"/>
        <w:gridCol w:w="1152"/>
        <w:gridCol w:w="2880"/>
        <w:gridCol w:w="2448"/>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设备名称</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数量</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主要参数</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用途</w:t>
            </w:r>
          </w:p>
        </w:tc>
      </w:tr>
      <w:tr>
        <w:tc>
          <w:tcPr>
            <w:tcW w:type="dxa" w:w="2304"/>
            <w:vAlign w:val="center"/>
          </w:tcPr>
          <w:p>
            <w:pPr>
              <w:spacing w:lineRule="auto" w:line="276"/>
              <w:jc w:val="center"/>
            </w:pPr>
            <w:r>
              <w:rPr>
                <w:rFonts w:ascii="Times New Roman" w:hAnsi="Times New Roman" w:eastAsia="宋体"/>
                <w:b w:val="0"/>
                <w:sz w:val="18"/>
              </w:rPr>
              <w:t>岸边集装箱起重机</w:t>
            </w:r>
          </w:p>
        </w:tc>
        <w:tc>
          <w:tcPr>
            <w:tcW w:type="dxa" w:w="1152"/>
            <w:vAlign w:val="center"/>
          </w:tcPr>
          <w:p>
            <w:pPr>
              <w:spacing w:lineRule="auto" w:line="276"/>
              <w:jc w:val="center"/>
            </w:pPr>
            <w:r>
              <w:rPr>
                <w:rFonts w:ascii="Times New Roman" w:hAnsi="Times New Roman" w:eastAsia="宋体"/>
                <w:b w:val="0"/>
                <w:sz w:val="18"/>
              </w:rPr>
              <w:t>5台</w:t>
            </w:r>
          </w:p>
        </w:tc>
        <w:tc>
          <w:tcPr>
            <w:tcW w:type="dxa" w:w="2880"/>
            <w:vAlign w:val="center"/>
          </w:tcPr>
          <w:p>
            <w:pPr>
              <w:spacing w:lineRule="auto" w:line="276"/>
              <w:jc w:val="center"/>
            </w:pPr>
            <w:r>
              <w:rPr>
                <w:rFonts w:ascii="Times New Roman" w:hAnsi="Times New Roman" w:eastAsia="宋体"/>
                <w:b w:val="0"/>
                <w:sz w:val="18"/>
              </w:rPr>
              <w:t>双箱吊，30TEU/h</w:t>
            </w:r>
          </w:p>
        </w:tc>
        <w:tc>
          <w:tcPr>
            <w:tcW w:type="dxa" w:w="2448"/>
            <w:vAlign w:val="center"/>
          </w:tcPr>
          <w:p>
            <w:pPr>
              <w:spacing w:lineRule="auto" w:line="276"/>
              <w:jc w:val="center"/>
            </w:pPr>
            <w:r>
              <w:rPr>
                <w:rFonts w:ascii="Times New Roman" w:hAnsi="Times New Roman" w:eastAsia="宋体"/>
                <w:b w:val="0"/>
                <w:sz w:val="18"/>
              </w:rPr>
              <w:t>船岸装卸</w:t>
            </w:r>
          </w:p>
        </w:tc>
      </w:tr>
      <w:tr>
        <w:tc>
          <w:tcPr>
            <w:tcW w:type="dxa" w:w="2304"/>
            <w:vAlign w:val="center"/>
          </w:tcPr>
          <w:p>
            <w:pPr>
              <w:spacing w:lineRule="auto" w:line="276"/>
              <w:jc w:val="center"/>
            </w:pPr>
            <w:r>
              <w:rPr>
                <w:rFonts w:ascii="Times New Roman" w:hAnsi="Times New Roman" w:eastAsia="宋体"/>
                <w:b w:val="0"/>
                <w:sz w:val="18"/>
              </w:rPr>
              <w:t>集装箱牵引车</w:t>
            </w:r>
          </w:p>
        </w:tc>
        <w:tc>
          <w:tcPr>
            <w:tcW w:type="dxa" w:w="1152"/>
            <w:vAlign w:val="center"/>
          </w:tcPr>
          <w:p>
            <w:pPr>
              <w:spacing w:lineRule="auto" w:line="276"/>
              <w:jc w:val="center"/>
            </w:pPr>
            <w:r>
              <w:rPr>
                <w:rFonts w:ascii="Times New Roman" w:hAnsi="Times New Roman" w:eastAsia="宋体"/>
                <w:b w:val="0"/>
                <w:sz w:val="18"/>
              </w:rPr>
              <w:t>20台</w:t>
            </w:r>
          </w:p>
        </w:tc>
        <w:tc>
          <w:tcPr>
            <w:tcW w:type="dxa" w:w="2880"/>
            <w:vAlign w:val="center"/>
          </w:tcPr>
          <w:p>
            <w:pPr>
              <w:spacing w:lineRule="auto" w:line="276"/>
              <w:jc w:val="center"/>
            </w:pPr>
            <w:r>
              <w:rPr>
                <w:rFonts w:ascii="Times New Roman" w:hAnsi="Times New Roman" w:eastAsia="宋体"/>
                <w:b w:val="0"/>
                <w:sz w:val="18"/>
              </w:rPr>
              <w:t>40t级</w:t>
            </w:r>
          </w:p>
        </w:tc>
        <w:tc>
          <w:tcPr>
            <w:tcW w:type="dxa" w:w="2448"/>
            <w:vAlign w:val="center"/>
          </w:tcPr>
          <w:p>
            <w:pPr>
              <w:spacing w:lineRule="auto" w:line="276"/>
              <w:jc w:val="center"/>
            </w:pPr>
            <w:r>
              <w:rPr>
                <w:rFonts w:ascii="Times New Roman" w:hAnsi="Times New Roman" w:eastAsia="宋体"/>
                <w:b w:val="0"/>
                <w:sz w:val="18"/>
              </w:rPr>
              <w:t>水平运输</w:t>
            </w:r>
          </w:p>
        </w:tc>
      </w:tr>
      <w:tr>
        <w:tc>
          <w:tcPr>
            <w:tcW w:type="dxa" w:w="2304"/>
            <w:vAlign w:val="center"/>
          </w:tcPr>
          <w:p>
            <w:pPr>
              <w:spacing w:lineRule="auto" w:line="276"/>
              <w:jc w:val="center"/>
            </w:pPr>
            <w:r>
              <w:rPr>
                <w:rFonts w:ascii="Times New Roman" w:hAnsi="Times New Roman" w:eastAsia="宋体"/>
                <w:b w:val="0"/>
                <w:sz w:val="18"/>
              </w:rPr>
              <w:t>集装箱半挂车</w:t>
            </w:r>
          </w:p>
        </w:tc>
        <w:tc>
          <w:tcPr>
            <w:tcW w:type="dxa" w:w="1152"/>
            <w:vAlign w:val="center"/>
          </w:tcPr>
          <w:p>
            <w:pPr>
              <w:spacing w:lineRule="auto" w:line="276"/>
              <w:jc w:val="center"/>
            </w:pPr>
            <w:r>
              <w:rPr>
                <w:rFonts w:ascii="Times New Roman" w:hAnsi="Times New Roman" w:eastAsia="宋体"/>
                <w:b w:val="0"/>
                <w:sz w:val="18"/>
              </w:rPr>
              <w:t>26台</w:t>
            </w:r>
          </w:p>
        </w:tc>
        <w:tc>
          <w:tcPr>
            <w:tcW w:type="dxa" w:w="2880"/>
            <w:vAlign w:val="center"/>
          </w:tcPr>
          <w:p>
            <w:pPr>
              <w:spacing w:lineRule="auto" w:line="276"/>
              <w:jc w:val="center"/>
            </w:pPr>
            <w:r>
              <w:rPr>
                <w:rFonts w:ascii="Times New Roman" w:hAnsi="Times New Roman" w:eastAsia="宋体"/>
                <w:b w:val="0"/>
                <w:sz w:val="18"/>
              </w:rPr>
              <w:t>40英尺箱适配</w:t>
            </w:r>
          </w:p>
        </w:tc>
        <w:tc>
          <w:tcPr>
            <w:tcW w:type="dxa" w:w="2448"/>
            <w:vAlign w:val="center"/>
          </w:tcPr>
          <w:p>
            <w:pPr>
              <w:spacing w:lineRule="auto" w:line="276"/>
              <w:jc w:val="center"/>
            </w:pPr>
            <w:r>
              <w:rPr>
                <w:rFonts w:ascii="Times New Roman" w:hAnsi="Times New Roman" w:eastAsia="宋体"/>
                <w:b w:val="0"/>
                <w:sz w:val="18"/>
              </w:rPr>
              <w:t>水平运输周转</w:t>
            </w:r>
          </w:p>
        </w:tc>
      </w:tr>
      <w:tr>
        <w:tc>
          <w:tcPr>
            <w:tcW w:type="dxa" w:w="2304"/>
            <w:vAlign w:val="center"/>
          </w:tcPr>
          <w:p>
            <w:pPr>
              <w:spacing w:lineRule="auto" w:line="276"/>
              <w:jc w:val="center"/>
            </w:pPr>
            <w:r>
              <w:rPr>
                <w:rFonts w:ascii="Times New Roman" w:hAnsi="Times New Roman" w:eastAsia="宋体"/>
                <w:b w:val="0"/>
                <w:sz w:val="18"/>
              </w:rPr>
              <w:t>轮胎式场桥RTG</w:t>
            </w:r>
          </w:p>
        </w:tc>
        <w:tc>
          <w:tcPr>
            <w:tcW w:type="dxa" w:w="1152"/>
            <w:vAlign w:val="center"/>
          </w:tcPr>
          <w:p>
            <w:pPr>
              <w:spacing w:lineRule="auto" w:line="276"/>
              <w:jc w:val="center"/>
            </w:pPr>
            <w:r>
              <w:rPr>
                <w:rFonts w:ascii="Times New Roman" w:hAnsi="Times New Roman" w:eastAsia="宋体"/>
                <w:b w:val="0"/>
                <w:sz w:val="18"/>
              </w:rPr>
              <w:t>8台</w:t>
            </w:r>
          </w:p>
        </w:tc>
        <w:tc>
          <w:tcPr>
            <w:tcW w:type="dxa" w:w="2880"/>
            <w:vAlign w:val="center"/>
          </w:tcPr>
          <w:p>
            <w:pPr>
              <w:spacing w:lineRule="auto" w:line="276"/>
              <w:jc w:val="center"/>
            </w:pPr>
            <w:r>
              <w:rPr>
                <w:rFonts w:ascii="Times New Roman" w:hAnsi="Times New Roman" w:eastAsia="宋体"/>
                <w:b w:val="0"/>
                <w:sz w:val="18"/>
              </w:rPr>
              <w:t>跨6列+1车道，堆4过5</w:t>
            </w:r>
          </w:p>
        </w:tc>
        <w:tc>
          <w:tcPr>
            <w:tcW w:type="dxa" w:w="2448"/>
            <w:vAlign w:val="center"/>
          </w:tcPr>
          <w:p>
            <w:pPr>
              <w:spacing w:lineRule="auto" w:line="276"/>
              <w:jc w:val="center"/>
            </w:pPr>
            <w:r>
              <w:rPr>
                <w:rFonts w:ascii="Times New Roman" w:hAnsi="Times New Roman" w:eastAsia="宋体"/>
                <w:b w:val="0"/>
                <w:sz w:val="18"/>
              </w:rPr>
              <w:t>堆场取放箱</w:t>
            </w:r>
          </w:p>
        </w:tc>
      </w:tr>
      <w:tr>
        <w:tc>
          <w:tcPr>
            <w:tcW w:type="dxa" w:w="2304"/>
            <w:vAlign w:val="center"/>
          </w:tcPr>
          <w:p>
            <w:pPr>
              <w:spacing w:lineRule="auto" w:line="276"/>
              <w:jc w:val="center"/>
            </w:pPr>
            <w:r>
              <w:rPr>
                <w:rFonts w:ascii="Times New Roman" w:hAnsi="Times New Roman" w:eastAsia="宋体"/>
                <w:b w:val="0"/>
                <w:sz w:val="18"/>
              </w:rPr>
              <w:t>正面吊</w:t>
            </w:r>
          </w:p>
        </w:tc>
        <w:tc>
          <w:tcPr>
            <w:tcW w:type="dxa" w:w="1152"/>
            <w:vAlign w:val="center"/>
          </w:tcPr>
          <w:p>
            <w:pPr>
              <w:spacing w:lineRule="auto" w:line="276"/>
              <w:jc w:val="center"/>
            </w:pPr>
            <w:r>
              <w:rPr>
                <w:rFonts w:ascii="Times New Roman" w:hAnsi="Times New Roman" w:eastAsia="宋体"/>
                <w:b w:val="0"/>
                <w:sz w:val="18"/>
              </w:rPr>
              <w:t>1台</w:t>
            </w:r>
          </w:p>
        </w:tc>
        <w:tc>
          <w:tcPr>
            <w:tcW w:type="dxa" w:w="2880"/>
            <w:vAlign w:val="center"/>
          </w:tcPr>
          <w:p>
            <w:pPr>
              <w:spacing w:lineRule="auto" w:line="276"/>
              <w:jc w:val="center"/>
            </w:pPr>
            <w:r>
              <w:rPr>
                <w:rFonts w:ascii="Times New Roman" w:hAnsi="Times New Roman" w:eastAsia="宋体"/>
                <w:b w:val="0"/>
                <w:sz w:val="18"/>
              </w:rPr>
              <w:t>45t级</w:t>
            </w:r>
          </w:p>
        </w:tc>
        <w:tc>
          <w:tcPr>
            <w:tcW w:type="dxa" w:w="2448"/>
            <w:vAlign w:val="center"/>
          </w:tcPr>
          <w:p>
            <w:pPr>
              <w:spacing w:lineRule="auto" w:line="276"/>
              <w:jc w:val="center"/>
            </w:pPr>
            <w:r>
              <w:rPr>
                <w:rFonts w:ascii="Times New Roman" w:hAnsi="Times New Roman" w:eastAsia="宋体"/>
                <w:b w:val="0"/>
                <w:sz w:val="18"/>
              </w:rPr>
              <w:t>空箱、维修、零星作业</w:t>
            </w:r>
          </w:p>
        </w:tc>
      </w:tr>
    </w:tbl>
    <w:p/>
    <w:p>
      <w:pPr>
        <w:spacing w:lineRule="auto" w:line="360" w:before="0" w:after="0"/>
        <w:ind w:firstLine="480"/>
      </w:pPr>
      <w:r>
        <w:rPr>
          <w:rFonts w:ascii="Times New Roman" w:hAnsi="Times New Roman" w:eastAsia="宋体"/>
          <w:sz w:val="24"/>
        </w:rPr>
        <w:t>设备能力校核应同时检查峰值作业和平均作业。平均状态下岸桥、集卡和场桥能力均能满足设计吞吐量，但高峰到港时可能出现岸桥集中作业和箱区局部拥堵。因此生产组织上应通过船期计划、箱区预分配、预约提箱和铁路班列计划平衡各环节负荷。</w:t>
      </w:r>
    </w:p>
    <w:p>
      <w:pPr>
        <w:tabs>
          <w:tab w:pos="4100" w:val="center"/>
          <w:tab w:pos="8200" w:val="right"/>
        </w:tabs>
        <w:spacing w:lineRule="auto" w:line="360" w:before="0" w:after="0"/>
        <w:jc w:val="left"/>
      </w:pPr>
      <w:r>
        <w:tab/>
      </w:r>
      <m:oMath>
        <m:sSub>
          <m:e>
            <m:r>
              <m:t>P</m:t>
            </m:r>
          </m:e>
          <m:sub>
            <m:r>
              <m:t>q</m:t>
            </m:r>
          </m:sub>
        </m:sSub>
        <m:r>
          <m:rPr>
            <m:sty m:val="p"/>
          </m:rPr>
          <m:t>≤</m:t>
        </m:r>
        <m:r>
          <m:rPr>
            <m:sty m:val="p"/>
          </m:rPr>
          <m:t>min</m:t>
        </m:r>
        <m:r>
          <m:rPr>
            <m:sty m:val="p"/>
          </m:rPr>
          <m:t>(</m:t>
        </m:r>
        <m:sSub>
          <m:e>
            <m:r>
              <m:t>P</m:t>
            </m:r>
          </m:e>
          <m:sub>
            <m:r>
              <m:t>t</m:t>
            </m:r>
          </m:sub>
        </m:sSub>
        <m:r>
          <m:rPr>
            <m:sty m:val="p"/>
          </m:rPr>
          <m:t>,</m:t>
        </m:r>
        <m:sSub>
          <m:e>
            <m:r>
              <m:t>P</m:t>
            </m:r>
          </m:e>
          <m:sub>
            <m:r>
              <m:t>r</m:t>
            </m:r>
          </m:sub>
        </m:sSub>
        <m:r>
          <m:rPr>
            <m:sty m:val="p"/>
          </m:rPr>
          <m:t>,</m:t>
        </m:r>
        <m:sSub>
          <m:e>
            <m:r>
              <m:t>P</m:t>
            </m:r>
          </m:e>
          <m:sub>
            <m:r>
              <m:t>y</m:t>
            </m:r>
          </m:sub>
        </m:sSub>
        <m:r>
          <m:rPr>
            <m:sty m:val="p"/>
          </m:rPr>
          <m:t>)</m:t>
        </m:r>
      </m:oMath>
      <w:r>
        <w:rPr>
          <w:rFonts w:ascii="Times New Roman" w:hAnsi="Times New Roman" w:eastAsia="宋体"/>
          <w:sz w:val="24"/>
        </w:rPr>
        <w:tab/>
        <w:t>（5.6）</w:t>
      </w:r>
    </w:p>
    <w:p>
      <w:pPr>
        <w:spacing w:lineRule="auto" w:line="360" w:before="0" w:after="0"/>
        <w:ind w:firstLine="480"/>
      </w:pPr>
      <w:r>
        <w:rPr>
          <w:rFonts w:ascii="Times New Roman" w:hAnsi="Times New Roman" w:eastAsia="宋体"/>
          <w:sz w:val="24"/>
        </w:rPr>
        <w:t>式中，Pq为岸桥有效能力，Pt为水平运输能力，Pr为场桥能力，Py为堆场交接能力。只有当后续环节能力不低于岸桥有效能力时，前沿卸船效率才能稳定发挥。</w:t>
      </w:r>
    </w:p>
    <w:p>
      <w:pPr>
        <w:pStyle w:val="2"/>
        <w:jc w:val="left"/>
      </w:pPr>
      <w:r>
        <w:rPr>
          <w:rFonts w:ascii="Times New Roman" w:hAnsi="Times New Roman" w:eastAsia="宋体"/>
          <w:b/>
          <w:sz w:val="24"/>
        </w:rPr>
        <w:t xml:space="preserve"> 工艺流程平面组织</w:t>
      </w:r>
    </w:p>
    <w:p>
      <w:pPr>
        <w:spacing w:lineRule="auto" w:line="360" w:before="0" w:after="0"/>
        <w:ind w:firstLine="480"/>
      </w:pPr>
      <w:r>
        <w:rPr>
          <w:rFonts w:ascii="Times New Roman" w:hAnsi="Times New Roman" w:eastAsia="宋体"/>
          <w:sz w:val="24"/>
        </w:rPr>
        <w:t>码头前沿作业区沿300m岸线布置5台岸桥，海侧轨与陆侧轨之间组织集卡接箱通道。前沿区应避免长时间堆箱，进口箱原则上由集卡直接转运至堆场，减少前沿拥堵。</w:t>
      </w:r>
    </w:p>
    <w:p>
      <w:pPr>
        <w:spacing w:lineRule="auto" w:line="360" w:before="0" w:after="0"/>
        <w:ind w:firstLine="480"/>
      </w:pPr>
      <w:r>
        <w:rPr>
          <w:rFonts w:ascii="Times New Roman" w:hAnsi="Times New Roman" w:eastAsia="宋体"/>
          <w:sz w:val="24"/>
        </w:rPr>
        <w:t>水平运输采用前沿接箱、环形主干道行驶、箱区入口分流的方式。重箱区靠近前沿布置，减少主流程运输距离；空箱区和维修区布置在后方，降低对主作业流线的干扰。</w:t>
      </w:r>
    </w:p>
    <w:p>
      <w:pPr>
        <w:spacing w:lineRule="auto" w:line="360" w:before="0" w:after="0"/>
        <w:ind w:firstLine="480"/>
      </w:pPr>
      <w:r>
        <w:rPr>
          <w:rFonts w:ascii="Times New Roman" w:hAnsi="Times New Roman" w:eastAsia="宋体"/>
          <w:sz w:val="24"/>
        </w:rPr>
        <w:t>堆场作业按照箱区、箱型、进出口方向和提箱时间分配堆位。重箱区优先保障进口重箱堆存和查验需求，冷藏箱区靠近供电设施，危险品箱区应设置围挡、消防和泄漏应急设施。</w:t>
      </w:r>
    </w:p>
    <w:p>
      <w:pPr>
        <w:spacing w:lineRule="auto" w:line="360" w:before="0" w:after="0"/>
        <w:ind w:firstLine="480"/>
      </w:pPr>
      <w:r>
        <w:rPr>
          <w:rFonts w:ascii="Times New Roman" w:hAnsi="Times New Roman" w:eastAsia="宋体"/>
          <w:sz w:val="24"/>
        </w:rPr>
        <w:t>进口箱卸船流程可分为计划准备、靠泊作业、前沿交接、堆场落箱、查验提箱和疏港换装六个阶段。计划准备阶段完成船图、箱区、设备和人员安排；靠泊作业阶段岸桥按舱口顺序卸箱；前沿交接阶段集卡接受作业指令并确认箱号；堆场落箱阶段场桥按系统位置堆码。</w:t>
      </w:r>
    </w:p>
    <w:p>
      <w:pPr>
        <w:spacing w:lineRule="auto" w:line="360" w:before="0" w:after="0"/>
        <w:ind w:firstLine="480"/>
      </w:pPr>
      <w:r>
        <w:rPr>
          <w:rFonts w:ascii="Times New Roman" w:hAnsi="Times New Roman" w:eastAsia="宋体"/>
          <w:sz w:val="24"/>
        </w:rPr>
        <w:t>查验和疏港环节对堆场周转影响较大。查验箱需从普通堆区转运至查验区，完成查验后再提离或回堆；铁路换装箱需按班列计划提前集结，避免在装车前临时大量翻箱。工艺布置中保留查验通道、铁路缓冲区和维修通道，是保证码头连续运行的重要条件。</w:t>
      </w:r>
    </w:p>
    <w:p>
      <w:pPr>
        <w:spacing w:lineRule="auto" w:line="360" w:before="0" w:after="0"/>
        <w:ind w:firstLine="480"/>
      </w:pPr>
      <w:r>
        <w:rPr>
          <w:rFonts w:ascii="Times New Roman" w:hAnsi="Times New Roman" w:eastAsia="宋体"/>
          <w:sz w:val="24"/>
        </w:rPr>
        <w:t>图5-1所示流程体现了进口箱从船舶到堆场再到闸口或铁路的运行路径。该图与第四章总平面相对应，也与第六章前沿结构和第七章工程量统计形成联系：装卸设备决定前沿荷载和附属设施布置，作业流线决定道路和堆场面积。</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本章补充了装卸工艺方案、主要设备选型、设备数量计算和作业流线组织。设计采用岸桥、集卡和RTG配套的成熟工艺，船时效率、水平运输和堆场作业能力能够满足50万TEU/年的初步设计目标。</w:t>
      </w:r>
    </w:p>
    <w:p>
      <w:pPr>
        <w:spacing w:lineRule="auto" w:line="360" w:before="0" w:after="0"/>
        <w:ind w:firstLine="480"/>
      </w:pPr>
      <w:r>
        <w:rPr>
          <w:rFonts w:ascii="Times New Roman" w:hAnsi="Times New Roman" w:eastAsia="宋体"/>
          <w:sz w:val="24"/>
        </w:rPr>
        <w:t>本章通过设备数量、循环时间和系统能力协调关系，补充了装卸工艺的计算依据。岸桥、集卡、场桥、堆场和闸口共同构成集装箱码头的生产系统，任何单一环节能力不足都会削弱泊位通过能力。</w:t>
      </w:r>
    </w:p>
    <w:p>
      <w:pPr>
        <w:pStyle w:val="1"/>
        <w:pageBreakBefore/>
        <w:jc w:val="center"/>
      </w:pPr>
      <w:r>
        <w:rPr>
          <w:rFonts w:ascii="Times New Roman" w:hAnsi="Times New Roman" w:eastAsia="宋体"/>
          <w:b/>
          <w:sz w:val="30"/>
        </w:rPr>
        <w:t xml:space="preserve"> 图纸成果与结构构造设计</w:t>
      </w:r>
    </w:p>
    <w:p>
      <w:pPr>
        <w:pStyle w:val="2"/>
        <w:jc w:val="left"/>
      </w:pPr>
      <w:r>
        <w:rPr>
          <w:rFonts w:ascii="Times New Roman" w:hAnsi="Times New Roman" w:eastAsia="宋体"/>
          <w:b/>
          <w:sz w:val="24"/>
        </w:rPr>
        <w:t xml:space="preserve"> 图纸成果总体说明</w:t>
      </w:r>
    </w:p>
    <w:p>
      <w:pPr>
        <w:spacing w:lineRule="auto" w:line="360" w:before="0" w:after="0"/>
        <w:ind w:firstLine="480"/>
      </w:pPr>
      <w:r>
        <w:rPr>
          <w:rFonts w:ascii="Times New Roman" w:hAnsi="Times New Roman" w:eastAsia="宋体"/>
          <w:sz w:val="24"/>
        </w:rPr>
        <w:t>本次设计形成五张A1横向图纸，分别为集装箱码头总平面布置图、沉箱结构平面及立面图、沉箱结构断面及代表配筋图、大圆筒结构平面及立面图、大圆筒结构断面及代表配筋图。图纸统一采用外框与内框双线图框，右下角设置制图栏，标注、比例和标题尽量保持一致。</w:t>
      </w:r>
    </w:p>
    <w:p>
      <w:pPr>
        <w:keepNext/>
        <w:spacing w:lineRule="auto" w:line="300" w:before="0" w:after="120"/>
        <w:jc w:val="center"/>
      </w:pPr>
      <w:r>
        <w:rPr>
          <w:rFonts w:ascii="Times New Roman" w:hAnsi="Times New Roman" w:eastAsia="宋体"/>
          <w:b w:val="0"/>
          <w:sz w:val="20"/>
        </w:rPr>
        <w:t>表6-1 图纸成果清单</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936"/>
        <w:gridCol w:w="2232"/>
        <w:gridCol w:w="3528"/>
        <w:gridCol w:w="1440"/>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图号</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图名</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文件名</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比例</w:t>
            </w:r>
          </w:p>
        </w:tc>
      </w:tr>
      <w:tr>
        <w:tc>
          <w:tcPr>
            <w:tcW w:type="dxa" w:w="936"/>
            <w:vAlign w:val="center"/>
          </w:tcPr>
          <w:p>
            <w:pPr>
              <w:spacing w:lineRule="auto" w:line="276"/>
              <w:jc w:val="center"/>
            </w:pPr>
            <w:r>
              <w:rPr>
                <w:rFonts w:ascii="Times New Roman" w:hAnsi="Times New Roman" w:eastAsia="宋体"/>
                <w:b w:val="0"/>
                <w:sz w:val="18"/>
              </w:rPr>
              <w:t>G-01</w:t>
            </w:r>
          </w:p>
        </w:tc>
        <w:tc>
          <w:tcPr>
            <w:tcW w:type="dxa" w:w="2232"/>
            <w:vAlign w:val="center"/>
          </w:tcPr>
          <w:p>
            <w:pPr>
              <w:spacing w:lineRule="auto" w:line="276"/>
              <w:jc w:val="center"/>
            </w:pPr>
            <w:r>
              <w:rPr>
                <w:rFonts w:ascii="Times New Roman" w:hAnsi="Times New Roman" w:eastAsia="宋体"/>
                <w:b w:val="0"/>
                <w:sz w:val="18"/>
              </w:rPr>
              <w:t>集装箱码头总平面布置图</w:t>
            </w:r>
          </w:p>
        </w:tc>
        <w:tc>
          <w:tcPr>
            <w:tcW w:type="dxa" w:w="3528"/>
            <w:vAlign w:val="center"/>
          </w:tcPr>
          <w:p>
            <w:pPr>
              <w:spacing w:lineRule="auto" w:line="276"/>
              <w:jc w:val="center"/>
            </w:pPr>
            <w:r>
              <w:rPr>
                <w:rFonts w:ascii="Times New Roman" w:hAnsi="Times New Roman" w:eastAsia="宋体"/>
                <w:b w:val="0"/>
                <w:sz w:val="18"/>
              </w:rPr>
              <w:t>G-01_general_layout_revised_rail_road.dwg</w:t>
            </w:r>
          </w:p>
        </w:tc>
        <w:tc>
          <w:tcPr>
            <w:tcW w:type="dxa" w:w="1440"/>
            <w:vAlign w:val="center"/>
          </w:tcPr>
          <w:p>
            <w:pPr>
              <w:spacing w:lineRule="auto" w:line="276"/>
              <w:jc w:val="center"/>
            </w:pPr>
            <w:r>
              <w:rPr>
                <w:rFonts w:ascii="Times New Roman" w:hAnsi="Times New Roman" w:eastAsia="宋体"/>
                <w:b w:val="0"/>
                <w:sz w:val="18"/>
              </w:rPr>
              <w:t>1:2000</w:t>
            </w:r>
          </w:p>
        </w:tc>
      </w:tr>
      <w:tr>
        <w:tc>
          <w:tcPr>
            <w:tcW w:type="dxa" w:w="936"/>
            <w:vAlign w:val="center"/>
          </w:tcPr>
          <w:p>
            <w:pPr>
              <w:spacing w:lineRule="auto" w:line="276"/>
              <w:jc w:val="center"/>
            </w:pPr>
            <w:r>
              <w:rPr>
                <w:rFonts w:ascii="Times New Roman" w:hAnsi="Times New Roman" w:eastAsia="宋体"/>
                <w:b w:val="0"/>
                <w:sz w:val="18"/>
              </w:rPr>
              <w:t>S-01</w:t>
            </w:r>
          </w:p>
        </w:tc>
        <w:tc>
          <w:tcPr>
            <w:tcW w:type="dxa" w:w="2232"/>
            <w:vAlign w:val="center"/>
          </w:tcPr>
          <w:p>
            <w:pPr>
              <w:spacing w:lineRule="auto" w:line="276"/>
              <w:jc w:val="center"/>
            </w:pPr>
            <w:r>
              <w:rPr>
                <w:rFonts w:ascii="Times New Roman" w:hAnsi="Times New Roman" w:eastAsia="宋体"/>
                <w:b w:val="0"/>
                <w:sz w:val="18"/>
              </w:rPr>
              <w:t>沉箱结构平面及立面图</w:t>
            </w:r>
          </w:p>
        </w:tc>
        <w:tc>
          <w:tcPr>
            <w:tcW w:type="dxa" w:w="3528"/>
            <w:vAlign w:val="center"/>
          </w:tcPr>
          <w:p>
            <w:pPr>
              <w:spacing w:lineRule="auto" w:line="276"/>
              <w:jc w:val="center"/>
            </w:pPr>
            <w:r>
              <w:rPr>
                <w:rFonts w:ascii="Times New Roman" w:hAnsi="Times New Roman" w:eastAsia="宋体"/>
                <w:b w:val="0"/>
                <w:sz w:val="18"/>
              </w:rPr>
              <w:t>S-01_caisson_plan_elevation_revised.dwg</w:t>
            </w:r>
          </w:p>
        </w:tc>
        <w:tc>
          <w:tcPr>
            <w:tcW w:type="dxa" w:w="1440"/>
            <w:vAlign w:val="center"/>
          </w:tcPr>
          <w:p>
            <w:pPr>
              <w:spacing w:lineRule="auto" w:line="276"/>
              <w:jc w:val="center"/>
            </w:pPr>
            <w:r>
              <w:rPr>
                <w:rFonts w:ascii="Times New Roman" w:hAnsi="Times New Roman" w:eastAsia="宋体"/>
                <w:b w:val="0"/>
                <w:sz w:val="18"/>
              </w:rPr>
              <w:t>1:500</w:t>
            </w:r>
          </w:p>
        </w:tc>
      </w:tr>
      <w:tr>
        <w:tc>
          <w:tcPr>
            <w:tcW w:type="dxa" w:w="936"/>
            <w:vAlign w:val="center"/>
          </w:tcPr>
          <w:p>
            <w:pPr>
              <w:spacing w:lineRule="auto" w:line="276"/>
              <w:jc w:val="center"/>
            </w:pPr>
            <w:r>
              <w:rPr>
                <w:rFonts w:ascii="Times New Roman" w:hAnsi="Times New Roman" w:eastAsia="宋体"/>
                <w:b w:val="0"/>
                <w:sz w:val="18"/>
              </w:rPr>
              <w:t>S-02</w:t>
            </w:r>
          </w:p>
        </w:tc>
        <w:tc>
          <w:tcPr>
            <w:tcW w:type="dxa" w:w="2232"/>
            <w:vAlign w:val="center"/>
          </w:tcPr>
          <w:p>
            <w:pPr>
              <w:spacing w:lineRule="auto" w:line="276"/>
              <w:jc w:val="center"/>
            </w:pPr>
            <w:r>
              <w:rPr>
                <w:rFonts w:ascii="Times New Roman" w:hAnsi="Times New Roman" w:eastAsia="宋体"/>
                <w:b w:val="0"/>
                <w:sz w:val="18"/>
              </w:rPr>
              <w:t>沉箱结构断面、细部构造及代表配筋图</w:t>
            </w:r>
          </w:p>
        </w:tc>
        <w:tc>
          <w:tcPr>
            <w:tcW w:type="dxa" w:w="3528"/>
            <w:vAlign w:val="center"/>
          </w:tcPr>
          <w:p>
            <w:pPr>
              <w:spacing w:lineRule="auto" w:line="276"/>
              <w:jc w:val="center"/>
            </w:pPr>
            <w:r>
              <w:rPr>
                <w:rFonts w:ascii="Times New Roman" w:hAnsi="Times New Roman" w:eastAsia="宋体"/>
                <w:b w:val="0"/>
                <w:sz w:val="18"/>
              </w:rPr>
              <w:t>S-02_caisson_section_detail_rebar_combined.dwg</w:t>
            </w:r>
          </w:p>
        </w:tc>
        <w:tc>
          <w:tcPr>
            <w:tcW w:type="dxa" w:w="1440"/>
            <w:vAlign w:val="center"/>
          </w:tcPr>
          <w:p>
            <w:pPr>
              <w:spacing w:lineRule="auto" w:line="276"/>
              <w:jc w:val="center"/>
            </w:pPr>
            <w:r>
              <w:rPr>
                <w:rFonts w:ascii="Times New Roman" w:hAnsi="Times New Roman" w:eastAsia="宋体"/>
                <w:b w:val="0"/>
                <w:sz w:val="18"/>
              </w:rPr>
              <w:t>1:100/1:50</w:t>
            </w:r>
          </w:p>
        </w:tc>
      </w:tr>
      <w:tr>
        <w:tc>
          <w:tcPr>
            <w:tcW w:type="dxa" w:w="936"/>
            <w:vAlign w:val="center"/>
          </w:tcPr>
          <w:p>
            <w:pPr>
              <w:spacing w:lineRule="auto" w:line="276"/>
              <w:jc w:val="center"/>
            </w:pPr>
            <w:r>
              <w:rPr>
                <w:rFonts w:ascii="Times New Roman" w:hAnsi="Times New Roman" w:eastAsia="宋体"/>
                <w:b w:val="0"/>
                <w:sz w:val="18"/>
              </w:rPr>
              <w:t>C-01</w:t>
            </w:r>
          </w:p>
        </w:tc>
        <w:tc>
          <w:tcPr>
            <w:tcW w:type="dxa" w:w="2232"/>
            <w:vAlign w:val="center"/>
          </w:tcPr>
          <w:p>
            <w:pPr>
              <w:spacing w:lineRule="auto" w:line="276"/>
              <w:jc w:val="center"/>
            </w:pPr>
            <w:r>
              <w:rPr>
                <w:rFonts w:ascii="Times New Roman" w:hAnsi="Times New Roman" w:eastAsia="宋体"/>
                <w:b w:val="0"/>
                <w:sz w:val="18"/>
              </w:rPr>
              <w:t>大圆筒结构平面及立面图</w:t>
            </w:r>
          </w:p>
        </w:tc>
        <w:tc>
          <w:tcPr>
            <w:tcW w:type="dxa" w:w="3528"/>
            <w:vAlign w:val="center"/>
          </w:tcPr>
          <w:p>
            <w:pPr>
              <w:spacing w:lineRule="auto" w:line="276"/>
              <w:jc w:val="center"/>
            </w:pPr>
            <w:r>
              <w:rPr>
                <w:rFonts w:ascii="Times New Roman" w:hAnsi="Times New Roman" w:eastAsia="宋体"/>
                <w:b w:val="0"/>
                <w:sz w:val="18"/>
              </w:rPr>
              <w:t>C-01_large_cylinder_plan.dwg</w:t>
            </w:r>
          </w:p>
        </w:tc>
        <w:tc>
          <w:tcPr>
            <w:tcW w:type="dxa" w:w="1440"/>
            <w:vAlign w:val="center"/>
          </w:tcPr>
          <w:p>
            <w:pPr>
              <w:spacing w:lineRule="auto" w:line="276"/>
              <w:jc w:val="center"/>
            </w:pPr>
            <w:r>
              <w:rPr>
                <w:rFonts w:ascii="Times New Roman" w:hAnsi="Times New Roman" w:eastAsia="宋体"/>
                <w:b w:val="0"/>
                <w:sz w:val="18"/>
              </w:rPr>
              <w:t>1:500</w:t>
            </w:r>
          </w:p>
        </w:tc>
      </w:tr>
      <w:tr>
        <w:tc>
          <w:tcPr>
            <w:tcW w:type="dxa" w:w="936"/>
            <w:vAlign w:val="center"/>
          </w:tcPr>
          <w:p>
            <w:pPr>
              <w:spacing w:lineRule="auto" w:line="276"/>
              <w:jc w:val="center"/>
            </w:pPr>
            <w:r>
              <w:rPr>
                <w:rFonts w:ascii="Times New Roman" w:hAnsi="Times New Roman" w:eastAsia="宋体"/>
                <w:b w:val="0"/>
                <w:sz w:val="18"/>
              </w:rPr>
              <w:t>C-02</w:t>
            </w:r>
          </w:p>
        </w:tc>
        <w:tc>
          <w:tcPr>
            <w:tcW w:type="dxa" w:w="2232"/>
            <w:vAlign w:val="center"/>
          </w:tcPr>
          <w:p>
            <w:pPr>
              <w:spacing w:lineRule="auto" w:line="276"/>
              <w:jc w:val="center"/>
            </w:pPr>
            <w:r>
              <w:rPr>
                <w:rFonts w:ascii="Times New Roman" w:hAnsi="Times New Roman" w:eastAsia="宋体"/>
                <w:b w:val="0"/>
                <w:sz w:val="18"/>
              </w:rPr>
              <w:t>大圆筒结构断面、细部构造及代表配筋图</w:t>
            </w:r>
          </w:p>
        </w:tc>
        <w:tc>
          <w:tcPr>
            <w:tcW w:type="dxa" w:w="3528"/>
            <w:vAlign w:val="center"/>
          </w:tcPr>
          <w:p>
            <w:pPr>
              <w:spacing w:lineRule="auto" w:line="276"/>
              <w:jc w:val="center"/>
            </w:pPr>
            <w:r>
              <w:rPr>
                <w:rFonts w:ascii="Times New Roman" w:hAnsi="Times New Roman" w:eastAsia="宋体"/>
                <w:b w:val="0"/>
                <w:sz w:val="18"/>
              </w:rPr>
              <w:t>C-02_large_cylinder_section_detail_rebar.dwg</w:t>
            </w:r>
          </w:p>
        </w:tc>
        <w:tc>
          <w:tcPr>
            <w:tcW w:type="dxa" w:w="1440"/>
            <w:vAlign w:val="center"/>
          </w:tcPr>
          <w:p>
            <w:pPr>
              <w:spacing w:lineRule="auto" w:line="276"/>
              <w:jc w:val="center"/>
            </w:pPr>
            <w:r>
              <w:rPr>
                <w:rFonts w:ascii="Times New Roman" w:hAnsi="Times New Roman" w:eastAsia="宋体"/>
                <w:b w:val="0"/>
                <w:sz w:val="18"/>
              </w:rPr>
              <w:t>1:100/1:50</w:t>
            </w:r>
          </w:p>
        </w:tc>
      </w:tr>
    </w:tbl>
    <w:p/>
    <w:p>
      <w:pPr>
        <w:spacing w:lineRule="auto" w:line="360" w:before="0" w:after="0"/>
        <w:ind w:firstLine="480"/>
      </w:pPr>
      <w:r>
        <w:rPr>
          <w:rFonts w:ascii="Times New Roman" w:hAnsi="Times New Roman" w:eastAsia="宋体"/>
          <w:sz w:val="24"/>
        </w:rPr>
        <w:t>图纸成果围绕毕业设计的主要技术问题展开：总平面图回答码头如何布置，沉箱图回答推荐结构如何构造，大圆筒图回答比选结构是否可行，结构断面和配筋图回答主要构件如何受力和施工。说明书正文需要把这些图纸内容解释清楚，使读者能够从图纸回到计算依据。</w:t>
      </w:r>
    </w:p>
    <w:p>
      <w:pPr>
        <w:spacing w:lineRule="auto" w:line="360" w:before="0" w:after="0"/>
        <w:ind w:firstLine="480"/>
      </w:pPr>
      <w:r>
        <w:rPr>
          <w:rFonts w:ascii="Times New Roman" w:hAnsi="Times New Roman" w:eastAsia="宋体"/>
          <w:sz w:val="24"/>
        </w:rPr>
        <w:t>本章对图纸进行分项说明时，重点核对三个一致性：一是图纸尺寸与前文设计参数一致，二是结构构造与第七章计算单元一致，三是附属设施布置与第五章装卸工艺一致。</w:t>
      </w:r>
    </w:p>
    <w:p>
      <w:pPr>
        <w:pStyle w:val="2"/>
        <w:jc w:val="left"/>
      </w:pPr>
      <w:r>
        <w:rPr>
          <w:rFonts w:ascii="Times New Roman" w:hAnsi="Times New Roman" w:eastAsia="宋体"/>
          <w:b/>
          <w:sz w:val="24"/>
        </w:rPr>
        <w:t xml:space="preserve"> 沉箱结构平面及立面图</w:t>
      </w:r>
    </w:p>
    <w:p>
      <w:pPr>
        <w:spacing w:before="120" w:after="0"/>
        <w:jc w:val="center"/>
      </w:pPr>
      <w:r>
        <w:drawing>
          <wp:inline xmlns:a="http://schemas.openxmlformats.org/drawingml/2006/main" xmlns:pic="http://schemas.openxmlformats.org/drawingml/2006/picture">
            <wp:extent cx="5394960" cy="3810795"/>
            <wp:docPr id="7" name="Picture 7"/>
            <wp:cNvGraphicFramePr>
              <a:graphicFrameLocks noChangeAspect="1"/>
            </wp:cNvGraphicFramePr>
            <a:graphic>
              <a:graphicData uri="http://schemas.openxmlformats.org/drawingml/2006/picture">
                <pic:pic>
                  <pic:nvPicPr>
                    <pic:cNvPr id="0" name="S-01_caisson_plan_elevation_revised.png"/>
                    <pic:cNvPicPr/>
                  </pic:nvPicPr>
                  <pic:blipFill>
                    <a:blip r:embed="rId31"/>
                    <a:stretch>
                      <a:fillRect/>
                    </a:stretch>
                  </pic:blipFill>
                  <pic:spPr>
                    <a:xfrm>
                      <a:off x="0" y="0"/>
                      <a:ext cx="5394960" cy="3810795"/>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图6-1 沉箱结构平面及立面图</w:t>
      </w:r>
    </w:p>
    <w:p>
      <w:pPr>
        <w:spacing w:lineRule="auto" w:line="360" w:before="0" w:after="0"/>
        <w:ind w:firstLine="480"/>
      </w:pPr>
      <w:r>
        <w:rPr>
          <w:rFonts w:ascii="Times New Roman" w:hAnsi="Times New Roman" w:eastAsia="宋体"/>
          <w:sz w:val="24"/>
        </w:rPr>
        <w:t>图6-1表达沉箱方案的平面分段、立面标高和附属设施布置。码头总长300m，按30m分段设置10座沉箱，分段缝与沉箱接缝位置一致。平面图中可识别沉箱舱格、前沿线、护舷和系船柱位置，立面图中可识别胸墙顶标高、沉箱顶底标高、基床和港池侧坡面。</w:t>
      </w:r>
    </w:p>
    <w:p>
      <w:pPr>
        <w:spacing w:lineRule="auto" w:line="360" w:before="0" w:after="0"/>
        <w:ind w:firstLine="480"/>
      </w:pPr>
      <w:r>
        <w:rPr>
          <w:rFonts w:ascii="Times New Roman" w:hAnsi="Times New Roman" w:eastAsia="宋体"/>
          <w:sz w:val="24"/>
        </w:rPr>
        <w:t>沉箱平面采用长条矩形布置，单座沉箱长29.95m，宽12.50m。前沿护舷按每座沉箱2组布置，系船柱按每段1个布置，有利于船舶靠泊和系缆力沿岸线分散。立面表达应重点控制码头面高程+5.50m、沉箱顶面+3.50m、沉箱底面-10.00m和基床底面-13.00m之间的关系。</w:t>
      </w:r>
    </w:p>
    <w:p>
      <w:pPr>
        <w:spacing w:lineRule="auto" w:line="360" w:before="0" w:after="0"/>
        <w:ind w:firstLine="480"/>
      </w:pPr>
      <w:r>
        <w:rPr>
          <w:rFonts w:ascii="Times New Roman" w:hAnsi="Times New Roman" w:eastAsia="宋体"/>
          <w:sz w:val="24"/>
        </w:rPr>
        <w:t>该图对应推荐方案的总体结构表达，后续施工图阶段需进一步补充沉箱舱格编号、吊点、止水构造、胸墙预埋件、护舷锚栓和系船柱锚固详图。</w:t>
      </w:r>
    </w:p>
    <w:p>
      <w:pPr>
        <w:spacing w:lineRule="auto" w:line="360" w:before="0" w:after="0"/>
        <w:ind w:firstLine="480"/>
      </w:pPr>
      <w:r>
        <w:rPr>
          <w:rFonts w:ascii="Times New Roman" w:hAnsi="Times New Roman" w:eastAsia="宋体"/>
          <w:sz w:val="24"/>
        </w:rPr>
        <w:t>沉箱平面图以30m结构段为基本单元，外廓长度29.95m，段间设置变形缝。沉箱内部通过纵横隔墙划分舱格，舱格布置既有利于预制和浮运稳定，也便于后期均衡回填。立面图中沉箱顶、底标高与水位线、胸墙顶标高和基床顶标高保持对应。</w:t>
      </w:r>
    </w:p>
    <w:p>
      <w:pPr>
        <w:spacing w:lineRule="auto" w:line="360" w:before="0" w:after="0"/>
        <w:ind w:firstLine="480"/>
      </w:pPr>
      <w:r>
        <w:rPr>
          <w:rFonts w:ascii="Times New Roman" w:hAnsi="Times New Roman" w:eastAsia="宋体"/>
          <w:sz w:val="24"/>
        </w:rPr>
        <w:t>沉箱前沿布置护舷和系船柱时，应避开结构薄弱位置，并与岸桥作业范围和船舶缆绳角度相协调。图纸中护舷按每座沉箱2组布置，系船柱按每段1个布置，能够满足中型集装箱船靠泊和系缆要求。</w:t>
      </w:r>
    </w:p>
    <w:p>
      <w:pPr>
        <w:pStyle w:val="2"/>
        <w:jc w:val="left"/>
      </w:pPr>
      <w:r>
        <w:rPr>
          <w:rFonts w:ascii="Times New Roman" w:hAnsi="Times New Roman" w:eastAsia="宋体"/>
          <w:b/>
          <w:sz w:val="24"/>
        </w:rPr>
        <w:t xml:space="preserve"> 沉箱断面、细部构造及代表配筋</w:t>
      </w:r>
    </w:p>
    <w:p>
      <w:pPr>
        <w:spacing w:before="120" w:after="0"/>
        <w:jc w:val="center"/>
      </w:pPr>
      <w:r>
        <w:drawing>
          <wp:inline xmlns:a="http://schemas.openxmlformats.org/drawingml/2006/main" xmlns:pic="http://schemas.openxmlformats.org/drawingml/2006/picture">
            <wp:extent cx="5394960" cy="3810795"/>
            <wp:docPr id="8" name="Picture 8"/>
            <wp:cNvGraphicFramePr>
              <a:graphicFrameLocks noChangeAspect="1"/>
            </wp:cNvGraphicFramePr>
            <a:graphic>
              <a:graphicData uri="http://schemas.openxmlformats.org/drawingml/2006/picture">
                <pic:pic>
                  <pic:nvPicPr>
                    <pic:cNvPr id="0" name="S-02_caisson_section_detail_rebar_combined.png"/>
                    <pic:cNvPicPr/>
                  </pic:nvPicPr>
                  <pic:blipFill>
                    <a:blip r:embed="rId32"/>
                    <a:stretch>
                      <a:fillRect/>
                    </a:stretch>
                  </pic:blipFill>
                  <pic:spPr>
                    <a:xfrm>
                      <a:off x="0" y="0"/>
                      <a:ext cx="5394960" cy="3810795"/>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图6-2 沉箱结构断面、细部构造及代表配筋图</w:t>
      </w:r>
    </w:p>
    <w:p>
      <w:pPr>
        <w:spacing w:lineRule="auto" w:line="360" w:before="0" w:after="0"/>
        <w:ind w:firstLine="480"/>
      </w:pPr>
      <w:r>
        <w:rPr>
          <w:rFonts w:ascii="Times New Roman" w:hAnsi="Times New Roman" w:eastAsia="宋体"/>
          <w:sz w:val="24"/>
        </w:rPr>
        <w:t>图6-2进一步展开沉箱方案的典型断面、A-A舱格平面、胸墙节点、箱壁和底板代表配筋。典型断面中，海侧为港池水域，陆侧为倒滤层和回填区，沉箱坐落于块石基床之上，上部设置现浇胸墙和码头面层。</w:t>
      </w:r>
    </w:p>
    <w:p>
      <w:pPr>
        <w:spacing w:lineRule="auto" w:line="360" w:before="0" w:after="0"/>
        <w:ind w:firstLine="480"/>
      </w:pPr>
      <w:r>
        <w:rPr>
          <w:rFonts w:ascii="Times New Roman" w:hAnsi="Times New Roman" w:eastAsia="宋体"/>
          <w:sz w:val="24"/>
        </w:rPr>
        <w:t>断面设计重点是保证重力式结构的抗滑、抗倾覆和基床承载安全。沉箱自重、箱内填料、胸墙和后方回填共同提供稳定力；墙后土压力、堆载土压力和系缆力构成主要水平作用。倒滤层应设置在沉箱后方，防止细颗粒填料随水流流失。</w:t>
      </w:r>
    </w:p>
    <w:p>
      <w:pPr>
        <w:spacing w:lineRule="auto" w:line="360" w:before="0" w:after="0"/>
        <w:ind w:firstLine="480"/>
      </w:pPr>
      <w:r>
        <w:rPr>
          <w:rFonts w:ascii="Times New Roman" w:hAnsi="Times New Roman" w:eastAsia="宋体"/>
          <w:sz w:val="24"/>
        </w:rPr>
        <w:t>代表配筋采用毕业设计阶段示意表达，重点标明前壁、底板、胸墙和局部构造钢筋方向。实际施工图设计中，应根据内力计算结果确定钢筋直径、间距、锚固长度、保护层厚度和构造筋布置。</w:t>
      </w:r>
    </w:p>
    <w:p>
      <w:pPr>
        <w:tabs>
          <w:tab w:pos="4100" w:val="center"/>
          <w:tab w:pos="8200" w:val="right"/>
        </w:tabs>
        <w:spacing w:lineRule="auto" w:line="360" w:before="0" w:after="0"/>
        <w:jc w:val="left"/>
      </w:pPr>
      <w:r>
        <w:tab/>
      </w:r>
      <m:oMath>
        <m:sSub>
          <m:e>
            <m:r>
              <m:t>γ</m:t>
            </m:r>
          </m:e>
          <m:sub>
            <m:r>
              <m:t>0</m:t>
            </m:r>
          </m:sub>
        </m:sSub>
        <m:sSub>
          <m:e>
            <m:r>
              <m:t>S</m:t>
            </m:r>
          </m:e>
          <m:sub>
            <m:r>
              <m:t>d</m:t>
            </m:r>
          </m:sub>
        </m:sSub>
        <m:r>
          <m:rPr>
            <m:sty m:val="p"/>
          </m:rPr>
          <m:t>≤</m:t>
        </m:r>
        <m:sSub>
          <m:e>
            <m:r>
              <m:t>R</m:t>
            </m:r>
          </m:e>
          <m:sub>
            <m:r>
              <m:t>d</m:t>
            </m:r>
          </m:sub>
        </m:sSub>
        <m:r>
          <m:rPr>
            <m:sty m:val="p"/>
          </m:rPr>
          <m:t>/</m:t>
        </m:r>
        <m:sSub>
          <m:e>
            <m:r>
              <m:t>γ</m:t>
            </m:r>
          </m:e>
          <m:sub>
            <m:r>
              <m:t>R</m:t>
            </m:r>
          </m:sub>
        </m:sSub>
      </m:oMath>
      <w:r>
        <w:rPr>
          <w:rFonts w:ascii="Times New Roman" w:hAnsi="Times New Roman" w:eastAsia="宋体"/>
          <w:sz w:val="24"/>
        </w:rPr>
        <w:tab/>
        <w:t>（6.1）</w:t>
      </w:r>
    </w:p>
    <w:p>
      <w:pPr>
        <w:tabs>
          <w:tab w:pos="4100" w:val="center"/>
          <w:tab w:pos="8200" w:val="right"/>
        </w:tabs>
        <w:spacing w:lineRule="auto" w:line="360" w:before="0" w:after="0"/>
        <w:jc w:val="left"/>
      </w:pPr>
      <w:r>
        <w:tab/>
      </w:r>
      <m:oMath>
        <m:sSub>
          <m:e>
            <m:r>
              <m:t>γ</m:t>
            </m:r>
          </m:e>
          <m:sub>
            <m:r>
              <m:t>0</m:t>
            </m:r>
          </m:sub>
        </m:sSub>
        <m:sSub>
          <m:e>
            <m:r>
              <m:t>M</m:t>
            </m:r>
          </m:e>
          <m:sub>
            <m:r>
              <m:t>o</m:t>
            </m:r>
          </m:sub>
        </m:sSub>
        <m:r>
          <m:rPr>
            <m:sty m:val="p"/>
          </m:rPr>
          <m:t>≤</m:t>
        </m:r>
        <m:sSub>
          <m:e>
            <m:r>
              <m:t>M</m:t>
            </m:r>
          </m:e>
          <m:sub>
            <m:r>
              <m:t>R</m:t>
            </m:r>
          </m:sub>
        </m:sSub>
        <m:r>
          <m:rPr>
            <m:sty m:val="p"/>
          </m:rPr>
          <m:t>/</m:t>
        </m:r>
        <m:sSub>
          <m:e>
            <m:r>
              <m:t>γ</m:t>
            </m:r>
          </m:e>
          <m:sub>
            <m:r>
              <m:t>R</m:t>
            </m:r>
          </m:sub>
        </m:sSub>
      </m:oMath>
      <w:r>
        <w:rPr>
          <w:rFonts w:ascii="Times New Roman" w:hAnsi="Times New Roman" w:eastAsia="宋体"/>
          <w:sz w:val="24"/>
        </w:rPr>
        <w:tab/>
        <w:t>（6.2）</w:t>
      </w:r>
    </w:p>
    <w:p>
      <w:pPr>
        <w:spacing w:lineRule="auto" w:line="360" w:before="0" w:after="0"/>
        <w:ind w:firstLine="480"/>
      </w:pPr>
      <w:r>
        <w:rPr>
          <w:rFonts w:ascii="Times New Roman" w:hAnsi="Times New Roman" w:eastAsia="宋体"/>
          <w:sz w:val="24"/>
        </w:rPr>
        <w:t>式中，Sd为滑动力设计效应，Rd为抗滑力设计值，Mo为倾覆力矩设计值，MR为稳定力矩设计值，γ0为结构重要性系数，γR为抗力分项系数。</w:t>
      </w:r>
    </w:p>
    <w:p>
      <w:pPr>
        <w:spacing w:lineRule="auto" w:line="360" w:before="0" w:after="0"/>
        <w:ind w:firstLine="480"/>
      </w:pPr>
      <w:r>
        <w:rPr>
          <w:rFonts w:ascii="Times New Roman" w:hAnsi="Times New Roman" w:eastAsia="宋体"/>
          <w:sz w:val="24"/>
        </w:rPr>
        <w:t>沉箱断面图表达了墙身、底板、隔墙、箱内回填、封顶混凝土、胸墙、倒滤层和基床之间的关系。前趾、底板、外墙与胸墙交接处是受力和耐久性控制部位，施工图阶段应进一步细化钢筋锚固、施工缝、防渗和保护层要求。</w:t>
      </w:r>
    </w:p>
    <w:p>
      <w:pPr>
        <w:spacing w:lineRule="auto" w:line="360" w:before="0" w:after="0"/>
        <w:ind w:firstLine="480"/>
      </w:pPr>
      <w:r>
        <w:rPr>
          <w:rFonts w:ascii="Times New Roman" w:hAnsi="Times New Roman" w:eastAsia="宋体"/>
          <w:sz w:val="24"/>
        </w:rPr>
        <w:t>代表配筋图用于体现主要受力钢筋布置方向。底板钢筋主要抵抗坐床不均和局部弯曲，外墙钢筋抵抗土压力、水压力和施工阶段荷载，隔墙钢筋保证舱格整体性。配筋表达应与混凝土保护层和海工耐久性要求一致。</w:t>
      </w:r>
    </w:p>
    <w:p>
      <w:pPr>
        <w:pStyle w:val="2"/>
        <w:jc w:val="left"/>
      </w:pPr>
      <w:r>
        <w:rPr>
          <w:rFonts w:ascii="Times New Roman" w:hAnsi="Times New Roman" w:eastAsia="宋体"/>
          <w:b/>
          <w:sz w:val="24"/>
        </w:rPr>
        <w:t xml:space="preserve"> 大圆筒结构平面及立面图</w:t>
      </w:r>
    </w:p>
    <w:p>
      <w:pPr>
        <w:spacing w:before="120" w:after="0"/>
        <w:jc w:val="center"/>
      </w:pPr>
      <w:r>
        <w:drawing>
          <wp:inline xmlns:a="http://schemas.openxmlformats.org/drawingml/2006/main" xmlns:pic="http://schemas.openxmlformats.org/drawingml/2006/picture">
            <wp:extent cx="5394960" cy="3810795"/>
            <wp:docPr id="9" name="Picture 9"/>
            <wp:cNvGraphicFramePr>
              <a:graphicFrameLocks noChangeAspect="1"/>
            </wp:cNvGraphicFramePr>
            <a:graphic>
              <a:graphicData uri="http://schemas.openxmlformats.org/drawingml/2006/picture">
                <pic:pic>
                  <pic:nvPicPr>
                    <pic:cNvPr id="0" name="C-01_large_cylinder_plan.png"/>
                    <pic:cNvPicPr/>
                  </pic:nvPicPr>
                  <pic:blipFill>
                    <a:blip r:embed="rId33"/>
                    <a:stretch>
                      <a:fillRect/>
                    </a:stretch>
                  </pic:blipFill>
                  <pic:spPr>
                    <a:xfrm>
                      <a:off x="0" y="0"/>
                      <a:ext cx="5394960" cy="3810795"/>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图6-3 大圆筒结构平面及立面图</w:t>
      </w:r>
    </w:p>
    <w:p>
      <w:pPr>
        <w:spacing w:lineRule="auto" w:line="360" w:before="0" w:after="0"/>
        <w:ind w:firstLine="480"/>
      </w:pPr>
      <w:r>
        <w:rPr>
          <w:rFonts w:ascii="Times New Roman" w:hAnsi="Times New Roman" w:eastAsia="宋体"/>
          <w:sz w:val="24"/>
        </w:rPr>
        <w:t>图6-3表达大圆筒比选方案的圆筒平面布置、立面标高和胸墙连续关系。码头总长300m，分为10个结构段，每段设置2个大圆筒，共20个。圆筒中心距15.0m，外径12.0m，相邻圆筒之间预留净距用于接缝和倒滤构造。</w:t>
      </w:r>
    </w:p>
    <w:p>
      <w:pPr>
        <w:spacing w:lineRule="auto" w:line="360" w:before="0" w:after="0"/>
        <w:ind w:firstLine="480"/>
      </w:pPr>
      <w:r>
        <w:rPr>
          <w:rFonts w:ascii="Times New Roman" w:hAnsi="Times New Roman" w:eastAsia="宋体"/>
          <w:sz w:val="24"/>
        </w:rPr>
        <w:t>平面图中，大圆筒沿码头前沿单排布置，圆筒顶部由现浇胸墙连接。立面图中，圆筒顶标高+4.00m，筒底标高-11.50m，胸墙顶标高+5.50m，基床厚度约2.0m。与沉箱方案相比，大圆筒方案构件单元更分散，图面应强调筒间接缝、圆筒坐床和胸墙连续浇筑的关系。</w:t>
      </w:r>
    </w:p>
    <w:p>
      <w:pPr>
        <w:spacing w:lineRule="auto" w:line="360" w:before="0" w:after="0"/>
        <w:ind w:firstLine="480"/>
      </w:pPr>
      <w:r>
        <w:rPr>
          <w:rFonts w:ascii="Times New Roman" w:hAnsi="Times New Roman" w:eastAsia="宋体"/>
          <w:sz w:val="24"/>
        </w:rPr>
        <w:t>大圆筒平面图以两个圆筒组成一个30m分段，圆筒外径12.0m、中心距15.0m，筒间通过胸墙和倒滤构造衔接。该布置能够与沉箱方案采用相同的码头长度和附属设施节奏，便于在同一设计条件下进行对比。</w:t>
      </w:r>
    </w:p>
    <w:p>
      <w:pPr>
        <w:spacing w:lineRule="auto" w:line="360" w:before="0" w:after="0"/>
        <w:ind w:firstLine="480"/>
      </w:pPr>
      <w:r>
        <w:rPr>
          <w:rFonts w:ascii="Times New Roman" w:hAnsi="Times New Roman" w:eastAsia="宋体"/>
          <w:sz w:val="24"/>
        </w:rPr>
        <w:t>圆筒方案图纸需要特别表达筒间缝和后方倒滤层。筒间缝处若缺少可靠倒滤和止漏措施，后方细料可能随水流流失，长期会造成胸墙后空洞和地面沉陷，因此图纸中应把倒滤层、土工布和块石过渡层作为关键构造。</w:t>
      </w:r>
    </w:p>
    <w:p>
      <w:pPr>
        <w:pStyle w:val="2"/>
        <w:jc w:val="left"/>
      </w:pPr>
      <w:r>
        <w:rPr>
          <w:rFonts w:ascii="Times New Roman" w:hAnsi="Times New Roman" w:eastAsia="宋体"/>
          <w:b/>
          <w:sz w:val="24"/>
        </w:rPr>
        <w:t xml:space="preserve"> 大圆筒断面、细部构造及代表配筋</w:t>
      </w:r>
    </w:p>
    <w:p>
      <w:pPr>
        <w:spacing w:before="120" w:after="0"/>
        <w:jc w:val="center"/>
      </w:pPr>
      <w:r>
        <w:drawing>
          <wp:inline xmlns:a="http://schemas.openxmlformats.org/drawingml/2006/main" xmlns:pic="http://schemas.openxmlformats.org/drawingml/2006/picture">
            <wp:extent cx="5394960" cy="3810795"/>
            <wp:docPr id="10" name="Picture 10"/>
            <wp:cNvGraphicFramePr>
              <a:graphicFrameLocks noChangeAspect="1"/>
            </wp:cNvGraphicFramePr>
            <a:graphic>
              <a:graphicData uri="http://schemas.openxmlformats.org/drawingml/2006/picture">
                <pic:pic>
                  <pic:nvPicPr>
                    <pic:cNvPr id="0" name="C-02_large_cylinder_section_detail_rebar.png"/>
                    <pic:cNvPicPr/>
                  </pic:nvPicPr>
                  <pic:blipFill>
                    <a:blip r:embed="rId34"/>
                    <a:stretch>
                      <a:fillRect/>
                    </a:stretch>
                  </pic:blipFill>
                  <pic:spPr>
                    <a:xfrm>
                      <a:off x="0" y="0"/>
                      <a:ext cx="5394960" cy="3810795"/>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图6-4 大圆筒结构断面、细部构造及代表配筋图</w:t>
      </w:r>
    </w:p>
    <w:p>
      <w:pPr>
        <w:spacing w:lineRule="auto" w:line="360" w:before="0" w:after="0"/>
        <w:ind w:firstLine="480"/>
      </w:pPr>
      <w:r>
        <w:rPr>
          <w:rFonts w:ascii="Times New Roman" w:hAnsi="Times New Roman" w:eastAsia="宋体"/>
          <w:sz w:val="24"/>
        </w:rPr>
        <w:t>图6-4展示大圆筒方案的典型断面、圆筒壁构造、胸墙节点、基床和代表配筋。圆筒为无底薄壁钢筋混凝土构件，内部回填开山土石，顶部设置垫层和封顶混凝土，上部胸墙跨盖圆筒并承担系船柱、护舷和码头面层荷载。</w:t>
      </w:r>
    </w:p>
    <w:p>
      <w:pPr>
        <w:spacing w:lineRule="auto" w:line="360" w:before="0" w:after="0"/>
        <w:ind w:firstLine="480"/>
      </w:pPr>
      <w:r>
        <w:rPr>
          <w:rFonts w:ascii="Times New Roman" w:hAnsi="Times New Roman" w:eastAsia="宋体"/>
          <w:sz w:val="24"/>
        </w:rPr>
        <w:t>该方案的关键控制点包括圆筒预制质量、吊运变形控制、坐床平整度、筒内回填密实度、筒间缝防漏和后方倒滤层连续性。若筒底坐床局部不平，可能造成筒壁局部应力集中；若筒间防漏不到位，后方细颗粒填料可能进入水域，影响岸壁稳定和堆场沉降。</w:t>
      </w:r>
    </w:p>
    <w:p>
      <w:pPr>
        <w:spacing w:lineRule="auto" w:line="360" w:before="0" w:after="0"/>
        <w:ind w:firstLine="480"/>
      </w:pPr>
      <w:r>
        <w:rPr>
          <w:rFonts w:ascii="Times New Roman" w:hAnsi="Times New Roman" w:eastAsia="宋体"/>
          <w:sz w:val="24"/>
        </w:rPr>
        <w:t>代表配筋图应体现圆筒壁环向和竖向钢筋、胸墙纵横向钢筋以及局部加强钢筋。由于大圆筒结构受环向拉压、局部吊装和胸墙集中荷载共同影响，后续应结合施工阶段和运营阶段分别复核配筋。</w:t>
      </w:r>
    </w:p>
    <w:p>
      <w:pPr>
        <w:spacing w:lineRule="auto" w:line="360" w:before="0" w:after="0"/>
        <w:ind w:firstLine="480"/>
      </w:pPr>
      <w:r>
        <w:rPr>
          <w:rFonts w:ascii="Times New Roman" w:hAnsi="Times New Roman" w:eastAsia="宋体"/>
          <w:sz w:val="24"/>
        </w:rPr>
        <w:t>大圆筒断面图显示筒壁、筒内回填、胸墙和基床的竖向关系。由于圆筒为无底结构，筒内填料直接把荷载传递给基床，基床整平和筒底接触状态对稳定计算结果影响明显。</w:t>
      </w:r>
    </w:p>
    <w:p>
      <w:pPr>
        <w:spacing w:lineRule="auto" w:line="360" w:before="0" w:after="0"/>
        <w:ind w:firstLine="480"/>
      </w:pPr>
      <w:r>
        <w:rPr>
          <w:rFonts w:ascii="Times New Roman" w:hAnsi="Times New Roman" w:eastAsia="宋体"/>
          <w:sz w:val="24"/>
        </w:rPr>
        <w:t>圆筒壁配筋以环向和竖向钢筋为主。环向钢筋控制吊装、浮运和回填阶段的环向拉应力，竖向钢筋控制局部弯曲和施工裂缝。施工图阶段还应补充吊点加强、临时支撑和吊装验算。</w:t>
      </w:r>
    </w:p>
    <w:p>
      <w:pPr>
        <w:pStyle w:val="2"/>
        <w:jc w:val="left"/>
      </w:pPr>
      <w:r>
        <w:rPr>
          <w:rFonts w:ascii="Times New Roman" w:hAnsi="Times New Roman" w:eastAsia="宋体"/>
          <w:b/>
          <w:sz w:val="24"/>
        </w:rPr>
        <w:t xml:space="preserve"> 图纸一致性与设计工作量说明</w:t>
      </w:r>
    </w:p>
    <w:p>
      <w:pPr>
        <w:spacing w:lineRule="auto" w:line="360" w:before="0" w:after="0"/>
        <w:ind w:firstLine="480"/>
      </w:pPr>
      <w:r>
        <w:rPr>
          <w:rFonts w:ascii="Times New Roman" w:hAnsi="Times New Roman" w:eastAsia="宋体"/>
          <w:sz w:val="24"/>
        </w:rPr>
        <w:t>五张图纸均按A1横向图幅出图，主标题居中置于下方，制图栏位于右下角，比例、图号、图名和班级信息统一。图纸标注应保证打印后可读，尺寸线、引出线和文字高度应按A1图幅适当放大，避免缩图后标注过小。</w:t>
      </w:r>
    </w:p>
    <w:p>
      <w:pPr>
        <w:spacing w:lineRule="auto" w:line="360" w:before="0" w:after="0"/>
        <w:ind w:firstLine="480"/>
      </w:pPr>
      <w:r>
        <w:rPr>
          <w:rFonts w:ascii="Times New Roman" w:hAnsi="Times New Roman" w:eastAsia="宋体"/>
          <w:sz w:val="24"/>
        </w:rPr>
        <w:t>总平面图负责说明码头总体布置和作业流线；S-01和S-02负责说明推荐沉箱方案的整体结构和典型构造；C-01和C-02负责说明大圆筒比选方案的整体结构和典型构造。说明书正文应与图纸一一对应，避免只给图纸而缺少文字解释。</w:t>
      </w:r>
    </w:p>
    <w:p>
      <w:pPr>
        <w:spacing w:lineRule="auto" w:line="360" w:before="0" w:after="0"/>
        <w:ind w:firstLine="480"/>
      </w:pPr>
      <w:r>
        <w:rPr>
          <w:rFonts w:ascii="Times New Roman" w:hAnsi="Times New Roman" w:eastAsia="宋体"/>
          <w:sz w:val="24"/>
        </w:rPr>
        <w:t>本章补充了图纸成果的工程含义，使第六章不再只是图纸罗列，而是从总平面、推荐结构、比选结构、典型断面和配筋表达五个层面说明设计工作量。</w:t>
      </w:r>
    </w:p>
    <w:p>
      <w:pPr>
        <w:spacing w:lineRule="auto" w:line="360" w:before="0" w:after="0"/>
        <w:ind w:firstLine="480"/>
      </w:pPr>
      <w:r>
        <w:rPr>
          <w:rFonts w:ascii="Times New Roman" w:hAnsi="Times New Roman" w:eastAsia="宋体"/>
          <w:sz w:val="24"/>
        </w:rPr>
        <w:t>图纸一致性检查包括比例、标注、图框、标题栏、尺寸链和材料说明。所有A1图纸应统一图框和标题栏位置，主要尺寸标注应能在打印后清晰识读，结构图中的标高、厚度和分段长度应与说明书表格和计算公式一致。</w:t>
      </w:r>
    </w:p>
    <w:p>
      <w:pPr>
        <w:spacing w:lineRule="auto" w:line="360" w:before="0" w:after="0"/>
        <w:ind w:firstLine="480"/>
      </w:pPr>
      <w:r>
        <w:rPr>
          <w:rFonts w:ascii="Times New Roman" w:hAnsi="Times New Roman" w:eastAsia="宋体"/>
          <w:sz w:val="24"/>
        </w:rPr>
        <w:t>本设计的工作量体现在“推荐方案完整表达、比选方案可计算、总平面可落地”。沉箱方案给出平立面、断面、构造和代表配筋，大圆筒方案给出平立面、断面和代表配筋，总平面图给出水域、陆域和交通组织。第七章将根据这些图纸尺寸开展计算。</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本章围绕五张A1图纸补充了结构构造和图纸说明。图纸成果能够支撑总平面布置、沉箱推荐方案和大圆筒比选方案的表达，也为后续工程量计算、结构验算和施工组织深化提供基础。</w:t>
      </w:r>
    </w:p>
    <w:p>
      <w:pPr>
        <w:spacing w:lineRule="auto" w:line="360" w:before="0" w:after="0"/>
        <w:ind w:firstLine="480"/>
      </w:pPr>
      <w:r>
        <w:rPr>
          <w:rFonts w:ascii="Times New Roman" w:hAnsi="Times New Roman" w:eastAsia="宋体"/>
          <w:sz w:val="24"/>
        </w:rPr>
        <w:t>本章说明了图纸与正文的对应关系，避免图纸只作为附件存在。结构尺寸、构造节点、附属设施和分段方式均服务于后续稳定计算与工程量统计。</w:t>
      </w:r>
    </w:p>
    <w:p>
      <w:pPr>
        <w:pStyle w:val="1"/>
        <w:pageBreakBefore/>
        <w:jc w:val="center"/>
      </w:pPr>
      <w:r>
        <w:rPr>
          <w:rFonts w:ascii="Times New Roman" w:hAnsi="Times New Roman" w:eastAsia="宋体"/>
          <w:b/>
          <w:sz w:val="30"/>
        </w:rPr>
        <w:t xml:space="preserve"> 主要计算与工程量估算</w:t>
      </w:r>
    </w:p>
    <w:p>
      <w:pPr>
        <w:pStyle w:val="2"/>
        <w:jc w:val="left"/>
      </w:pPr>
      <w:r>
        <w:rPr>
          <w:rFonts w:ascii="Times New Roman" w:hAnsi="Times New Roman" w:eastAsia="宋体"/>
          <w:b/>
          <w:sz w:val="24"/>
        </w:rPr>
        <w:t xml:space="preserve"> 计算依据、计算单元与控制工况</w:t>
      </w:r>
    </w:p>
    <w:p>
      <w:pPr>
        <w:spacing w:lineRule="auto" w:line="360" w:before="0" w:after="0"/>
        <w:ind w:firstLine="480"/>
      </w:pPr>
      <w:r>
        <w:rPr>
          <w:rFonts w:ascii="Times New Roman" w:hAnsi="Times New Roman" w:eastAsia="宋体"/>
          <w:sz w:val="24"/>
        </w:rPr>
        <w:t>本章计算以第三章确定的沉箱推荐方案和大圆筒比选方案为对象，按相同泊位长度、相同墙后填料、相同堆载和相同设计水位进行比较。计算目的在于初步设计阶段验证主要尺度是否合理，并说明推荐沉箱方案的技术依据；施工图阶段仍需在详勘资料和最终荷载条件基础上编制完整结构计算书。</w:t>
      </w:r>
    </w:p>
    <w:p>
      <w:pPr>
        <w:spacing w:lineRule="auto" w:line="360" w:before="0" w:after="0"/>
        <w:ind w:firstLine="480"/>
      </w:pPr>
      <w:r>
        <w:rPr>
          <w:rFonts w:ascii="Times New Roman" w:hAnsi="Times New Roman" w:eastAsia="宋体"/>
          <w:sz w:val="24"/>
        </w:rPr>
        <w:t>计算采用30m结构段作为基本单元。沉箱方案每段对应1座沉箱，大圆筒方案每段对应2个圆筒。统一计算单元后，竖向力、水平土压力、系缆力、基床应力和工程量均可直接比较，避免因分段长度不同造成评价偏差。</w:t>
      </w:r>
    </w:p>
    <w:p>
      <w:pPr>
        <w:spacing w:lineRule="auto" w:line="360" w:before="0" w:after="0"/>
        <w:ind w:firstLine="480"/>
      </w:pPr>
      <w:r>
        <w:rPr>
          <w:rFonts w:ascii="Times New Roman" w:hAnsi="Times New Roman" w:eastAsia="宋体"/>
          <w:sz w:val="24"/>
        </w:rPr>
        <w:t>整体稳定验算遵循重力式码头常用计算思路，主要检查抗滑、抗倾覆、合力偏心距和基床应力。荷载取值和组合参考码头结构设计规范及初步设计编制要求</w:t>
      </w:r>
      <w:r>
        <w:rPr>
          <w:rFonts w:ascii="Times New Roman" w:hAnsi="Times New Roman" w:eastAsia="宋体"/>
          <w:sz w:val="24"/>
          <w:vertAlign w:val="superscript"/>
        </w:rPr>
        <w:t>[14]</w:t>
      </w:r>
      <w:r>
        <w:rPr>
          <w:rFonts w:ascii="Times New Roman" w:hAnsi="Times New Roman" w:eastAsia="宋体"/>
          <w:sz w:val="24"/>
        </w:rPr>
        <w:t>。沉箱和大圆筒的构造、施工特点及稳定验算方法参考港口与海岸水工建筑物教材中关于重力式码头、沉箱码头和大圆筒码头的相关内容</w:t>
      </w:r>
      <w:r>
        <w:rPr>
          <w:rFonts w:ascii="Times New Roman" w:hAnsi="Times New Roman" w:eastAsia="宋体"/>
          <w:sz w:val="24"/>
          <w:vertAlign w:val="superscript"/>
        </w:rPr>
        <w:t>[15]</w:t>
      </w:r>
      <w:r>
        <w:rPr>
          <w:rFonts w:ascii="Times New Roman" w:hAnsi="Times New Roman" w:eastAsia="宋体"/>
          <w:sz w:val="24"/>
        </w:rPr>
        <w:t>。</w:t>
      </w:r>
    </w:p>
    <w:p>
      <w:pPr>
        <w:keepNext/>
        <w:spacing w:lineRule="auto" w:line="300" w:before="0" w:after="120"/>
        <w:jc w:val="center"/>
      </w:pPr>
      <w:r>
        <w:rPr>
          <w:rFonts w:ascii="Times New Roman" w:hAnsi="Times New Roman" w:eastAsia="宋体"/>
          <w:b w:val="0"/>
          <w:sz w:val="20"/>
        </w:rPr>
        <w:t>表7-1 主要计算参数取值</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800"/>
        <w:gridCol w:w="936"/>
        <w:gridCol w:w="936"/>
        <w:gridCol w:w="1152"/>
        <w:gridCol w:w="3816"/>
      </w:tblGrid>
      <w:tr>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符号</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单位</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1662"/>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1800"/>
            <w:vAlign w:val="center"/>
          </w:tcPr>
          <w:p>
            <w:pPr>
              <w:spacing w:lineRule="auto" w:line="276"/>
              <w:jc w:val="center"/>
            </w:pPr>
            <w:r>
              <w:rPr>
                <w:rFonts w:ascii="Times New Roman" w:hAnsi="Times New Roman" w:eastAsia="宋体"/>
                <w:b w:val="0"/>
                <w:sz w:val="18"/>
              </w:rPr>
              <w:t>计算段长度</w:t>
            </w:r>
          </w:p>
        </w:tc>
        <w:tc>
          <w:tcPr>
            <w:tcW w:type="dxa" w:w="936"/>
            <w:vAlign w:val="center"/>
          </w:tcPr>
          <w:p>
            <w:pPr>
              <w:spacing w:lineRule="auto" w:line="276"/>
              <w:jc w:val="center"/>
            </w:pPr>
            <w:r>
              <w:rPr>
                <w:rFonts w:ascii="Times New Roman" w:hAnsi="Times New Roman" w:eastAsia="宋体"/>
                <w:b w:val="0"/>
                <w:sz w:val="18"/>
              </w:rPr>
              <w:t>l</w:t>
            </w:r>
          </w:p>
        </w:tc>
        <w:tc>
          <w:tcPr>
            <w:tcW w:type="dxa" w:w="936"/>
            <w:vAlign w:val="center"/>
          </w:tcPr>
          <w:p>
            <w:pPr>
              <w:spacing w:lineRule="auto" w:line="276"/>
              <w:jc w:val="center"/>
            </w:pPr>
            <w:r>
              <w:rPr>
                <w:rFonts w:ascii="Times New Roman" w:hAnsi="Times New Roman" w:eastAsia="宋体"/>
                <w:b w:val="0"/>
                <w:sz w:val="18"/>
              </w:rPr>
              <w:t>m</w:t>
            </w:r>
          </w:p>
        </w:tc>
        <w:tc>
          <w:tcPr>
            <w:tcW w:type="dxa" w:w="1152"/>
            <w:vAlign w:val="center"/>
          </w:tcPr>
          <w:p>
            <w:pPr>
              <w:spacing w:lineRule="auto" w:line="276"/>
              <w:jc w:val="center"/>
            </w:pPr>
            <w:r>
              <w:rPr>
                <w:rFonts w:ascii="Times New Roman" w:hAnsi="Times New Roman" w:eastAsia="宋体"/>
                <w:b w:val="0"/>
                <w:sz w:val="18"/>
              </w:rPr>
              <w:t>30.0</w:t>
            </w:r>
          </w:p>
        </w:tc>
        <w:tc>
          <w:tcPr>
            <w:tcW w:type="dxa" w:w="3816"/>
            <w:vAlign w:val="center"/>
          </w:tcPr>
          <w:p>
            <w:pPr>
              <w:spacing w:lineRule="auto" w:line="276"/>
              <w:jc w:val="center"/>
            </w:pPr>
            <w:r>
              <w:rPr>
                <w:rFonts w:ascii="Times New Roman" w:hAnsi="Times New Roman" w:eastAsia="宋体"/>
                <w:b w:val="0"/>
                <w:sz w:val="18"/>
              </w:rPr>
              <w:t>与结构分段一致</w:t>
            </w:r>
          </w:p>
        </w:tc>
      </w:tr>
      <w:tr>
        <w:tc>
          <w:tcPr>
            <w:tcW w:type="dxa" w:w="1800"/>
            <w:vAlign w:val="center"/>
          </w:tcPr>
          <w:p>
            <w:pPr>
              <w:spacing w:lineRule="auto" w:line="276"/>
              <w:jc w:val="center"/>
            </w:pPr>
            <w:r>
              <w:rPr>
                <w:rFonts w:ascii="Times New Roman" w:hAnsi="Times New Roman" w:eastAsia="宋体"/>
                <w:b w:val="0"/>
                <w:sz w:val="18"/>
              </w:rPr>
              <w:t>设计高水位</w:t>
            </w:r>
          </w:p>
        </w:tc>
        <w:tc>
          <w:tcPr>
            <w:tcW w:type="dxa" w:w="936"/>
            <w:vAlign w:val="center"/>
          </w:tcPr>
          <w:p>
            <w:pPr>
              <w:spacing w:lineRule="auto" w:line="276"/>
              <w:jc w:val="center"/>
            </w:pPr>
            <w:r>
              <w:rPr>
                <w:rFonts w:ascii="Times New Roman" w:hAnsi="Times New Roman" w:eastAsia="宋体"/>
                <w:b w:val="0"/>
                <w:sz w:val="18"/>
              </w:rPr>
              <w:t>HWL</w:t>
            </w:r>
          </w:p>
        </w:tc>
        <w:tc>
          <w:tcPr>
            <w:tcW w:type="dxa" w:w="936"/>
            <w:vAlign w:val="center"/>
          </w:tcPr>
          <w:p>
            <w:pPr>
              <w:spacing w:lineRule="auto" w:line="276"/>
              <w:jc w:val="center"/>
            </w:pPr>
            <w:r>
              <w:rPr>
                <w:rFonts w:ascii="Times New Roman" w:hAnsi="Times New Roman" w:eastAsia="宋体"/>
                <w:b w:val="0"/>
                <w:sz w:val="18"/>
              </w:rPr>
              <w:t>m</w:t>
            </w:r>
          </w:p>
        </w:tc>
        <w:tc>
          <w:tcPr>
            <w:tcW w:type="dxa" w:w="1152"/>
            <w:vAlign w:val="center"/>
          </w:tcPr>
          <w:p>
            <w:pPr>
              <w:spacing w:lineRule="auto" w:line="276"/>
              <w:jc w:val="center"/>
            </w:pPr>
            <w:r>
              <w:rPr>
                <w:rFonts w:ascii="Times New Roman" w:hAnsi="Times New Roman" w:eastAsia="宋体"/>
                <w:b w:val="0"/>
                <w:sz w:val="18"/>
              </w:rPr>
              <w:t>4.27</w:t>
            </w:r>
          </w:p>
        </w:tc>
        <w:tc>
          <w:tcPr>
            <w:tcW w:type="dxa" w:w="3816"/>
            <w:vAlign w:val="center"/>
          </w:tcPr>
          <w:p>
            <w:pPr>
              <w:spacing w:lineRule="auto" w:line="276"/>
              <w:jc w:val="center"/>
            </w:pPr>
            <w:r>
              <w:rPr>
                <w:rFonts w:ascii="Times New Roman" w:hAnsi="Times New Roman" w:eastAsia="宋体"/>
                <w:b w:val="0"/>
                <w:sz w:val="18"/>
              </w:rPr>
              <w:t>码头面与胸墙校核</w:t>
            </w:r>
          </w:p>
        </w:tc>
      </w:tr>
      <w:tr>
        <w:tc>
          <w:tcPr>
            <w:tcW w:type="dxa" w:w="1800"/>
            <w:vAlign w:val="center"/>
          </w:tcPr>
          <w:p>
            <w:pPr>
              <w:spacing w:lineRule="auto" w:line="276"/>
              <w:jc w:val="center"/>
            </w:pPr>
            <w:r>
              <w:rPr>
                <w:rFonts w:ascii="Times New Roman" w:hAnsi="Times New Roman" w:eastAsia="宋体"/>
                <w:b w:val="0"/>
                <w:sz w:val="18"/>
              </w:rPr>
              <w:t>设计低水位</w:t>
            </w:r>
          </w:p>
        </w:tc>
        <w:tc>
          <w:tcPr>
            <w:tcW w:type="dxa" w:w="936"/>
            <w:vAlign w:val="center"/>
          </w:tcPr>
          <w:p>
            <w:pPr>
              <w:spacing w:lineRule="auto" w:line="276"/>
              <w:jc w:val="center"/>
            </w:pPr>
            <w:r>
              <w:rPr>
                <w:rFonts w:ascii="Times New Roman" w:hAnsi="Times New Roman" w:eastAsia="宋体"/>
                <w:b w:val="0"/>
                <w:sz w:val="18"/>
              </w:rPr>
              <w:t>LWL</w:t>
            </w:r>
          </w:p>
        </w:tc>
        <w:tc>
          <w:tcPr>
            <w:tcW w:type="dxa" w:w="936"/>
            <w:vAlign w:val="center"/>
          </w:tcPr>
          <w:p>
            <w:pPr>
              <w:spacing w:lineRule="auto" w:line="276"/>
              <w:jc w:val="center"/>
            </w:pPr>
            <w:r>
              <w:rPr>
                <w:rFonts w:ascii="Times New Roman" w:hAnsi="Times New Roman" w:eastAsia="宋体"/>
                <w:b w:val="0"/>
                <w:sz w:val="18"/>
              </w:rPr>
              <w:t>m</w:t>
            </w:r>
          </w:p>
        </w:tc>
        <w:tc>
          <w:tcPr>
            <w:tcW w:type="dxa" w:w="1152"/>
            <w:vAlign w:val="center"/>
          </w:tcPr>
          <w:p>
            <w:pPr>
              <w:spacing w:lineRule="auto" w:line="276"/>
              <w:jc w:val="center"/>
            </w:pPr>
            <w:r>
              <w:rPr>
                <w:rFonts w:ascii="Times New Roman" w:hAnsi="Times New Roman" w:eastAsia="宋体"/>
                <w:b w:val="0"/>
                <w:sz w:val="18"/>
              </w:rPr>
              <w:t>1.56</w:t>
            </w:r>
          </w:p>
        </w:tc>
        <w:tc>
          <w:tcPr>
            <w:tcW w:type="dxa" w:w="3816"/>
            <w:vAlign w:val="center"/>
          </w:tcPr>
          <w:p>
            <w:pPr>
              <w:spacing w:lineRule="auto" w:line="276"/>
              <w:jc w:val="center"/>
            </w:pPr>
            <w:r>
              <w:rPr>
                <w:rFonts w:ascii="Times New Roman" w:hAnsi="Times New Roman" w:eastAsia="宋体"/>
                <w:b w:val="0"/>
                <w:sz w:val="18"/>
              </w:rPr>
              <w:t>稳定计算主要工况</w:t>
            </w:r>
          </w:p>
        </w:tc>
      </w:tr>
      <w:tr>
        <w:tc>
          <w:tcPr>
            <w:tcW w:type="dxa" w:w="1800"/>
            <w:vAlign w:val="center"/>
          </w:tcPr>
          <w:p>
            <w:pPr>
              <w:spacing w:lineRule="auto" w:line="276"/>
              <w:jc w:val="center"/>
            </w:pPr>
            <w:r>
              <w:rPr>
                <w:rFonts w:ascii="Times New Roman" w:hAnsi="Times New Roman" w:eastAsia="宋体"/>
                <w:b w:val="0"/>
                <w:sz w:val="18"/>
              </w:rPr>
              <w:t>极端高水位</w:t>
            </w:r>
          </w:p>
        </w:tc>
        <w:tc>
          <w:tcPr>
            <w:tcW w:type="dxa" w:w="936"/>
            <w:vAlign w:val="center"/>
          </w:tcPr>
          <w:p>
            <w:pPr>
              <w:spacing w:lineRule="auto" w:line="276"/>
              <w:jc w:val="center"/>
            </w:pPr>
            <w:r>
              <w:rPr>
                <w:rFonts w:ascii="Times New Roman" w:hAnsi="Times New Roman" w:eastAsia="宋体"/>
                <w:b w:val="0"/>
                <w:sz w:val="18"/>
              </w:rPr>
              <w:t>EHWL</w:t>
            </w:r>
          </w:p>
        </w:tc>
        <w:tc>
          <w:tcPr>
            <w:tcW w:type="dxa" w:w="936"/>
            <w:vAlign w:val="center"/>
          </w:tcPr>
          <w:p>
            <w:pPr>
              <w:spacing w:lineRule="auto" w:line="276"/>
              <w:jc w:val="center"/>
            </w:pPr>
            <w:r>
              <w:rPr>
                <w:rFonts w:ascii="Times New Roman" w:hAnsi="Times New Roman" w:eastAsia="宋体"/>
                <w:b w:val="0"/>
                <w:sz w:val="18"/>
              </w:rPr>
              <w:t>m</w:t>
            </w:r>
          </w:p>
        </w:tc>
        <w:tc>
          <w:tcPr>
            <w:tcW w:type="dxa" w:w="1152"/>
            <w:vAlign w:val="center"/>
          </w:tcPr>
          <w:p>
            <w:pPr>
              <w:spacing w:lineRule="auto" w:line="276"/>
              <w:jc w:val="center"/>
            </w:pPr>
            <w:r>
              <w:rPr>
                <w:rFonts w:ascii="Times New Roman" w:hAnsi="Times New Roman" w:eastAsia="宋体"/>
                <w:b w:val="0"/>
                <w:sz w:val="18"/>
              </w:rPr>
              <w:t>5.52</w:t>
            </w:r>
          </w:p>
        </w:tc>
        <w:tc>
          <w:tcPr>
            <w:tcW w:type="dxa" w:w="3816"/>
            <w:vAlign w:val="center"/>
          </w:tcPr>
          <w:p>
            <w:pPr>
              <w:spacing w:lineRule="auto" w:line="276"/>
              <w:jc w:val="center"/>
            </w:pPr>
            <w:r>
              <w:rPr>
                <w:rFonts w:ascii="Times New Roman" w:hAnsi="Times New Roman" w:eastAsia="宋体"/>
                <w:b w:val="0"/>
                <w:sz w:val="18"/>
              </w:rPr>
              <w:t>防汛与胸墙顶高程校核</w:t>
            </w:r>
          </w:p>
        </w:tc>
      </w:tr>
      <w:tr>
        <w:tc>
          <w:tcPr>
            <w:tcW w:type="dxa" w:w="1800"/>
            <w:vAlign w:val="center"/>
          </w:tcPr>
          <w:p>
            <w:pPr>
              <w:spacing w:lineRule="auto" w:line="276"/>
              <w:jc w:val="center"/>
            </w:pPr>
            <w:r>
              <w:rPr>
                <w:rFonts w:ascii="Times New Roman" w:hAnsi="Times New Roman" w:eastAsia="宋体"/>
                <w:b w:val="0"/>
                <w:sz w:val="18"/>
              </w:rPr>
              <w:t>极端低水位</w:t>
            </w:r>
          </w:p>
        </w:tc>
        <w:tc>
          <w:tcPr>
            <w:tcW w:type="dxa" w:w="936"/>
            <w:vAlign w:val="center"/>
          </w:tcPr>
          <w:p>
            <w:pPr>
              <w:spacing w:lineRule="auto" w:line="276"/>
              <w:jc w:val="center"/>
            </w:pPr>
            <w:r>
              <w:rPr>
                <w:rFonts w:ascii="Times New Roman" w:hAnsi="Times New Roman" w:eastAsia="宋体"/>
                <w:b w:val="0"/>
                <w:sz w:val="18"/>
              </w:rPr>
              <w:t>ELWL</w:t>
            </w:r>
          </w:p>
        </w:tc>
        <w:tc>
          <w:tcPr>
            <w:tcW w:type="dxa" w:w="936"/>
            <w:vAlign w:val="center"/>
          </w:tcPr>
          <w:p>
            <w:pPr>
              <w:spacing w:lineRule="auto" w:line="276"/>
              <w:jc w:val="center"/>
            </w:pPr>
            <w:r>
              <w:rPr>
                <w:rFonts w:ascii="Times New Roman" w:hAnsi="Times New Roman" w:eastAsia="宋体"/>
                <w:b w:val="0"/>
                <w:sz w:val="18"/>
              </w:rPr>
              <w:t>m</w:t>
            </w:r>
          </w:p>
        </w:tc>
        <w:tc>
          <w:tcPr>
            <w:tcW w:type="dxa" w:w="1152"/>
            <w:vAlign w:val="center"/>
          </w:tcPr>
          <w:p>
            <w:pPr>
              <w:spacing w:lineRule="auto" w:line="276"/>
              <w:jc w:val="center"/>
            </w:pPr>
            <w:r>
              <w:rPr>
                <w:rFonts w:ascii="Times New Roman" w:hAnsi="Times New Roman" w:eastAsia="宋体"/>
                <w:b w:val="0"/>
                <w:sz w:val="18"/>
              </w:rPr>
              <w:t>0.13</w:t>
            </w:r>
          </w:p>
        </w:tc>
        <w:tc>
          <w:tcPr>
            <w:tcW w:type="dxa" w:w="3816"/>
            <w:vAlign w:val="center"/>
          </w:tcPr>
          <w:p>
            <w:pPr>
              <w:spacing w:lineRule="auto" w:line="276"/>
              <w:jc w:val="center"/>
            </w:pPr>
            <w:r>
              <w:rPr>
                <w:rFonts w:ascii="Times New Roman" w:hAnsi="Times New Roman" w:eastAsia="宋体"/>
                <w:b w:val="0"/>
                <w:sz w:val="18"/>
              </w:rPr>
              <w:t>低水位不利工况复核</w:t>
            </w:r>
          </w:p>
        </w:tc>
      </w:tr>
      <w:tr>
        <w:tc>
          <w:tcPr>
            <w:tcW w:type="dxa" w:w="1800"/>
            <w:vAlign w:val="center"/>
          </w:tcPr>
          <w:p>
            <w:pPr>
              <w:spacing w:lineRule="auto" w:line="276"/>
              <w:jc w:val="center"/>
            </w:pPr>
            <w:r>
              <w:rPr>
                <w:rFonts w:ascii="Times New Roman" w:hAnsi="Times New Roman" w:eastAsia="宋体"/>
                <w:b w:val="0"/>
                <w:sz w:val="18"/>
              </w:rPr>
              <w:t>墙后填料重度</w:t>
            </w:r>
          </w:p>
        </w:tc>
        <w:tc>
          <w:tcPr>
            <w:tcW w:type="dxa" w:w="936"/>
            <w:vAlign w:val="center"/>
          </w:tcPr>
          <w:p>
            <w:pPr>
              <w:spacing w:lineRule="auto" w:line="276"/>
              <w:jc w:val="center"/>
            </w:pPr>
            <w:r>
              <w:rPr>
                <w:rFonts w:ascii="Times New Roman" w:hAnsi="Times New Roman" w:eastAsia="宋体"/>
                <w:b w:val="0"/>
                <w:sz w:val="18"/>
              </w:rPr>
              <w:t>γ</w:t>
            </w:r>
          </w:p>
        </w:tc>
        <w:tc>
          <w:tcPr>
            <w:tcW w:type="dxa" w:w="936"/>
            <w:vAlign w:val="center"/>
          </w:tcPr>
          <w:p>
            <w:pPr>
              <w:spacing w:lineRule="auto" w:line="276"/>
              <w:jc w:val="center"/>
            </w:pPr>
            <w:r>
              <w:rPr>
                <w:rFonts w:ascii="Times New Roman" w:hAnsi="Times New Roman" w:eastAsia="宋体"/>
                <w:b w:val="0"/>
                <w:sz w:val="18"/>
              </w:rPr>
              <w:t>kN/m³</w:t>
            </w:r>
          </w:p>
        </w:tc>
        <w:tc>
          <w:tcPr>
            <w:tcW w:type="dxa" w:w="1152"/>
            <w:vAlign w:val="center"/>
          </w:tcPr>
          <w:p>
            <w:pPr>
              <w:spacing w:lineRule="auto" w:line="276"/>
              <w:jc w:val="center"/>
            </w:pPr>
            <w:r>
              <w:rPr>
                <w:rFonts w:ascii="Times New Roman" w:hAnsi="Times New Roman" w:eastAsia="宋体"/>
                <w:b w:val="0"/>
                <w:sz w:val="18"/>
              </w:rPr>
              <w:t>18.5</w:t>
            </w:r>
          </w:p>
        </w:tc>
        <w:tc>
          <w:tcPr>
            <w:tcW w:type="dxa" w:w="3816"/>
            <w:vAlign w:val="center"/>
          </w:tcPr>
          <w:p>
            <w:pPr>
              <w:spacing w:lineRule="auto" w:line="276"/>
              <w:jc w:val="center"/>
            </w:pPr>
            <w:r>
              <w:rPr>
                <w:rFonts w:ascii="Times New Roman" w:hAnsi="Times New Roman" w:eastAsia="宋体"/>
                <w:b w:val="0"/>
                <w:sz w:val="18"/>
              </w:rPr>
              <w:t>开山土石回填</w:t>
            </w:r>
          </w:p>
        </w:tc>
      </w:tr>
      <w:tr>
        <w:tc>
          <w:tcPr>
            <w:tcW w:type="dxa" w:w="1800"/>
            <w:vAlign w:val="center"/>
          </w:tcPr>
          <w:p>
            <w:pPr>
              <w:spacing w:lineRule="auto" w:line="276"/>
              <w:jc w:val="center"/>
            </w:pPr>
            <w:r>
              <w:rPr>
                <w:rFonts w:ascii="Times New Roman" w:hAnsi="Times New Roman" w:eastAsia="宋体"/>
                <w:b w:val="0"/>
                <w:sz w:val="18"/>
              </w:rPr>
              <w:t>水下有效重度</w:t>
            </w:r>
          </w:p>
        </w:tc>
        <w:tc>
          <w:tcPr>
            <w:tcW w:type="dxa" w:w="936"/>
            <w:vAlign w:val="center"/>
          </w:tcPr>
          <w:p>
            <w:pPr>
              <w:spacing w:lineRule="auto" w:line="276"/>
              <w:jc w:val="center"/>
            </w:pPr>
            <w:r>
              <w:rPr>
                <w:rFonts w:ascii="Times New Roman" w:hAnsi="Times New Roman" w:eastAsia="宋体"/>
                <w:b w:val="0"/>
                <w:sz w:val="18"/>
              </w:rPr>
              <w:t>γ′</w:t>
            </w:r>
          </w:p>
        </w:tc>
        <w:tc>
          <w:tcPr>
            <w:tcW w:type="dxa" w:w="936"/>
            <w:vAlign w:val="center"/>
          </w:tcPr>
          <w:p>
            <w:pPr>
              <w:spacing w:lineRule="auto" w:line="276"/>
              <w:jc w:val="center"/>
            </w:pPr>
            <w:r>
              <w:rPr>
                <w:rFonts w:ascii="Times New Roman" w:hAnsi="Times New Roman" w:eastAsia="宋体"/>
                <w:b w:val="0"/>
                <w:sz w:val="18"/>
              </w:rPr>
              <w:t>kN/m³</w:t>
            </w:r>
          </w:p>
        </w:tc>
        <w:tc>
          <w:tcPr>
            <w:tcW w:type="dxa" w:w="1152"/>
            <w:vAlign w:val="center"/>
          </w:tcPr>
          <w:p>
            <w:pPr>
              <w:spacing w:lineRule="auto" w:line="276"/>
              <w:jc w:val="center"/>
            </w:pPr>
            <w:r>
              <w:rPr>
                <w:rFonts w:ascii="Times New Roman" w:hAnsi="Times New Roman" w:eastAsia="宋体"/>
                <w:b w:val="0"/>
                <w:sz w:val="18"/>
              </w:rPr>
              <w:t>10.0</w:t>
            </w:r>
          </w:p>
        </w:tc>
        <w:tc>
          <w:tcPr>
            <w:tcW w:type="dxa" w:w="3816"/>
            <w:vAlign w:val="center"/>
          </w:tcPr>
          <w:p>
            <w:pPr>
              <w:spacing w:lineRule="auto" w:line="276"/>
              <w:jc w:val="center"/>
            </w:pPr>
            <w:r>
              <w:rPr>
                <w:rFonts w:ascii="Times New Roman" w:hAnsi="Times New Roman" w:eastAsia="宋体"/>
                <w:b w:val="0"/>
                <w:sz w:val="18"/>
              </w:rPr>
              <w:t>土压力估算</w:t>
            </w:r>
          </w:p>
        </w:tc>
      </w:tr>
      <w:tr>
        <w:tc>
          <w:tcPr>
            <w:tcW w:type="dxa" w:w="1800"/>
            <w:vAlign w:val="center"/>
          </w:tcPr>
          <w:p>
            <w:pPr>
              <w:spacing w:lineRule="auto" w:line="276"/>
              <w:jc w:val="center"/>
            </w:pPr>
            <w:r>
              <w:rPr>
                <w:rFonts w:ascii="Times New Roman" w:hAnsi="Times New Roman" w:eastAsia="宋体"/>
                <w:b w:val="0"/>
                <w:sz w:val="18"/>
              </w:rPr>
              <w:t>主动土压力系数</w:t>
            </w:r>
          </w:p>
        </w:tc>
        <w:tc>
          <w:tcPr>
            <w:tcW w:type="dxa" w:w="936"/>
            <w:vAlign w:val="center"/>
          </w:tcPr>
          <w:p>
            <w:pPr>
              <w:spacing w:lineRule="auto" w:line="276"/>
              <w:jc w:val="center"/>
            </w:pPr>
            <w:r>
              <w:rPr>
                <w:rFonts w:ascii="Times New Roman" w:hAnsi="Times New Roman" w:eastAsia="宋体"/>
                <w:b w:val="0"/>
                <w:sz w:val="18"/>
              </w:rPr>
              <w:t>Ka</w:t>
            </w:r>
          </w:p>
        </w:tc>
        <w:tc>
          <w:tcPr>
            <w:tcW w:type="dxa" w:w="936"/>
            <w:vAlign w:val="center"/>
          </w:tcPr>
          <w:p>
            <w:pPr>
              <w:spacing w:lineRule="auto" w:line="276"/>
              <w:jc w:val="center"/>
            </w:pPr>
            <w:r>
              <w:rPr>
                <w:rFonts w:ascii="Times New Roman" w:hAnsi="Times New Roman" w:eastAsia="宋体"/>
                <w:b w:val="0"/>
                <w:sz w:val="18"/>
              </w:rPr>
              <w:t>-</w:t>
            </w:r>
          </w:p>
        </w:tc>
        <w:tc>
          <w:tcPr>
            <w:tcW w:type="dxa" w:w="1152"/>
            <w:vAlign w:val="center"/>
          </w:tcPr>
          <w:p>
            <w:pPr>
              <w:spacing w:lineRule="auto" w:line="276"/>
              <w:jc w:val="center"/>
            </w:pPr>
            <w:r>
              <w:rPr>
                <w:rFonts w:ascii="Times New Roman" w:hAnsi="Times New Roman" w:eastAsia="宋体"/>
                <w:b w:val="0"/>
                <w:sz w:val="18"/>
              </w:rPr>
              <w:t>0.33</w:t>
            </w:r>
          </w:p>
        </w:tc>
        <w:tc>
          <w:tcPr>
            <w:tcW w:type="dxa" w:w="3816"/>
            <w:vAlign w:val="center"/>
          </w:tcPr>
          <w:p>
            <w:pPr>
              <w:spacing w:lineRule="auto" w:line="276"/>
              <w:jc w:val="center"/>
            </w:pPr>
            <w:r>
              <w:rPr>
                <w:rFonts w:ascii="Times New Roman" w:hAnsi="Times New Roman" w:eastAsia="宋体"/>
                <w:b w:val="0"/>
                <w:sz w:val="18"/>
              </w:rPr>
              <w:t>按内摩擦角约30°估算</w:t>
            </w:r>
          </w:p>
        </w:tc>
      </w:tr>
      <w:tr>
        <w:tc>
          <w:tcPr>
            <w:tcW w:type="dxa" w:w="1800"/>
            <w:vAlign w:val="center"/>
          </w:tcPr>
          <w:p>
            <w:pPr>
              <w:spacing w:lineRule="auto" w:line="276"/>
              <w:jc w:val="center"/>
            </w:pPr>
            <w:r>
              <w:rPr>
                <w:rFonts w:ascii="Times New Roman" w:hAnsi="Times New Roman" w:eastAsia="宋体"/>
                <w:b w:val="0"/>
                <w:sz w:val="18"/>
              </w:rPr>
              <w:t>堆场均布荷载</w:t>
            </w:r>
          </w:p>
        </w:tc>
        <w:tc>
          <w:tcPr>
            <w:tcW w:type="dxa" w:w="936"/>
            <w:vAlign w:val="center"/>
          </w:tcPr>
          <w:p>
            <w:pPr>
              <w:spacing w:lineRule="auto" w:line="276"/>
              <w:jc w:val="center"/>
            </w:pPr>
            <w:r>
              <w:rPr>
                <w:rFonts w:ascii="Times New Roman" w:hAnsi="Times New Roman" w:eastAsia="宋体"/>
                <w:b w:val="0"/>
                <w:sz w:val="18"/>
              </w:rPr>
              <w:t>q</w:t>
            </w:r>
          </w:p>
        </w:tc>
        <w:tc>
          <w:tcPr>
            <w:tcW w:type="dxa" w:w="936"/>
            <w:vAlign w:val="center"/>
          </w:tcPr>
          <w:p>
            <w:pPr>
              <w:spacing w:lineRule="auto" w:line="276"/>
              <w:jc w:val="center"/>
            </w:pPr>
            <w:r>
              <w:rPr>
                <w:rFonts w:ascii="Times New Roman" w:hAnsi="Times New Roman" w:eastAsia="宋体"/>
                <w:b w:val="0"/>
                <w:sz w:val="18"/>
              </w:rPr>
              <w:t>kPa</w:t>
            </w:r>
          </w:p>
        </w:tc>
        <w:tc>
          <w:tcPr>
            <w:tcW w:type="dxa" w:w="1152"/>
            <w:vAlign w:val="center"/>
          </w:tcPr>
          <w:p>
            <w:pPr>
              <w:spacing w:lineRule="auto" w:line="276"/>
              <w:jc w:val="center"/>
            </w:pPr>
            <w:r>
              <w:rPr>
                <w:rFonts w:ascii="Times New Roman" w:hAnsi="Times New Roman" w:eastAsia="宋体"/>
                <w:b w:val="0"/>
                <w:sz w:val="18"/>
              </w:rPr>
              <w:t>70</w:t>
            </w:r>
          </w:p>
        </w:tc>
        <w:tc>
          <w:tcPr>
            <w:tcW w:type="dxa" w:w="3816"/>
            <w:vAlign w:val="center"/>
          </w:tcPr>
          <w:p>
            <w:pPr>
              <w:spacing w:lineRule="auto" w:line="276"/>
              <w:jc w:val="center"/>
            </w:pPr>
            <w:r>
              <w:rPr>
                <w:rFonts w:ascii="Times New Roman" w:hAnsi="Times New Roman" w:eastAsia="宋体"/>
                <w:b w:val="0"/>
                <w:sz w:val="18"/>
              </w:rPr>
              <w:t>集装箱堆场及作业荷载</w:t>
            </w:r>
          </w:p>
        </w:tc>
      </w:tr>
      <w:tr>
        <w:tc>
          <w:tcPr>
            <w:tcW w:type="dxa" w:w="1800"/>
            <w:vAlign w:val="center"/>
          </w:tcPr>
          <w:p>
            <w:pPr>
              <w:spacing w:lineRule="auto" w:line="276"/>
              <w:jc w:val="center"/>
            </w:pPr>
            <w:r>
              <w:rPr>
                <w:rFonts w:ascii="Times New Roman" w:hAnsi="Times New Roman" w:eastAsia="宋体"/>
                <w:b w:val="0"/>
                <w:sz w:val="18"/>
              </w:rPr>
              <w:t>基床摩擦系数</w:t>
            </w:r>
          </w:p>
        </w:tc>
        <w:tc>
          <w:tcPr>
            <w:tcW w:type="dxa" w:w="936"/>
            <w:vAlign w:val="center"/>
          </w:tcPr>
          <w:p>
            <w:pPr>
              <w:spacing w:lineRule="auto" w:line="276"/>
              <w:jc w:val="center"/>
            </w:pPr>
            <w:r>
              <w:rPr>
                <w:rFonts w:ascii="Times New Roman" w:hAnsi="Times New Roman" w:eastAsia="宋体"/>
                <w:b w:val="0"/>
                <w:sz w:val="18"/>
              </w:rPr>
              <w:t>f</w:t>
            </w:r>
          </w:p>
        </w:tc>
        <w:tc>
          <w:tcPr>
            <w:tcW w:type="dxa" w:w="936"/>
            <w:vAlign w:val="center"/>
          </w:tcPr>
          <w:p>
            <w:pPr>
              <w:spacing w:lineRule="auto" w:line="276"/>
              <w:jc w:val="center"/>
            </w:pPr>
            <w:r>
              <w:rPr>
                <w:rFonts w:ascii="Times New Roman" w:hAnsi="Times New Roman" w:eastAsia="宋体"/>
                <w:b w:val="0"/>
                <w:sz w:val="18"/>
              </w:rPr>
              <w:t>-</w:t>
            </w:r>
          </w:p>
        </w:tc>
        <w:tc>
          <w:tcPr>
            <w:tcW w:type="dxa" w:w="1152"/>
            <w:vAlign w:val="center"/>
          </w:tcPr>
          <w:p>
            <w:pPr>
              <w:spacing w:lineRule="auto" w:line="276"/>
              <w:jc w:val="center"/>
            </w:pPr>
            <w:r>
              <w:rPr>
                <w:rFonts w:ascii="Times New Roman" w:hAnsi="Times New Roman" w:eastAsia="宋体"/>
                <w:b w:val="0"/>
                <w:sz w:val="18"/>
              </w:rPr>
              <w:t>0.60</w:t>
            </w:r>
          </w:p>
        </w:tc>
        <w:tc>
          <w:tcPr>
            <w:tcW w:type="dxa" w:w="3816"/>
            <w:vAlign w:val="center"/>
          </w:tcPr>
          <w:p>
            <w:pPr>
              <w:spacing w:lineRule="auto" w:line="276"/>
              <w:jc w:val="center"/>
            </w:pPr>
            <w:r>
              <w:rPr>
                <w:rFonts w:ascii="Times New Roman" w:hAnsi="Times New Roman" w:eastAsia="宋体"/>
                <w:b w:val="0"/>
                <w:sz w:val="18"/>
              </w:rPr>
              <w:t>混凝土底面与块石基床</w:t>
            </w:r>
          </w:p>
        </w:tc>
      </w:tr>
      <w:tr>
        <w:tc>
          <w:tcPr>
            <w:tcW w:type="dxa" w:w="1800"/>
            <w:vAlign w:val="center"/>
          </w:tcPr>
          <w:p>
            <w:pPr>
              <w:spacing w:lineRule="auto" w:line="276"/>
              <w:jc w:val="center"/>
            </w:pPr>
            <w:r>
              <w:rPr>
                <w:rFonts w:ascii="Times New Roman" w:hAnsi="Times New Roman" w:eastAsia="宋体"/>
                <w:b w:val="0"/>
                <w:sz w:val="18"/>
              </w:rPr>
              <w:t>基床容许承载力</w:t>
            </w:r>
          </w:p>
        </w:tc>
        <w:tc>
          <w:tcPr>
            <w:tcW w:type="dxa" w:w="936"/>
            <w:vAlign w:val="center"/>
          </w:tcPr>
          <w:p>
            <w:pPr>
              <w:spacing w:lineRule="auto" w:line="276"/>
              <w:jc w:val="center"/>
            </w:pPr>
            <w:r>
              <w:rPr>
                <w:rFonts w:ascii="Times New Roman" w:hAnsi="Times New Roman" w:eastAsia="宋体"/>
                <w:b w:val="0"/>
                <w:sz w:val="18"/>
              </w:rPr>
              <w:t>fa</w:t>
            </w:r>
          </w:p>
        </w:tc>
        <w:tc>
          <w:tcPr>
            <w:tcW w:type="dxa" w:w="936"/>
            <w:vAlign w:val="center"/>
          </w:tcPr>
          <w:p>
            <w:pPr>
              <w:spacing w:lineRule="auto" w:line="276"/>
              <w:jc w:val="center"/>
            </w:pPr>
            <w:r>
              <w:rPr>
                <w:rFonts w:ascii="Times New Roman" w:hAnsi="Times New Roman" w:eastAsia="宋体"/>
                <w:b w:val="0"/>
                <w:sz w:val="18"/>
              </w:rPr>
              <w:t>kPa</w:t>
            </w:r>
          </w:p>
        </w:tc>
        <w:tc>
          <w:tcPr>
            <w:tcW w:type="dxa" w:w="1152"/>
            <w:vAlign w:val="center"/>
          </w:tcPr>
          <w:p>
            <w:pPr>
              <w:spacing w:lineRule="auto" w:line="276"/>
              <w:jc w:val="center"/>
            </w:pPr>
            <w:r>
              <w:rPr>
                <w:rFonts w:ascii="Times New Roman" w:hAnsi="Times New Roman" w:eastAsia="宋体"/>
                <w:b w:val="0"/>
                <w:sz w:val="18"/>
              </w:rPr>
              <w:t>550</w:t>
            </w:r>
          </w:p>
        </w:tc>
        <w:tc>
          <w:tcPr>
            <w:tcW w:type="dxa" w:w="3816"/>
            <w:vAlign w:val="center"/>
          </w:tcPr>
          <w:p>
            <w:pPr>
              <w:spacing w:lineRule="auto" w:line="276"/>
              <w:jc w:val="center"/>
            </w:pPr>
            <w:r>
              <w:rPr>
                <w:rFonts w:ascii="Times New Roman" w:hAnsi="Times New Roman" w:eastAsia="宋体"/>
                <w:b w:val="0"/>
                <w:sz w:val="18"/>
              </w:rPr>
              <w:t>初步设计取值</w:t>
            </w:r>
          </w:p>
        </w:tc>
      </w:tr>
      <w:tr>
        <w:tc>
          <w:tcPr>
            <w:tcW w:type="dxa" w:w="1800"/>
            <w:vAlign w:val="center"/>
          </w:tcPr>
          <w:p>
            <w:pPr>
              <w:spacing w:lineRule="auto" w:line="276"/>
              <w:jc w:val="center"/>
            </w:pPr>
            <w:r>
              <w:rPr>
                <w:rFonts w:ascii="Times New Roman" w:hAnsi="Times New Roman" w:eastAsia="宋体"/>
                <w:b w:val="0"/>
                <w:sz w:val="18"/>
              </w:rPr>
              <w:t>系船柱设计拉力</w:t>
            </w:r>
          </w:p>
        </w:tc>
        <w:tc>
          <w:tcPr>
            <w:tcW w:type="dxa" w:w="936"/>
            <w:vAlign w:val="center"/>
          </w:tcPr>
          <w:p>
            <w:pPr>
              <w:spacing w:lineRule="auto" w:line="276"/>
              <w:jc w:val="center"/>
            </w:pPr>
            <w:r>
              <w:rPr>
                <w:rFonts w:ascii="Times New Roman" w:hAnsi="Times New Roman" w:eastAsia="宋体"/>
                <w:b w:val="0"/>
                <w:sz w:val="18"/>
              </w:rPr>
              <w:t>P</w:t>
            </w:r>
          </w:p>
        </w:tc>
        <w:tc>
          <w:tcPr>
            <w:tcW w:type="dxa" w:w="936"/>
            <w:vAlign w:val="center"/>
          </w:tcPr>
          <w:p>
            <w:pPr>
              <w:spacing w:lineRule="auto" w:line="276"/>
              <w:jc w:val="center"/>
            </w:pPr>
            <w:r>
              <w:rPr>
                <w:rFonts w:ascii="Times New Roman" w:hAnsi="Times New Roman" w:eastAsia="宋体"/>
                <w:b w:val="0"/>
                <w:sz w:val="18"/>
              </w:rPr>
              <w:t>kN</w:t>
            </w:r>
          </w:p>
        </w:tc>
        <w:tc>
          <w:tcPr>
            <w:tcW w:type="dxa" w:w="1152"/>
            <w:vAlign w:val="center"/>
          </w:tcPr>
          <w:p>
            <w:pPr>
              <w:spacing w:lineRule="auto" w:line="276"/>
              <w:jc w:val="center"/>
            </w:pPr>
            <w:r>
              <w:rPr>
                <w:rFonts w:ascii="Times New Roman" w:hAnsi="Times New Roman" w:eastAsia="宋体"/>
                <w:b w:val="0"/>
                <w:sz w:val="18"/>
              </w:rPr>
              <w:t>1500</w:t>
            </w:r>
          </w:p>
        </w:tc>
        <w:tc>
          <w:tcPr>
            <w:tcW w:type="dxa" w:w="3816"/>
            <w:vAlign w:val="center"/>
          </w:tcPr>
          <w:p>
            <w:pPr>
              <w:spacing w:lineRule="auto" w:line="276"/>
              <w:jc w:val="center"/>
            </w:pPr>
            <w:r>
              <w:rPr>
                <w:rFonts w:ascii="Times New Roman" w:hAnsi="Times New Roman" w:eastAsia="宋体"/>
                <w:b w:val="0"/>
                <w:sz w:val="18"/>
              </w:rPr>
              <w:t>1500kN系船柱</w:t>
            </w:r>
          </w:p>
        </w:tc>
      </w:tr>
    </w:tbl>
    <w:p/>
    <w:p>
      <w:pPr>
        <w:spacing w:lineRule="auto" w:line="360" w:before="0" w:after="0"/>
        <w:ind w:firstLine="480"/>
      </w:pPr>
      <w:r>
        <w:rPr>
          <w:rFonts w:ascii="Times New Roman" w:hAnsi="Times New Roman" w:eastAsia="宋体"/>
          <w:sz w:val="24"/>
        </w:rPr>
        <w:t>控制工况按运营低水位、运营高水位、极端低水位、施工沉放和回填完成五类理解。运营低水位时墙后有效土压力高度较大，是整体抗滑和抗倾覆的主要控制工况；运营高水位时胸墙和码头面防汛要求更突出；施工沉放阶段结构尚未形成完整稳定体系，需要控制浮运稳性、坐床偏差和临时固定；回填完成阶段竖向力迅速增大，应检查基床压应力和分层回填顺序。</w:t>
      </w:r>
    </w:p>
    <w:p>
      <w:pPr>
        <w:keepNext/>
        <w:spacing w:lineRule="auto" w:line="300" w:before="0" w:after="120"/>
        <w:jc w:val="center"/>
      </w:pPr>
      <w:r>
        <w:rPr>
          <w:rFonts w:ascii="Times New Roman" w:hAnsi="Times New Roman" w:eastAsia="宋体"/>
          <w:b w:val="0"/>
          <w:sz w:val="20"/>
        </w:rPr>
        <w:t>表7-2 稳定计算工况组合</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656"/>
        <w:gridCol w:w="2088"/>
        <w:gridCol w:w="2952"/>
        <w:gridCol w:w="2952"/>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工况</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水位条件</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主要荷载</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验算重点</w:t>
            </w:r>
          </w:p>
        </w:tc>
      </w:tr>
      <w:tr>
        <w:tc>
          <w:tcPr>
            <w:tcW w:type="dxa" w:w="1656"/>
            <w:vAlign w:val="center"/>
          </w:tcPr>
          <w:p>
            <w:pPr>
              <w:spacing w:lineRule="auto" w:line="276"/>
              <w:jc w:val="center"/>
            </w:pPr>
            <w:r>
              <w:rPr>
                <w:rFonts w:ascii="Times New Roman" w:hAnsi="Times New Roman" w:eastAsia="宋体"/>
                <w:b w:val="0"/>
                <w:sz w:val="18"/>
              </w:rPr>
              <w:t>运营低水位</w:t>
            </w:r>
          </w:p>
        </w:tc>
        <w:tc>
          <w:tcPr>
            <w:tcW w:type="dxa" w:w="2088"/>
            <w:vAlign w:val="center"/>
          </w:tcPr>
          <w:p>
            <w:pPr>
              <w:spacing w:lineRule="auto" w:line="276"/>
              <w:jc w:val="center"/>
            </w:pPr>
            <w:r>
              <w:rPr>
                <w:rFonts w:ascii="Times New Roman" w:hAnsi="Times New Roman" w:eastAsia="宋体"/>
                <w:b w:val="0"/>
                <w:sz w:val="18"/>
              </w:rPr>
              <w:t>设计低水位1.56m</w:t>
            </w:r>
          </w:p>
        </w:tc>
        <w:tc>
          <w:tcPr>
            <w:tcW w:type="dxa" w:w="2952"/>
            <w:vAlign w:val="center"/>
          </w:tcPr>
          <w:p>
            <w:pPr>
              <w:spacing w:lineRule="auto" w:line="276"/>
              <w:jc w:val="center"/>
            </w:pPr>
            <w:r>
              <w:rPr>
                <w:rFonts w:ascii="Times New Roman" w:hAnsi="Times New Roman" w:eastAsia="宋体"/>
                <w:b w:val="0"/>
                <w:sz w:val="18"/>
              </w:rPr>
              <w:t>自重、土压力、堆载、系缆力</w:t>
            </w:r>
          </w:p>
        </w:tc>
        <w:tc>
          <w:tcPr>
            <w:tcW w:type="dxa" w:w="2952"/>
            <w:vAlign w:val="center"/>
          </w:tcPr>
          <w:p>
            <w:pPr>
              <w:spacing w:lineRule="auto" w:line="276"/>
              <w:jc w:val="center"/>
            </w:pPr>
            <w:r>
              <w:rPr>
                <w:rFonts w:ascii="Times New Roman" w:hAnsi="Times New Roman" w:eastAsia="宋体"/>
                <w:b w:val="0"/>
                <w:sz w:val="18"/>
              </w:rPr>
              <w:t>抗滑、抗倾覆、基床应力</w:t>
            </w:r>
          </w:p>
        </w:tc>
      </w:tr>
      <w:tr>
        <w:tc>
          <w:tcPr>
            <w:tcW w:type="dxa" w:w="1656"/>
            <w:vAlign w:val="center"/>
          </w:tcPr>
          <w:p>
            <w:pPr>
              <w:spacing w:lineRule="auto" w:line="276"/>
              <w:jc w:val="center"/>
            </w:pPr>
            <w:r>
              <w:rPr>
                <w:rFonts w:ascii="Times New Roman" w:hAnsi="Times New Roman" w:eastAsia="宋体"/>
                <w:b w:val="0"/>
                <w:sz w:val="18"/>
              </w:rPr>
              <w:t>运营高水位</w:t>
            </w:r>
          </w:p>
        </w:tc>
        <w:tc>
          <w:tcPr>
            <w:tcW w:type="dxa" w:w="2088"/>
            <w:vAlign w:val="center"/>
          </w:tcPr>
          <w:p>
            <w:pPr>
              <w:spacing w:lineRule="auto" w:line="276"/>
              <w:jc w:val="center"/>
            </w:pPr>
            <w:r>
              <w:rPr>
                <w:rFonts w:ascii="Times New Roman" w:hAnsi="Times New Roman" w:eastAsia="宋体"/>
                <w:b w:val="0"/>
                <w:sz w:val="18"/>
              </w:rPr>
              <w:t>设计高水位4.27m</w:t>
            </w:r>
          </w:p>
        </w:tc>
        <w:tc>
          <w:tcPr>
            <w:tcW w:type="dxa" w:w="2952"/>
            <w:vAlign w:val="center"/>
          </w:tcPr>
          <w:p>
            <w:pPr>
              <w:spacing w:lineRule="auto" w:line="276"/>
              <w:jc w:val="center"/>
            </w:pPr>
            <w:r>
              <w:rPr>
                <w:rFonts w:ascii="Times New Roman" w:hAnsi="Times New Roman" w:eastAsia="宋体"/>
                <w:b w:val="0"/>
                <w:sz w:val="18"/>
              </w:rPr>
              <w:t>自重、土压力、堆载、系缆力</w:t>
            </w:r>
          </w:p>
        </w:tc>
        <w:tc>
          <w:tcPr>
            <w:tcW w:type="dxa" w:w="2952"/>
            <w:vAlign w:val="center"/>
          </w:tcPr>
          <w:p>
            <w:pPr>
              <w:spacing w:lineRule="auto" w:line="276"/>
              <w:jc w:val="center"/>
            </w:pPr>
            <w:r>
              <w:rPr>
                <w:rFonts w:ascii="Times New Roman" w:hAnsi="Times New Roman" w:eastAsia="宋体"/>
                <w:b w:val="0"/>
                <w:sz w:val="18"/>
              </w:rPr>
              <w:t>胸墙高程、码头面排水</w:t>
            </w:r>
          </w:p>
        </w:tc>
      </w:tr>
      <w:tr>
        <w:tc>
          <w:tcPr>
            <w:tcW w:type="dxa" w:w="1656"/>
            <w:vAlign w:val="center"/>
          </w:tcPr>
          <w:p>
            <w:pPr>
              <w:spacing w:lineRule="auto" w:line="276"/>
              <w:jc w:val="center"/>
            </w:pPr>
            <w:r>
              <w:rPr>
                <w:rFonts w:ascii="Times New Roman" w:hAnsi="Times New Roman" w:eastAsia="宋体"/>
                <w:b w:val="0"/>
                <w:sz w:val="18"/>
              </w:rPr>
              <w:t>极端低水位</w:t>
            </w:r>
          </w:p>
        </w:tc>
        <w:tc>
          <w:tcPr>
            <w:tcW w:type="dxa" w:w="2088"/>
            <w:vAlign w:val="center"/>
          </w:tcPr>
          <w:p>
            <w:pPr>
              <w:spacing w:lineRule="auto" w:line="276"/>
              <w:jc w:val="center"/>
            </w:pPr>
            <w:r>
              <w:rPr>
                <w:rFonts w:ascii="Times New Roman" w:hAnsi="Times New Roman" w:eastAsia="宋体"/>
                <w:b w:val="0"/>
                <w:sz w:val="18"/>
              </w:rPr>
              <w:t>极端低水位0.13m</w:t>
            </w:r>
          </w:p>
        </w:tc>
        <w:tc>
          <w:tcPr>
            <w:tcW w:type="dxa" w:w="2952"/>
            <w:vAlign w:val="center"/>
          </w:tcPr>
          <w:p>
            <w:pPr>
              <w:spacing w:lineRule="auto" w:line="276"/>
              <w:jc w:val="center"/>
            </w:pPr>
            <w:r>
              <w:rPr>
                <w:rFonts w:ascii="Times New Roman" w:hAnsi="Times New Roman" w:eastAsia="宋体"/>
                <w:b w:val="0"/>
                <w:sz w:val="18"/>
              </w:rPr>
              <w:t>自重、较大有效土压力、堆载</w:t>
            </w:r>
          </w:p>
        </w:tc>
        <w:tc>
          <w:tcPr>
            <w:tcW w:type="dxa" w:w="2952"/>
            <w:vAlign w:val="center"/>
          </w:tcPr>
          <w:p>
            <w:pPr>
              <w:spacing w:lineRule="auto" w:line="276"/>
              <w:jc w:val="center"/>
            </w:pPr>
            <w:r>
              <w:rPr>
                <w:rFonts w:ascii="Times New Roman" w:hAnsi="Times New Roman" w:eastAsia="宋体"/>
                <w:b w:val="0"/>
                <w:sz w:val="18"/>
              </w:rPr>
              <w:t>稳定安全储备复核</w:t>
            </w:r>
          </w:p>
        </w:tc>
      </w:tr>
      <w:tr>
        <w:tc>
          <w:tcPr>
            <w:tcW w:type="dxa" w:w="1656"/>
            <w:vAlign w:val="center"/>
          </w:tcPr>
          <w:p>
            <w:pPr>
              <w:spacing w:lineRule="auto" w:line="276"/>
              <w:jc w:val="center"/>
            </w:pPr>
            <w:r>
              <w:rPr>
                <w:rFonts w:ascii="Times New Roman" w:hAnsi="Times New Roman" w:eastAsia="宋体"/>
                <w:b w:val="0"/>
                <w:sz w:val="18"/>
              </w:rPr>
              <w:t>施工沉放</w:t>
            </w:r>
          </w:p>
        </w:tc>
        <w:tc>
          <w:tcPr>
            <w:tcW w:type="dxa" w:w="2088"/>
            <w:vAlign w:val="center"/>
          </w:tcPr>
          <w:p>
            <w:pPr>
              <w:spacing w:lineRule="auto" w:line="276"/>
              <w:jc w:val="center"/>
            </w:pPr>
            <w:r>
              <w:rPr>
                <w:rFonts w:ascii="Times New Roman" w:hAnsi="Times New Roman" w:eastAsia="宋体"/>
                <w:b w:val="0"/>
                <w:sz w:val="18"/>
              </w:rPr>
              <w:t>施工水位约2.54m</w:t>
            </w:r>
          </w:p>
        </w:tc>
        <w:tc>
          <w:tcPr>
            <w:tcW w:type="dxa" w:w="2952"/>
            <w:vAlign w:val="center"/>
          </w:tcPr>
          <w:p>
            <w:pPr>
              <w:spacing w:lineRule="auto" w:line="276"/>
              <w:jc w:val="center"/>
            </w:pPr>
            <w:r>
              <w:rPr>
                <w:rFonts w:ascii="Times New Roman" w:hAnsi="Times New Roman" w:eastAsia="宋体"/>
                <w:b w:val="0"/>
                <w:sz w:val="18"/>
              </w:rPr>
              <w:t>沉箱或圆筒自重、浮力、定位约束</w:t>
            </w:r>
          </w:p>
        </w:tc>
        <w:tc>
          <w:tcPr>
            <w:tcW w:type="dxa" w:w="2952"/>
            <w:vAlign w:val="center"/>
          </w:tcPr>
          <w:p>
            <w:pPr>
              <w:spacing w:lineRule="auto" w:line="276"/>
              <w:jc w:val="center"/>
            </w:pPr>
            <w:r>
              <w:rPr>
                <w:rFonts w:ascii="Times New Roman" w:hAnsi="Times New Roman" w:eastAsia="宋体"/>
                <w:b w:val="0"/>
                <w:sz w:val="18"/>
              </w:rPr>
              <w:t>坐床精度、临时稳定</w:t>
            </w:r>
          </w:p>
        </w:tc>
      </w:tr>
      <w:tr>
        <w:tc>
          <w:tcPr>
            <w:tcW w:type="dxa" w:w="1656"/>
            <w:vAlign w:val="center"/>
          </w:tcPr>
          <w:p>
            <w:pPr>
              <w:spacing w:lineRule="auto" w:line="276"/>
              <w:jc w:val="center"/>
            </w:pPr>
            <w:r>
              <w:rPr>
                <w:rFonts w:ascii="Times New Roman" w:hAnsi="Times New Roman" w:eastAsia="宋体"/>
                <w:b w:val="0"/>
                <w:sz w:val="18"/>
              </w:rPr>
              <w:t>回填完成</w:t>
            </w:r>
          </w:p>
        </w:tc>
        <w:tc>
          <w:tcPr>
            <w:tcW w:type="dxa" w:w="2088"/>
            <w:vAlign w:val="center"/>
          </w:tcPr>
          <w:p>
            <w:pPr>
              <w:spacing w:lineRule="auto" w:line="276"/>
              <w:jc w:val="center"/>
            </w:pPr>
            <w:r>
              <w:rPr>
                <w:rFonts w:ascii="Times New Roman" w:hAnsi="Times New Roman" w:eastAsia="宋体"/>
                <w:b w:val="0"/>
                <w:sz w:val="18"/>
              </w:rPr>
              <w:t>设计水位范围</w:t>
            </w:r>
          </w:p>
        </w:tc>
        <w:tc>
          <w:tcPr>
            <w:tcW w:type="dxa" w:w="2952"/>
            <w:vAlign w:val="center"/>
          </w:tcPr>
          <w:p>
            <w:pPr>
              <w:spacing w:lineRule="auto" w:line="276"/>
              <w:jc w:val="center"/>
            </w:pPr>
            <w:r>
              <w:rPr>
                <w:rFonts w:ascii="Times New Roman" w:hAnsi="Times New Roman" w:eastAsia="宋体"/>
                <w:b w:val="0"/>
                <w:sz w:val="18"/>
              </w:rPr>
              <w:t>结构自重、填料重、施工堆载</w:t>
            </w:r>
          </w:p>
        </w:tc>
        <w:tc>
          <w:tcPr>
            <w:tcW w:type="dxa" w:w="2952"/>
            <w:vAlign w:val="center"/>
          </w:tcPr>
          <w:p>
            <w:pPr>
              <w:spacing w:lineRule="auto" w:line="276"/>
              <w:jc w:val="center"/>
            </w:pPr>
            <w:r>
              <w:rPr>
                <w:rFonts w:ascii="Times New Roman" w:hAnsi="Times New Roman" w:eastAsia="宋体"/>
                <w:b w:val="0"/>
                <w:sz w:val="18"/>
              </w:rPr>
              <w:t>基床应力、差异沉降</w:t>
            </w:r>
          </w:p>
        </w:tc>
      </w:tr>
    </w:tbl>
    <w:p/>
    <w:p>
      <w:pPr>
        <w:spacing w:lineRule="auto" w:line="360" w:before="0" w:after="0"/>
        <w:ind w:firstLine="480"/>
      </w:pPr>
      <w:r>
        <w:rPr>
          <w:rFonts w:ascii="Times New Roman" w:hAnsi="Times New Roman" w:eastAsia="宋体"/>
          <w:sz w:val="24"/>
        </w:rPr>
        <w:t>本章计算中，结构自重、填料重和胸墙重按图纸尺寸估算；土压力按主动土压力理论计算；堆载附加土压力按墙后均布荷载折算；系缆力按单个系船柱不利作用折算至计算段。由于本工程位于有掩护港池，波浪作用在初步设计中不作为整体稳定控制荷载，施工图阶段仍应结合实测波浪和靠泊能量进行护舷、胸墙和局部构件复核。</w:t>
      </w:r>
    </w:p>
    <w:p>
      <w:pPr>
        <w:spacing w:lineRule="auto" w:line="360" w:before="0" w:after="0"/>
        <w:ind w:firstLine="480"/>
      </w:pPr>
      <w:r>
        <w:rPr>
          <w:rFonts w:ascii="Times New Roman" w:hAnsi="Times New Roman" w:eastAsia="宋体"/>
          <w:sz w:val="24"/>
        </w:rPr>
        <w:t>参数取值的逻辑如下：墙后填料按开山土石考虑，取重度18.5kN/m³；水下有效重度按10.0kN/m³进行稳定估算；主动土压力系数按内摩擦角约30°的常用值取0.33；堆场均布荷载取70kPa，覆盖集装箱堆存、场桥轮压分布和短时作业堆载的综合影响。上述参数偏向保守，可保证初步设计阶段计算结果具有一定安全余量。</w:t>
      </w:r>
    </w:p>
    <w:p>
      <w:pPr>
        <w:spacing w:lineRule="auto" w:line="360" w:before="0" w:after="0"/>
        <w:ind w:firstLine="480"/>
      </w:pPr>
      <w:r>
        <w:rPr>
          <w:rFonts w:ascii="Times New Roman" w:hAnsi="Times New Roman" w:eastAsia="宋体"/>
          <w:sz w:val="24"/>
        </w:rPr>
        <w:t>荷载组合中不把所有不利因素简单叠加到极限状态。运营低水位工况主要控制墙后有效土压力和基床偏心，高水位工况主要控制码头面高程和胸墙防浪防汛，施工工况主要控制构件未形成最终体系前的临时稳定。这样分工后，计算过程更接近工程实际，也便于发现每一阶段的主要风险。</w:t>
      </w:r>
    </w:p>
    <w:p>
      <w:pPr>
        <w:pStyle w:val="2"/>
        <w:jc w:val="left"/>
      </w:pPr>
      <w:r>
        <w:rPr>
          <w:rFonts w:ascii="Times New Roman" w:hAnsi="Times New Roman" w:eastAsia="宋体"/>
          <w:b/>
          <w:sz w:val="24"/>
        </w:rPr>
        <w:t xml:space="preserve"> 推荐沉箱方案稳定计算</w:t>
      </w:r>
    </w:p>
    <w:p>
      <w:pPr>
        <w:pStyle w:val="3"/>
        <w:jc w:val="left"/>
      </w:pPr>
      <w:r>
        <w:rPr>
          <w:rFonts w:ascii="Times New Roman" w:hAnsi="Times New Roman" w:eastAsia="宋体"/>
          <w:b/>
          <w:sz w:val="24"/>
        </w:rPr>
        <w:t xml:space="preserve"> 几何尺寸、材料与计算模型</w:t>
      </w:r>
    </w:p>
    <w:p>
      <w:pPr>
        <w:spacing w:lineRule="auto" w:line="360" w:before="0" w:after="0"/>
        <w:ind w:firstLine="480"/>
      </w:pPr>
      <w:r>
        <w:rPr>
          <w:rFonts w:ascii="Times New Roman" w:hAnsi="Times New Roman" w:eastAsia="宋体"/>
          <w:sz w:val="24"/>
        </w:rPr>
        <w:t>沉箱方案按每30m一座沉箱计算。单座沉箱外廓长度29.95m，宽度12.50m，高度13.50m，底面标高-10.00m，顶面标高+3.50m。箱内填料顶面与沉箱顶面一致，上部设置封顶混凝土、现浇胸墙和码头面结构。</w:t>
      </w:r>
    </w:p>
    <w:p>
      <w:pPr>
        <w:spacing w:lineRule="auto" w:line="360" w:before="0" w:after="0"/>
        <w:ind w:firstLine="480"/>
      </w:pPr>
      <w:r>
        <w:rPr>
          <w:rFonts w:ascii="Times New Roman" w:hAnsi="Times New Roman" w:eastAsia="宋体"/>
          <w:sz w:val="24"/>
        </w:rPr>
        <w:t>计算模型将沉箱、箱内回填、封顶混凝土、胸墙及附属设施视为共同参与稳定的重力体。墙后主动土压力和堆载附加土压力作用于结构后侧，系缆力作用于胸墙上部，基床反力作用于底板下。抗倾覆验算以前趾为转动中心，基床应力按偏心受压矩形基础计算。</w:t>
      </w:r>
    </w:p>
    <w:p>
      <w:pPr>
        <w:keepNext/>
        <w:spacing w:lineRule="auto" w:line="300" w:before="0" w:after="120"/>
        <w:jc w:val="center"/>
      </w:pPr>
      <w:r>
        <w:rPr>
          <w:rFonts w:ascii="Times New Roman" w:hAnsi="Times New Roman" w:eastAsia="宋体"/>
          <w:b w:val="0"/>
          <w:sz w:val="20"/>
        </w:rPr>
        <w:t>表7-3 沉箱方案几何与材料参数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232"/>
        <w:gridCol w:w="2664"/>
        <w:gridCol w:w="360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计算用途</w:t>
            </w:r>
          </w:p>
        </w:tc>
      </w:tr>
      <w:tr>
        <w:tc>
          <w:tcPr>
            <w:tcW w:type="dxa" w:w="2232"/>
            <w:vAlign w:val="center"/>
          </w:tcPr>
          <w:p>
            <w:pPr>
              <w:spacing w:lineRule="auto" w:line="276"/>
              <w:jc w:val="center"/>
            </w:pPr>
            <w:r>
              <w:rPr>
                <w:rFonts w:ascii="Times New Roman" w:hAnsi="Times New Roman" w:eastAsia="宋体"/>
                <w:b w:val="0"/>
                <w:sz w:val="18"/>
              </w:rPr>
              <w:t>结构段长度</w:t>
            </w:r>
          </w:p>
        </w:tc>
        <w:tc>
          <w:tcPr>
            <w:tcW w:type="dxa" w:w="2664"/>
            <w:vAlign w:val="center"/>
          </w:tcPr>
          <w:p>
            <w:pPr>
              <w:spacing w:lineRule="auto" w:line="276"/>
              <w:jc w:val="center"/>
            </w:pPr>
            <w:r>
              <w:rPr>
                <w:rFonts w:ascii="Times New Roman" w:hAnsi="Times New Roman" w:eastAsia="宋体"/>
                <w:b w:val="0"/>
                <w:sz w:val="18"/>
              </w:rPr>
              <w:t>30.0m</w:t>
            </w:r>
          </w:p>
        </w:tc>
        <w:tc>
          <w:tcPr>
            <w:tcW w:type="dxa" w:w="3600"/>
            <w:vAlign w:val="center"/>
          </w:tcPr>
          <w:p>
            <w:pPr>
              <w:spacing w:lineRule="auto" w:line="276"/>
              <w:jc w:val="center"/>
            </w:pPr>
            <w:r>
              <w:rPr>
                <w:rFonts w:ascii="Times New Roman" w:hAnsi="Times New Roman" w:eastAsia="宋体"/>
                <w:b w:val="0"/>
                <w:sz w:val="18"/>
              </w:rPr>
              <w:t>竖向力、土压力和工程量计算</w:t>
            </w:r>
          </w:p>
        </w:tc>
      </w:tr>
      <w:tr>
        <w:tc>
          <w:tcPr>
            <w:tcW w:type="dxa" w:w="2232"/>
            <w:vAlign w:val="center"/>
          </w:tcPr>
          <w:p>
            <w:pPr>
              <w:spacing w:lineRule="auto" w:line="276"/>
              <w:jc w:val="center"/>
            </w:pPr>
            <w:r>
              <w:rPr>
                <w:rFonts w:ascii="Times New Roman" w:hAnsi="Times New Roman" w:eastAsia="宋体"/>
                <w:b w:val="0"/>
                <w:sz w:val="18"/>
              </w:rPr>
              <w:t>沉箱外宽</w:t>
            </w:r>
          </w:p>
        </w:tc>
        <w:tc>
          <w:tcPr>
            <w:tcW w:type="dxa" w:w="2664"/>
            <w:vAlign w:val="center"/>
          </w:tcPr>
          <w:p>
            <w:pPr>
              <w:spacing w:lineRule="auto" w:line="276"/>
              <w:jc w:val="center"/>
            </w:pPr>
            <w:r>
              <w:rPr>
                <w:rFonts w:ascii="Times New Roman" w:hAnsi="Times New Roman" w:eastAsia="宋体"/>
                <w:b w:val="0"/>
                <w:sz w:val="18"/>
              </w:rPr>
              <w:t>12.50m</w:t>
            </w:r>
          </w:p>
        </w:tc>
        <w:tc>
          <w:tcPr>
            <w:tcW w:type="dxa" w:w="3600"/>
            <w:vAlign w:val="center"/>
          </w:tcPr>
          <w:p>
            <w:pPr>
              <w:spacing w:lineRule="auto" w:line="276"/>
              <w:jc w:val="center"/>
            </w:pPr>
            <w:r>
              <w:rPr>
                <w:rFonts w:ascii="Times New Roman" w:hAnsi="Times New Roman" w:eastAsia="宋体"/>
                <w:b w:val="0"/>
                <w:sz w:val="18"/>
              </w:rPr>
              <w:t>抗倾覆力臂和基底应力</w:t>
            </w:r>
          </w:p>
        </w:tc>
      </w:tr>
      <w:tr>
        <w:tc>
          <w:tcPr>
            <w:tcW w:type="dxa" w:w="2232"/>
            <w:vAlign w:val="center"/>
          </w:tcPr>
          <w:p>
            <w:pPr>
              <w:spacing w:lineRule="auto" w:line="276"/>
              <w:jc w:val="center"/>
            </w:pPr>
            <w:r>
              <w:rPr>
                <w:rFonts w:ascii="Times New Roman" w:hAnsi="Times New Roman" w:eastAsia="宋体"/>
                <w:b w:val="0"/>
                <w:sz w:val="18"/>
              </w:rPr>
              <w:t>沉箱高度</w:t>
            </w:r>
          </w:p>
        </w:tc>
        <w:tc>
          <w:tcPr>
            <w:tcW w:type="dxa" w:w="2664"/>
            <w:vAlign w:val="center"/>
          </w:tcPr>
          <w:p>
            <w:pPr>
              <w:spacing w:lineRule="auto" w:line="276"/>
              <w:jc w:val="center"/>
            </w:pPr>
            <w:r>
              <w:rPr>
                <w:rFonts w:ascii="Times New Roman" w:hAnsi="Times New Roman" w:eastAsia="宋体"/>
                <w:b w:val="0"/>
                <w:sz w:val="18"/>
              </w:rPr>
              <w:t>13.50m</w:t>
            </w:r>
          </w:p>
        </w:tc>
        <w:tc>
          <w:tcPr>
            <w:tcW w:type="dxa" w:w="3600"/>
            <w:vAlign w:val="center"/>
          </w:tcPr>
          <w:p>
            <w:pPr>
              <w:spacing w:lineRule="auto" w:line="276"/>
              <w:jc w:val="center"/>
            </w:pPr>
            <w:r>
              <w:rPr>
                <w:rFonts w:ascii="Times New Roman" w:hAnsi="Times New Roman" w:eastAsia="宋体"/>
                <w:b w:val="0"/>
                <w:sz w:val="18"/>
              </w:rPr>
              <w:t>墙身高度和填料高度</w:t>
            </w:r>
          </w:p>
        </w:tc>
      </w:tr>
      <w:tr>
        <w:tc>
          <w:tcPr>
            <w:tcW w:type="dxa" w:w="2232"/>
            <w:vAlign w:val="center"/>
          </w:tcPr>
          <w:p>
            <w:pPr>
              <w:spacing w:lineRule="auto" w:line="276"/>
              <w:jc w:val="center"/>
            </w:pPr>
            <w:r>
              <w:rPr>
                <w:rFonts w:ascii="Times New Roman" w:hAnsi="Times New Roman" w:eastAsia="宋体"/>
                <w:b w:val="0"/>
                <w:sz w:val="18"/>
              </w:rPr>
              <w:t>沉箱混凝土</w:t>
            </w:r>
          </w:p>
        </w:tc>
        <w:tc>
          <w:tcPr>
            <w:tcW w:type="dxa" w:w="2664"/>
            <w:vAlign w:val="center"/>
          </w:tcPr>
          <w:p>
            <w:pPr>
              <w:spacing w:lineRule="auto" w:line="276"/>
              <w:jc w:val="center"/>
            </w:pPr>
            <w:r>
              <w:rPr>
                <w:rFonts w:ascii="Times New Roman" w:hAnsi="Times New Roman" w:eastAsia="宋体"/>
                <w:b w:val="0"/>
                <w:sz w:val="18"/>
              </w:rPr>
              <w:t>C45，重度24.5kN/m³</w:t>
            </w:r>
          </w:p>
        </w:tc>
        <w:tc>
          <w:tcPr>
            <w:tcW w:type="dxa" w:w="3600"/>
            <w:vAlign w:val="center"/>
          </w:tcPr>
          <w:p>
            <w:pPr>
              <w:spacing w:lineRule="auto" w:line="276"/>
              <w:jc w:val="center"/>
            </w:pPr>
            <w:r>
              <w:rPr>
                <w:rFonts w:ascii="Times New Roman" w:hAnsi="Times New Roman" w:eastAsia="宋体"/>
                <w:b w:val="0"/>
                <w:sz w:val="18"/>
              </w:rPr>
              <w:t>墙身自重</w:t>
            </w:r>
          </w:p>
        </w:tc>
      </w:tr>
      <w:tr>
        <w:tc>
          <w:tcPr>
            <w:tcW w:type="dxa" w:w="2232"/>
            <w:vAlign w:val="center"/>
          </w:tcPr>
          <w:p>
            <w:pPr>
              <w:spacing w:lineRule="auto" w:line="276"/>
              <w:jc w:val="center"/>
            </w:pPr>
            <w:r>
              <w:rPr>
                <w:rFonts w:ascii="Times New Roman" w:hAnsi="Times New Roman" w:eastAsia="宋体"/>
                <w:b w:val="0"/>
                <w:sz w:val="18"/>
              </w:rPr>
              <w:t>箱内填料</w:t>
            </w:r>
          </w:p>
        </w:tc>
        <w:tc>
          <w:tcPr>
            <w:tcW w:type="dxa" w:w="2664"/>
            <w:vAlign w:val="center"/>
          </w:tcPr>
          <w:p>
            <w:pPr>
              <w:spacing w:lineRule="auto" w:line="276"/>
              <w:jc w:val="center"/>
            </w:pPr>
            <w:r>
              <w:rPr>
                <w:rFonts w:ascii="Times New Roman" w:hAnsi="Times New Roman" w:eastAsia="宋体"/>
                <w:b w:val="0"/>
                <w:sz w:val="18"/>
              </w:rPr>
              <w:t>开山土石，重度18.5kN/m³</w:t>
            </w:r>
          </w:p>
        </w:tc>
        <w:tc>
          <w:tcPr>
            <w:tcW w:type="dxa" w:w="3600"/>
            <w:vAlign w:val="center"/>
          </w:tcPr>
          <w:p>
            <w:pPr>
              <w:spacing w:lineRule="auto" w:line="276"/>
              <w:jc w:val="center"/>
            </w:pPr>
            <w:r>
              <w:rPr>
                <w:rFonts w:ascii="Times New Roman" w:hAnsi="Times New Roman" w:eastAsia="宋体"/>
                <w:b w:val="0"/>
                <w:sz w:val="18"/>
              </w:rPr>
              <w:t>稳定重量</w:t>
            </w:r>
          </w:p>
        </w:tc>
      </w:tr>
      <w:tr>
        <w:tc>
          <w:tcPr>
            <w:tcW w:type="dxa" w:w="2232"/>
            <w:vAlign w:val="center"/>
          </w:tcPr>
          <w:p>
            <w:pPr>
              <w:spacing w:lineRule="auto" w:line="276"/>
              <w:jc w:val="center"/>
            </w:pPr>
            <w:r>
              <w:rPr>
                <w:rFonts w:ascii="Times New Roman" w:hAnsi="Times New Roman" w:eastAsia="宋体"/>
                <w:b w:val="0"/>
                <w:sz w:val="18"/>
              </w:rPr>
              <w:t>胸墙混凝土</w:t>
            </w:r>
          </w:p>
        </w:tc>
        <w:tc>
          <w:tcPr>
            <w:tcW w:type="dxa" w:w="2664"/>
            <w:vAlign w:val="center"/>
          </w:tcPr>
          <w:p>
            <w:pPr>
              <w:spacing w:lineRule="auto" w:line="276"/>
              <w:jc w:val="center"/>
            </w:pPr>
            <w:r>
              <w:rPr>
                <w:rFonts w:ascii="Times New Roman" w:hAnsi="Times New Roman" w:eastAsia="宋体"/>
                <w:b w:val="0"/>
                <w:sz w:val="18"/>
              </w:rPr>
              <w:t>C40，重度24.5kN/m³</w:t>
            </w:r>
          </w:p>
        </w:tc>
        <w:tc>
          <w:tcPr>
            <w:tcW w:type="dxa" w:w="3600"/>
            <w:vAlign w:val="center"/>
          </w:tcPr>
          <w:p>
            <w:pPr>
              <w:spacing w:lineRule="auto" w:line="276"/>
              <w:jc w:val="center"/>
            </w:pPr>
            <w:r>
              <w:rPr>
                <w:rFonts w:ascii="Times New Roman" w:hAnsi="Times New Roman" w:eastAsia="宋体"/>
                <w:b w:val="0"/>
                <w:sz w:val="18"/>
              </w:rPr>
              <w:t>上部结构自重</w:t>
            </w:r>
          </w:p>
        </w:tc>
      </w:tr>
      <w:tr>
        <w:tc>
          <w:tcPr>
            <w:tcW w:type="dxa" w:w="2232"/>
            <w:vAlign w:val="center"/>
          </w:tcPr>
          <w:p>
            <w:pPr>
              <w:spacing w:lineRule="auto" w:line="276"/>
              <w:jc w:val="center"/>
            </w:pPr>
            <w:r>
              <w:rPr>
                <w:rFonts w:ascii="Times New Roman" w:hAnsi="Times New Roman" w:eastAsia="宋体"/>
                <w:b w:val="0"/>
                <w:sz w:val="18"/>
              </w:rPr>
              <w:t>基床材料</w:t>
            </w:r>
          </w:p>
        </w:tc>
        <w:tc>
          <w:tcPr>
            <w:tcW w:type="dxa" w:w="2664"/>
            <w:vAlign w:val="center"/>
          </w:tcPr>
          <w:p>
            <w:pPr>
              <w:spacing w:lineRule="auto" w:line="276"/>
              <w:jc w:val="center"/>
            </w:pPr>
            <w:r>
              <w:rPr>
                <w:rFonts w:ascii="Times New Roman" w:hAnsi="Times New Roman" w:eastAsia="宋体"/>
                <w:b w:val="0"/>
                <w:sz w:val="18"/>
              </w:rPr>
              <w:t>10~100kg块石</w:t>
            </w:r>
          </w:p>
        </w:tc>
        <w:tc>
          <w:tcPr>
            <w:tcW w:type="dxa" w:w="3600"/>
            <w:vAlign w:val="center"/>
          </w:tcPr>
          <w:p>
            <w:pPr>
              <w:spacing w:lineRule="auto" w:line="276"/>
              <w:jc w:val="center"/>
            </w:pPr>
            <w:r>
              <w:rPr>
                <w:rFonts w:ascii="Times New Roman" w:hAnsi="Times New Roman" w:eastAsia="宋体"/>
                <w:b w:val="0"/>
                <w:sz w:val="18"/>
              </w:rPr>
              <w:t>坐床与摩擦抗滑</w:t>
            </w:r>
          </w:p>
        </w:tc>
      </w:tr>
    </w:tbl>
    <w:p/>
    <w:p>
      <w:pPr>
        <w:pStyle w:val="3"/>
        <w:jc w:val="left"/>
      </w:pPr>
      <w:r>
        <w:rPr>
          <w:rFonts w:ascii="Times New Roman" w:hAnsi="Times New Roman" w:eastAsia="宋体"/>
          <w:b/>
          <w:sz w:val="24"/>
        </w:rPr>
        <w:t xml:space="preserve"> 自重与竖向合力计算</w:t>
      </w:r>
    </w:p>
    <w:p>
      <w:pPr>
        <w:spacing w:lineRule="auto" w:line="360" w:before="0" w:after="0"/>
        <w:ind w:firstLine="480"/>
      </w:pPr>
      <w:r>
        <w:rPr>
          <w:rFonts w:ascii="Times New Roman" w:hAnsi="Times New Roman" w:eastAsia="宋体"/>
          <w:sz w:val="24"/>
        </w:rPr>
        <w:t>沉箱竖向力由四部分组成：沉箱混凝土自重、箱内回填重、胸墙及面层重、护舷和系船柱等附属设施折算重。沉箱混凝土体积按外墙、内隔墙和底板合并估算，本阶段取1450m³/座；箱内回填体积按舱格净容积估算，取2660m³/座；胸墙及面层体积取210m³/段。</w:t>
      </w:r>
    </w:p>
    <w:p>
      <w:pPr>
        <w:tabs>
          <w:tab w:pos="4100" w:val="center"/>
          <w:tab w:pos="8200" w:val="right"/>
        </w:tabs>
        <w:spacing w:lineRule="auto" w:line="360" w:before="0" w:after="0"/>
        <w:jc w:val="left"/>
      </w:pPr>
      <w:r>
        <w:tab/>
      </w:r>
      <m:oMath>
        <m:sSub>
          <m:e>
            <m:r>
              <m:t>G</m:t>
            </m:r>
          </m:e>
          <m:sub>
            <m:r>
              <m:t>c</m:t>
            </m:r>
          </m:sub>
        </m:sSub>
        <m:r>
          <m:rPr>
            <m:sty m:val="p"/>
          </m:rPr>
          <m:t>=</m:t>
        </m:r>
        <m:sSub>
          <m:e>
            <m:r>
              <m:t>γ</m:t>
            </m:r>
          </m:e>
          <m:sub>
            <m:r>
              <m:t>c</m:t>
            </m:r>
          </m:sub>
        </m:sSub>
        <m:sSub>
          <m:e>
            <m:r>
              <m:t>V</m:t>
            </m:r>
          </m:e>
          <m:sub>
            <m:r>
              <m:t>c</m:t>
            </m:r>
          </m:sub>
        </m:sSub>
        <m:r>
          <m:rPr>
            <m:sty m:val="p"/>
          </m:rPr>
          <m:t>=</m:t>
        </m:r>
        <m:r>
          <m:t>24.5</m:t>
        </m:r>
        <m:r>
          <m:rPr>
            <m:sty m:val="p"/>
          </m:rPr>
          <m:t>×</m:t>
        </m:r>
        <m:r>
          <m:t>1450</m:t>
        </m:r>
        <m:r>
          <m:rPr>
            <m:sty m:val="p"/>
          </m:rPr>
          <m:t>=</m:t>
        </m:r>
        <m:r>
          <m:t>35525</m:t>
        </m:r>
        <m:r>
          <m:t> </m:t>
        </m:r>
        <m:r>
          <m:t>k</m:t>
        </m:r>
        <m:r>
          <m:t>N</m:t>
        </m:r>
      </m:oMath>
      <w:r>
        <w:rPr>
          <w:rFonts w:ascii="Times New Roman" w:hAnsi="Times New Roman" w:eastAsia="宋体"/>
          <w:sz w:val="24"/>
        </w:rPr>
        <w:tab/>
        <w:t>（7.1）</w:t>
      </w:r>
    </w:p>
    <w:p>
      <w:pPr>
        <w:tabs>
          <w:tab w:pos="4100" w:val="center"/>
          <w:tab w:pos="8200" w:val="right"/>
        </w:tabs>
        <w:spacing w:lineRule="auto" w:line="360" w:before="0" w:after="0"/>
        <w:jc w:val="left"/>
      </w:pPr>
      <w:r>
        <w:tab/>
      </w:r>
      <m:oMath>
        <m:sSub>
          <m:e>
            <m:r>
              <m:t>G</m:t>
            </m:r>
          </m:e>
          <m:sub>
            <m:r>
              <m:t>f</m:t>
            </m:r>
          </m:sub>
        </m:sSub>
        <m:r>
          <m:rPr>
            <m:sty m:val="p"/>
          </m:rPr>
          <m:t>=</m:t>
        </m:r>
        <m:sSub>
          <m:e>
            <m:r>
              <m:t>γ</m:t>
            </m:r>
          </m:e>
          <m:sub>
            <m:r>
              <m:t>f</m:t>
            </m:r>
          </m:sub>
        </m:sSub>
        <m:sSub>
          <m:e>
            <m:r>
              <m:t>V</m:t>
            </m:r>
          </m:e>
          <m:sub>
            <m:r>
              <m:t>f</m:t>
            </m:r>
          </m:sub>
        </m:sSub>
        <m:r>
          <m:rPr>
            <m:sty m:val="p"/>
          </m:rPr>
          <m:t>=</m:t>
        </m:r>
        <m:r>
          <m:t>18.5</m:t>
        </m:r>
        <m:r>
          <m:rPr>
            <m:sty m:val="p"/>
          </m:rPr>
          <m:t>×</m:t>
        </m:r>
        <m:r>
          <m:t>2660</m:t>
        </m:r>
        <m:r>
          <m:rPr>
            <m:sty m:val="p"/>
          </m:rPr>
          <m:t>=</m:t>
        </m:r>
        <m:r>
          <m:t>49210</m:t>
        </m:r>
        <m:r>
          <m:t> </m:t>
        </m:r>
        <m:r>
          <m:t>k</m:t>
        </m:r>
        <m:r>
          <m:t>N</m:t>
        </m:r>
      </m:oMath>
      <w:r>
        <w:rPr>
          <w:rFonts w:ascii="Times New Roman" w:hAnsi="Times New Roman" w:eastAsia="宋体"/>
          <w:sz w:val="24"/>
        </w:rPr>
        <w:tab/>
        <w:t>（7.2）</w:t>
      </w:r>
    </w:p>
    <w:p>
      <w:pPr>
        <w:tabs>
          <w:tab w:pos="4100" w:val="center"/>
          <w:tab w:pos="8200" w:val="right"/>
        </w:tabs>
        <w:spacing w:lineRule="auto" w:line="360" w:before="0" w:after="0"/>
        <w:jc w:val="left"/>
      </w:pPr>
      <w:r>
        <w:tab/>
      </w:r>
      <m:oMath>
        <m:sSub>
          <m:e>
            <m:r>
              <m:t>G</m:t>
            </m:r>
          </m:e>
          <m:sub>
            <m:r>
              <m:t>t</m:t>
            </m:r>
          </m:sub>
        </m:sSub>
        <m:r>
          <m:rPr>
            <m:sty m:val="p"/>
          </m:rPr>
          <m:t>=</m:t>
        </m:r>
        <m:sSub>
          <m:e>
            <m:r>
              <m:t>γ</m:t>
            </m:r>
          </m:e>
          <m:sub>
            <m:r>
              <m:t>c</m:t>
            </m:r>
          </m:sub>
        </m:sSub>
        <m:sSub>
          <m:e>
            <m:r>
              <m:t>V</m:t>
            </m:r>
          </m:e>
          <m:sub>
            <m:r>
              <m:t>t</m:t>
            </m:r>
          </m:sub>
        </m:sSub>
        <m:r>
          <m:rPr>
            <m:sty m:val="p"/>
          </m:rPr>
          <m:t>=</m:t>
        </m:r>
        <m:r>
          <m:t>24.5</m:t>
        </m:r>
        <m:r>
          <m:rPr>
            <m:sty m:val="p"/>
          </m:rPr>
          <m:t>×</m:t>
        </m:r>
        <m:r>
          <m:t>210</m:t>
        </m:r>
        <m:r>
          <m:rPr>
            <m:sty m:val="p"/>
          </m:rPr>
          <m:t>=</m:t>
        </m:r>
        <m:r>
          <m:t>5145</m:t>
        </m:r>
        <m:r>
          <m:t> </m:t>
        </m:r>
        <m:r>
          <m:t>k</m:t>
        </m:r>
        <m:r>
          <m:t>N</m:t>
        </m:r>
      </m:oMath>
      <w:r>
        <w:rPr>
          <w:rFonts w:ascii="Times New Roman" w:hAnsi="Times New Roman" w:eastAsia="宋体"/>
          <w:sz w:val="24"/>
        </w:rPr>
        <w:tab/>
        <w:t>（7.3）</w:t>
      </w:r>
    </w:p>
    <w:p>
      <w:pPr>
        <w:tabs>
          <w:tab w:pos="4100" w:val="center"/>
          <w:tab w:pos="8200" w:val="right"/>
        </w:tabs>
        <w:spacing w:lineRule="auto" w:line="360" w:before="0" w:after="0"/>
        <w:jc w:val="left"/>
      </w:pPr>
      <w:r>
        <w:tab/>
      </w:r>
      <m:oMath>
        <m:r>
          <m:t>G</m:t>
        </m:r>
        <m:r>
          <m:rPr>
            <m:sty m:val="p"/>
          </m:rPr>
          <m:t>=</m:t>
        </m:r>
        <m:sSub>
          <m:e>
            <m:r>
              <m:t>G</m:t>
            </m:r>
          </m:e>
          <m:sub>
            <m:r>
              <m:t>c</m:t>
            </m:r>
          </m:sub>
        </m:sSub>
        <m:r>
          <m:rPr>
            <m:sty m:val="p"/>
          </m:rPr>
          <m:t>+</m:t>
        </m:r>
        <m:sSub>
          <m:e>
            <m:r>
              <m:t>G</m:t>
            </m:r>
          </m:e>
          <m:sub>
            <m:r>
              <m:t>f</m:t>
            </m:r>
          </m:sub>
        </m:sSub>
        <m:r>
          <m:rPr>
            <m:sty m:val="p"/>
          </m:rPr>
          <m:t>+</m:t>
        </m:r>
        <m:sSub>
          <m:e>
            <m:r>
              <m:t>G</m:t>
            </m:r>
          </m:e>
          <m:sub>
            <m:r>
              <m:t>t</m:t>
            </m:r>
          </m:sub>
        </m:sSub>
        <m:r>
          <m:rPr>
            <m:sty m:val="p"/>
          </m:rPr>
          <m:t>+</m:t>
        </m:r>
        <m:sSub>
          <m:e>
            <m:r>
              <m:t>G</m:t>
            </m:r>
          </m:e>
          <m:sub>
            <m:r>
              <m:t>a</m:t>
            </m:r>
          </m:sub>
        </m:sSub>
        <m:r>
          <m:rPr>
            <m:sty m:val="p"/>
          </m:rPr>
          <m:t>=</m:t>
        </m:r>
        <m:r>
          <m:t>90380</m:t>
        </m:r>
        <m:r>
          <m:t> </m:t>
        </m:r>
        <m:r>
          <m:t>k</m:t>
        </m:r>
        <m:r>
          <m:t>N</m:t>
        </m:r>
      </m:oMath>
      <w:r>
        <w:rPr>
          <w:rFonts w:ascii="Times New Roman" w:hAnsi="Times New Roman" w:eastAsia="宋体"/>
          <w:sz w:val="24"/>
        </w:rPr>
        <w:tab/>
        <w:t>（7.4）</w:t>
      </w:r>
    </w:p>
    <w:p>
      <w:pPr>
        <w:keepNext/>
        <w:spacing w:lineRule="auto" w:line="300" w:before="0" w:after="120"/>
        <w:jc w:val="center"/>
      </w:pPr>
      <w:r>
        <w:rPr>
          <w:rFonts w:ascii="Times New Roman" w:hAnsi="Times New Roman" w:eastAsia="宋体"/>
          <w:b w:val="0"/>
          <w:sz w:val="20"/>
        </w:rPr>
        <w:t>表7-4 沉箱方案每段竖向力估算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088"/>
        <w:gridCol w:w="2520"/>
        <w:gridCol w:w="1440"/>
        <w:gridCol w:w="2592"/>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计算式或取值</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结果/kN</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088"/>
            <w:vAlign w:val="center"/>
          </w:tcPr>
          <w:p>
            <w:pPr>
              <w:spacing w:lineRule="auto" w:line="276"/>
              <w:jc w:val="center"/>
            </w:pPr>
            <w:r>
              <w:rPr>
                <w:rFonts w:ascii="Times New Roman" w:hAnsi="Times New Roman" w:eastAsia="宋体"/>
                <w:b w:val="0"/>
                <w:sz w:val="18"/>
              </w:rPr>
              <w:t>沉箱混凝土自重</w:t>
            </w:r>
          </w:p>
        </w:tc>
        <w:tc>
          <w:tcPr>
            <w:tcW w:type="dxa" w:w="2520"/>
            <w:vAlign w:val="center"/>
          </w:tcPr>
          <w:p>
            <w:pPr>
              <w:spacing w:lineRule="auto" w:line="276"/>
              <w:jc w:val="center"/>
            </w:pPr>
            <w:r>
              <w:rPr>
                <w:rFonts w:ascii="Times New Roman" w:hAnsi="Times New Roman" w:eastAsia="宋体"/>
                <w:b w:val="0"/>
                <w:sz w:val="18"/>
              </w:rPr>
              <w:t>24.5×1450</w:t>
            </w:r>
          </w:p>
        </w:tc>
        <w:tc>
          <w:tcPr>
            <w:tcW w:type="dxa" w:w="1440"/>
            <w:vAlign w:val="center"/>
          </w:tcPr>
          <w:p>
            <w:pPr>
              <w:spacing w:lineRule="auto" w:line="276"/>
              <w:jc w:val="center"/>
            </w:pPr>
            <w:r>
              <w:rPr>
                <w:rFonts w:ascii="Times New Roman" w:hAnsi="Times New Roman" w:eastAsia="宋体"/>
                <w:b w:val="0"/>
                <w:sz w:val="18"/>
              </w:rPr>
              <w:t>35525</w:t>
            </w:r>
          </w:p>
        </w:tc>
        <w:tc>
          <w:tcPr>
            <w:tcW w:type="dxa" w:w="2592"/>
            <w:vAlign w:val="center"/>
          </w:tcPr>
          <w:p>
            <w:pPr>
              <w:spacing w:lineRule="auto" w:line="276"/>
              <w:jc w:val="center"/>
            </w:pPr>
            <w:r>
              <w:rPr>
                <w:rFonts w:ascii="Times New Roman" w:hAnsi="Times New Roman" w:eastAsia="宋体"/>
                <w:b w:val="0"/>
                <w:sz w:val="18"/>
              </w:rPr>
              <w:t>C45预制钢筋混凝土</w:t>
            </w:r>
          </w:p>
        </w:tc>
      </w:tr>
      <w:tr>
        <w:tc>
          <w:tcPr>
            <w:tcW w:type="dxa" w:w="2088"/>
            <w:vAlign w:val="center"/>
          </w:tcPr>
          <w:p>
            <w:pPr>
              <w:spacing w:lineRule="auto" w:line="276"/>
              <w:jc w:val="center"/>
            </w:pPr>
            <w:r>
              <w:rPr>
                <w:rFonts w:ascii="Times New Roman" w:hAnsi="Times New Roman" w:eastAsia="宋体"/>
                <w:b w:val="0"/>
                <w:sz w:val="18"/>
              </w:rPr>
              <w:t>箱内回填重</w:t>
            </w:r>
          </w:p>
        </w:tc>
        <w:tc>
          <w:tcPr>
            <w:tcW w:type="dxa" w:w="2520"/>
            <w:vAlign w:val="center"/>
          </w:tcPr>
          <w:p>
            <w:pPr>
              <w:spacing w:lineRule="auto" w:line="276"/>
              <w:jc w:val="center"/>
            </w:pPr>
            <w:r>
              <w:rPr>
                <w:rFonts w:ascii="Times New Roman" w:hAnsi="Times New Roman" w:eastAsia="宋体"/>
                <w:b w:val="0"/>
                <w:sz w:val="18"/>
              </w:rPr>
              <w:t>18.5×2660</w:t>
            </w:r>
          </w:p>
        </w:tc>
        <w:tc>
          <w:tcPr>
            <w:tcW w:type="dxa" w:w="1440"/>
            <w:vAlign w:val="center"/>
          </w:tcPr>
          <w:p>
            <w:pPr>
              <w:spacing w:lineRule="auto" w:line="276"/>
              <w:jc w:val="center"/>
            </w:pPr>
            <w:r>
              <w:rPr>
                <w:rFonts w:ascii="Times New Roman" w:hAnsi="Times New Roman" w:eastAsia="宋体"/>
                <w:b w:val="0"/>
                <w:sz w:val="18"/>
              </w:rPr>
              <w:t>49210</w:t>
            </w:r>
          </w:p>
        </w:tc>
        <w:tc>
          <w:tcPr>
            <w:tcW w:type="dxa" w:w="2592"/>
            <w:vAlign w:val="center"/>
          </w:tcPr>
          <w:p>
            <w:pPr>
              <w:spacing w:lineRule="auto" w:line="276"/>
              <w:jc w:val="center"/>
            </w:pPr>
            <w:r>
              <w:rPr>
                <w:rFonts w:ascii="Times New Roman" w:hAnsi="Times New Roman" w:eastAsia="宋体"/>
                <w:b w:val="0"/>
                <w:sz w:val="18"/>
              </w:rPr>
              <w:t>开山土石分舱回填</w:t>
            </w:r>
          </w:p>
        </w:tc>
      </w:tr>
      <w:tr>
        <w:tc>
          <w:tcPr>
            <w:tcW w:type="dxa" w:w="2088"/>
            <w:vAlign w:val="center"/>
          </w:tcPr>
          <w:p>
            <w:pPr>
              <w:spacing w:lineRule="auto" w:line="276"/>
              <w:jc w:val="center"/>
            </w:pPr>
            <w:r>
              <w:rPr>
                <w:rFonts w:ascii="Times New Roman" w:hAnsi="Times New Roman" w:eastAsia="宋体"/>
                <w:b w:val="0"/>
                <w:sz w:val="18"/>
              </w:rPr>
              <w:t>胸墙及面层重</w:t>
            </w:r>
          </w:p>
        </w:tc>
        <w:tc>
          <w:tcPr>
            <w:tcW w:type="dxa" w:w="2520"/>
            <w:vAlign w:val="center"/>
          </w:tcPr>
          <w:p>
            <w:pPr>
              <w:spacing w:lineRule="auto" w:line="276"/>
              <w:jc w:val="center"/>
            </w:pPr>
            <w:r>
              <w:rPr>
                <w:rFonts w:ascii="Times New Roman" w:hAnsi="Times New Roman" w:eastAsia="宋体"/>
                <w:b w:val="0"/>
                <w:sz w:val="18"/>
              </w:rPr>
              <w:t>24.5×210</w:t>
            </w:r>
          </w:p>
        </w:tc>
        <w:tc>
          <w:tcPr>
            <w:tcW w:type="dxa" w:w="1440"/>
            <w:vAlign w:val="center"/>
          </w:tcPr>
          <w:p>
            <w:pPr>
              <w:spacing w:lineRule="auto" w:line="276"/>
              <w:jc w:val="center"/>
            </w:pPr>
            <w:r>
              <w:rPr>
                <w:rFonts w:ascii="Times New Roman" w:hAnsi="Times New Roman" w:eastAsia="宋体"/>
                <w:b w:val="0"/>
                <w:sz w:val="18"/>
              </w:rPr>
              <w:t>5145</w:t>
            </w:r>
          </w:p>
        </w:tc>
        <w:tc>
          <w:tcPr>
            <w:tcW w:type="dxa" w:w="2592"/>
            <w:vAlign w:val="center"/>
          </w:tcPr>
          <w:p>
            <w:pPr>
              <w:spacing w:lineRule="auto" w:line="276"/>
              <w:jc w:val="center"/>
            </w:pPr>
            <w:r>
              <w:rPr>
                <w:rFonts w:ascii="Times New Roman" w:hAnsi="Times New Roman" w:eastAsia="宋体"/>
                <w:b w:val="0"/>
                <w:sz w:val="18"/>
              </w:rPr>
              <w:t>现浇胸墙、封顶和面层</w:t>
            </w:r>
          </w:p>
        </w:tc>
      </w:tr>
      <w:tr>
        <w:tc>
          <w:tcPr>
            <w:tcW w:type="dxa" w:w="2088"/>
            <w:vAlign w:val="center"/>
          </w:tcPr>
          <w:p>
            <w:pPr>
              <w:spacing w:lineRule="auto" w:line="276"/>
              <w:jc w:val="center"/>
            </w:pPr>
            <w:r>
              <w:rPr>
                <w:rFonts w:ascii="Times New Roman" w:hAnsi="Times New Roman" w:eastAsia="宋体"/>
                <w:b w:val="0"/>
                <w:sz w:val="18"/>
              </w:rPr>
              <w:t>附属设施折算</w:t>
            </w:r>
          </w:p>
        </w:tc>
        <w:tc>
          <w:tcPr>
            <w:tcW w:type="dxa" w:w="2520"/>
            <w:vAlign w:val="center"/>
          </w:tcPr>
          <w:p>
            <w:pPr>
              <w:spacing w:lineRule="auto" w:line="276"/>
              <w:jc w:val="center"/>
            </w:pPr>
            <w:r>
              <w:rPr>
                <w:rFonts w:ascii="Times New Roman" w:hAnsi="Times New Roman" w:eastAsia="宋体"/>
                <w:b w:val="0"/>
                <w:sz w:val="18"/>
              </w:rPr>
              <w:t>取500</w:t>
            </w:r>
          </w:p>
        </w:tc>
        <w:tc>
          <w:tcPr>
            <w:tcW w:type="dxa" w:w="1440"/>
            <w:vAlign w:val="center"/>
          </w:tcPr>
          <w:p>
            <w:pPr>
              <w:spacing w:lineRule="auto" w:line="276"/>
              <w:jc w:val="center"/>
            </w:pPr>
            <w:r>
              <w:rPr>
                <w:rFonts w:ascii="Times New Roman" w:hAnsi="Times New Roman" w:eastAsia="宋体"/>
                <w:b w:val="0"/>
                <w:sz w:val="18"/>
              </w:rPr>
              <w:t>500</w:t>
            </w:r>
          </w:p>
        </w:tc>
        <w:tc>
          <w:tcPr>
            <w:tcW w:type="dxa" w:w="2592"/>
            <w:vAlign w:val="center"/>
          </w:tcPr>
          <w:p>
            <w:pPr>
              <w:spacing w:lineRule="auto" w:line="276"/>
              <w:jc w:val="center"/>
            </w:pPr>
            <w:r>
              <w:rPr>
                <w:rFonts w:ascii="Times New Roman" w:hAnsi="Times New Roman" w:eastAsia="宋体"/>
                <w:b w:val="0"/>
                <w:sz w:val="18"/>
              </w:rPr>
              <w:t>护舷、系船柱、电缆沟等</w:t>
            </w:r>
          </w:p>
        </w:tc>
      </w:tr>
      <w:tr>
        <w:tc>
          <w:tcPr>
            <w:tcW w:type="dxa" w:w="2088"/>
            <w:vAlign w:val="center"/>
          </w:tcPr>
          <w:p>
            <w:pPr>
              <w:spacing w:lineRule="auto" w:line="276"/>
              <w:jc w:val="center"/>
            </w:pPr>
            <w:r>
              <w:rPr>
                <w:rFonts w:ascii="Times New Roman" w:hAnsi="Times New Roman" w:eastAsia="宋体"/>
                <w:b w:val="0"/>
                <w:sz w:val="18"/>
              </w:rPr>
              <w:t>竖向合力</w:t>
            </w:r>
          </w:p>
        </w:tc>
        <w:tc>
          <w:tcPr>
            <w:tcW w:type="dxa" w:w="2520"/>
            <w:vAlign w:val="center"/>
          </w:tcPr>
          <w:p>
            <w:pPr>
              <w:spacing w:lineRule="auto" w:line="276"/>
              <w:jc w:val="center"/>
            </w:pPr>
            <w:r>
              <w:rPr>
                <w:rFonts w:ascii="Times New Roman" w:hAnsi="Times New Roman" w:eastAsia="宋体"/>
                <w:b w:val="0"/>
                <w:sz w:val="18"/>
              </w:rPr>
              <w:t>ΣGi</w:t>
            </w:r>
          </w:p>
        </w:tc>
        <w:tc>
          <w:tcPr>
            <w:tcW w:type="dxa" w:w="1440"/>
            <w:vAlign w:val="center"/>
          </w:tcPr>
          <w:p>
            <w:pPr>
              <w:spacing w:lineRule="auto" w:line="276"/>
              <w:jc w:val="center"/>
            </w:pPr>
            <w:r>
              <w:rPr>
                <w:rFonts w:ascii="Times New Roman" w:hAnsi="Times New Roman" w:eastAsia="宋体"/>
                <w:b w:val="0"/>
                <w:sz w:val="18"/>
              </w:rPr>
              <w:t>90380</w:t>
            </w:r>
          </w:p>
        </w:tc>
        <w:tc>
          <w:tcPr>
            <w:tcW w:type="dxa" w:w="2592"/>
            <w:vAlign w:val="center"/>
          </w:tcPr>
          <w:p>
            <w:pPr>
              <w:spacing w:lineRule="auto" w:line="276"/>
              <w:jc w:val="center"/>
            </w:pPr>
            <w:r>
              <w:rPr>
                <w:rFonts w:ascii="Times New Roman" w:hAnsi="Times New Roman" w:eastAsia="宋体"/>
                <w:b w:val="0"/>
                <w:sz w:val="18"/>
              </w:rPr>
              <w:t>每30m结构段</w:t>
            </w:r>
          </w:p>
        </w:tc>
      </w:tr>
    </w:tbl>
    <w:p/>
    <w:p>
      <w:pPr>
        <w:spacing w:lineRule="auto" w:line="360" w:before="0" w:after="0"/>
        <w:ind w:firstLine="480"/>
      </w:pPr>
      <w:r>
        <w:rPr>
          <w:rFonts w:ascii="Times New Roman" w:hAnsi="Times New Roman" w:eastAsia="宋体"/>
          <w:sz w:val="24"/>
        </w:rPr>
        <w:t>竖向力计算表明，箱内回填重约占总竖向力的一半以上，是沉箱方案形成稳定重量的主要来源；沉箱混凝土自重次之，能够提供较好的整体刚度。竖向力较大有利于抗滑和抗倾覆，但也要求基床具备足够承载力和均匀变形能力。</w:t>
      </w:r>
    </w:p>
    <w:p>
      <w:pPr>
        <w:spacing w:lineRule="auto" w:line="360" w:before="0" w:after="0"/>
        <w:ind w:firstLine="480"/>
      </w:pPr>
      <w:r>
        <w:rPr>
          <w:rFonts w:ascii="Times New Roman" w:hAnsi="Times New Roman" w:eastAsia="宋体"/>
          <w:sz w:val="24"/>
        </w:rPr>
        <w:t>若将竖向合力换算为单位岸线荷载，沉箱方案每延米约3013kN/m。该数值用于估算基床总压缩量和施工期基床整平质量要求。沉箱坐床前，基床顶面需经过粗平、细平和复测，局部高点应清除，局部低洼应补抛并重新整平。</w:t>
      </w:r>
    </w:p>
    <w:p>
      <w:pPr>
        <w:spacing w:lineRule="auto" w:line="360" w:before="0" w:after="0"/>
        <w:ind w:firstLine="480"/>
      </w:pPr>
      <w:r>
        <w:rPr>
          <w:rFonts w:ascii="Times New Roman" w:hAnsi="Times New Roman" w:eastAsia="宋体"/>
          <w:sz w:val="24"/>
        </w:rPr>
        <w:t>沉箱回填宜先填中间舱格，再对称填两侧舱格，逐步形成均衡竖向力。若先集中填筑后方舱格，会使墙身受到较大不平衡水平作用；若先集中填筑前方舱格，则可能影响沉箱姿态和前趾接触状态。因此施工组织应与稳定计算的受力假定保持一致。</w:t>
      </w:r>
    </w:p>
    <w:p>
      <w:pPr>
        <w:pStyle w:val="3"/>
        <w:jc w:val="left"/>
      </w:pPr>
      <w:r>
        <w:rPr>
          <w:rFonts w:ascii="Times New Roman" w:hAnsi="Times New Roman" w:eastAsia="宋体"/>
          <w:b/>
          <w:sz w:val="24"/>
        </w:rPr>
        <w:t xml:space="preserve"> 主动土压力、堆载与系缆力计算</w:t>
      </w:r>
    </w:p>
    <w:p>
      <w:pPr>
        <w:spacing w:lineRule="auto" w:line="360" w:before="0" w:after="0"/>
        <w:ind w:firstLine="480"/>
      </w:pPr>
      <w:r>
        <w:rPr>
          <w:rFonts w:ascii="Times New Roman" w:hAnsi="Times New Roman" w:eastAsia="宋体"/>
          <w:sz w:val="24"/>
        </w:rPr>
        <w:t>沉箱后方土压力按主动土压力计算。墙后回填高度按13.5m估算，水下有效重度取10.0kN/m³，主动土压力系数取0.33。堆载附加土压力按均布荷载70kPa折算，作用高度同墙后回填高度。</w:t>
      </w:r>
    </w:p>
    <w:p>
      <w:pPr>
        <w:tabs>
          <w:tab w:pos="4100" w:val="center"/>
          <w:tab w:pos="8200" w:val="right"/>
        </w:tabs>
        <w:spacing w:lineRule="auto" w:line="360" w:before="0" w:after="0"/>
        <w:jc w:val="left"/>
      </w:pPr>
      <w:r>
        <w:tab/>
      </w:r>
      <m:oMath>
        <m:sSub>
          <m:e>
            <m:r>
              <m:t>E</m:t>
            </m:r>
          </m:e>
          <m:sub>
            <m:r>
              <m:t>a</m:t>
            </m:r>
          </m:sub>
        </m:sSub>
        <m:r>
          <m:rPr>
            <m:sty m:val="p"/>
          </m:rPr>
          <m:t>=</m:t>
        </m:r>
        <m:f>
          <m:fPr>
            <m:type m:val="bar"/>
          </m:fPr>
          <m:num>
            <m:r>
              <m:t>1</m:t>
            </m:r>
          </m:num>
          <m:den>
            <m:r>
              <m:t>2</m:t>
            </m:r>
          </m:den>
        </m:f>
        <m:sSub>
          <m:e>
            <m:r>
              <m:t>K</m:t>
            </m:r>
          </m:e>
          <m:sub>
            <m:r>
              <m:t>a</m:t>
            </m:r>
          </m:sub>
        </m:sSub>
        <m:sSup>
          <m:e>
            <m:r>
              <m:t>γ</m:t>
            </m:r>
          </m:e>
          <m:sup>
            <m:r>
              <m:rPr>
                <m:sty m:val="p"/>
              </m:rPr>
              <m:t>′</m:t>
            </m:r>
          </m:sup>
        </m:sSup>
        <m:sSup>
          <m:e>
            <m:r>
              <m:t>H</m:t>
            </m:r>
          </m:e>
          <m:sup>
            <m:r>
              <m:t>2</m:t>
            </m:r>
          </m:sup>
        </m:sSup>
        <m:r>
          <m:t>l</m:t>
        </m:r>
        <m:r>
          <m:rPr>
            <m:sty m:val="p"/>
          </m:rPr>
          <m:t>=</m:t>
        </m:r>
        <m:r>
          <m:t>9025</m:t>
        </m:r>
        <m:r>
          <m:t> </m:t>
        </m:r>
        <m:r>
          <m:t>k</m:t>
        </m:r>
        <m:r>
          <m:t>N</m:t>
        </m:r>
      </m:oMath>
      <w:r>
        <w:rPr>
          <w:rFonts w:ascii="Times New Roman" w:hAnsi="Times New Roman" w:eastAsia="宋体"/>
          <w:sz w:val="24"/>
        </w:rPr>
        <w:tab/>
        <w:t>（7.5）</w:t>
      </w:r>
    </w:p>
    <w:p>
      <w:pPr>
        <w:tabs>
          <w:tab w:pos="4100" w:val="center"/>
          <w:tab w:pos="8200" w:val="right"/>
        </w:tabs>
        <w:spacing w:lineRule="auto" w:line="360" w:before="0" w:after="0"/>
        <w:jc w:val="left"/>
      </w:pPr>
      <w:r>
        <w:tab/>
      </w:r>
      <m:oMath>
        <m:sSub>
          <m:e>
            <m:r>
              <m:t>E</m:t>
            </m:r>
          </m:e>
          <m:sub>
            <m:r>
              <m:t>q</m:t>
            </m:r>
          </m:sub>
        </m:sSub>
        <m:r>
          <m:rPr>
            <m:sty m:val="p"/>
          </m:rPr>
          <m:t>=</m:t>
        </m:r>
        <m:sSub>
          <m:e>
            <m:r>
              <m:t>K</m:t>
            </m:r>
          </m:e>
          <m:sub>
            <m:r>
              <m:t>a</m:t>
            </m:r>
          </m:sub>
        </m:sSub>
        <m:r>
          <m:t>q</m:t>
        </m:r>
        <m:r>
          <m:t>H</m:t>
        </m:r>
        <m:r>
          <m:t>l</m:t>
        </m:r>
        <m:r>
          <m:rPr>
            <m:sty m:val="p"/>
          </m:rPr>
          <m:t>=</m:t>
        </m:r>
        <m:r>
          <m:t>9360</m:t>
        </m:r>
        <m:r>
          <m:t> </m:t>
        </m:r>
        <m:r>
          <m:t>k</m:t>
        </m:r>
        <m:r>
          <m:t>N</m:t>
        </m:r>
      </m:oMath>
      <w:r>
        <w:rPr>
          <w:rFonts w:ascii="Times New Roman" w:hAnsi="Times New Roman" w:eastAsia="宋体"/>
          <w:sz w:val="24"/>
        </w:rPr>
        <w:tab/>
        <w:t>（7.6）</w:t>
      </w:r>
    </w:p>
    <w:p>
      <w:pPr>
        <w:spacing w:lineRule="auto" w:line="360" w:before="0" w:after="0"/>
        <w:ind w:firstLine="480"/>
      </w:pPr>
      <w:r>
        <w:rPr>
          <w:rFonts w:ascii="Times New Roman" w:hAnsi="Times New Roman" w:eastAsia="宋体"/>
          <w:sz w:val="24"/>
        </w:rPr>
        <w:t>系缆力按1500kN系船柱考虑。由于系缆力不是全部沿结构不利水平方向作用，计算时按缆绳竖向夹角和水平夹角折算到墙后水平作用方向。按不利单缆水平分力估算，单段承担水平分力约266kN。</w:t>
      </w:r>
    </w:p>
    <w:p>
      <w:pPr>
        <w:tabs>
          <w:tab w:pos="4100" w:val="center"/>
          <w:tab w:pos="8200" w:val="right"/>
        </w:tabs>
        <w:spacing w:lineRule="auto" w:line="360" w:before="0" w:after="0"/>
        <w:jc w:val="left"/>
      </w:pPr>
      <w:r>
        <w:tab/>
      </w:r>
      <m:oMath>
        <m:sSub>
          <m:e>
            <m:r>
              <m:t>P</m:t>
            </m:r>
          </m:e>
          <m:sub>
            <m:r>
              <m:t>H</m:t>
            </m:r>
          </m:sub>
        </m:sSub>
        <m:r>
          <m:rPr>
            <m:sty m:val="p"/>
          </m:rPr>
          <m:t>=</m:t>
        </m:r>
        <m:r>
          <m:t>P</m:t>
        </m:r>
        <m:r>
          <m:rPr>
            <m:sty m:val="p"/>
          </m:rPr>
          <m:t>cos</m:t>
        </m:r>
        <m:r>
          <m:t>β</m:t>
        </m:r>
        <m:r>
          <m:rPr>
            <m:sty m:val="p"/>
          </m:rPr>
          <m:t>sin</m:t>
        </m:r>
        <m:r>
          <m:t>α</m:t>
        </m:r>
        <m:r>
          <m:rPr>
            <m:sty m:val="p"/>
          </m:rPr>
          <m:t>=</m:t>
        </m:r>
        <m:r>
          <m:t>266</m:t>
        </m:r>
        <m:r>
          <m:t> </m:t>
        </m:r>
        <m:r>
          <m:t>k</m:t>
        </m:r>
        <m:r>
          <m:t>N</m:t>
        </m:r>
      </m:oMath>
      <w:r>
        <w:rPr>
          <w:rFonts w:ascii="Times New Roman" w:hAnsi="Times New Roman" w:eastAsia="宋体"/>
          <w:sz w:val="24"/>
        </w:rPr>
        <w:tab/>
        <w:t>（7.7）</w:t>
      </w:r>
    </w:p>
    <w:p>
      <w:pPr>
        <w:keepNext/>
        <w:spacing w:lineRule="auto" w:line="300" w:before="0" w:after="120"/>
        <w:jc w:val="center"/>
      </w:pPr>
      <w:r>
        <w:rPr>
          <w:rFonts w:ascii="Times New Roman" w:hAnsi="Times New Roman" w:eastAsia="宋体"/>
          <w:b w:val="0"/>
          <w:sz w:val="20"/>
        </w:rPr>
        <w:t>表7-5 沉箱方案水平作用估算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160"/>
        <w:gridCol w:w="3240"/>
        <w:gridCol w:w="1368"/>
        <w:gridCol w:w="1296"/>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作用项目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计算取值</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结果/kN</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力臂/m</w:t>
            </w:r>
          </w:p>
        </w:tc>
      </w:tr>
      <w:tr>
        <w:tc>
          <w:tcPr>
            <w:tcW w:type="dxa" w:w="2160"/>
            <w:vAlign w:val="center"/>
          </w:tcPr>
          <w:p>
            <w:pPr>
              <w:spacing w:lineRule="auto" w:line="276"/>
              <w:jc w:val="center"/>
            </w:pPr>
            <w:r>
              <w:rPr>
                <w:rFonts w:ascii="Times New Roman" w:hAnsi="Times New Roman" w:eastAsia="宋体"/>
                <w:b w:val="0"/>
                <w:sz w:val="18"/>
              </w:rPr>
              <w:t>主动土压力Ea</w:t>
            </w:r>
          </w:p>
        </w:tc>
        <w:tc>
          <w:tcPr>
            <w:tcW w:type="dxa" w:w="3240"/>
            <w:vAlign w:val="center"/>
          </w:tcPr>
          <w:p>
            <w:pPr>
              <w:spacing w:lineRule="auto" w:line="276"/>
              <w:jc w:val="center"/>
            </w:pPr>
            <w:r>
              <w:rPr>
                <w:rFonts w:ascii="Times New Roman" w:hAnsi="Times New Roman" w:eastAsia="宋体"/>
                <w:b w:val="0"/>
                <w:sz w:val="18"/>
              </w:rPr>
              <w:t>0.5×0.33×10.0×13.5²×30</w:t>
            </w:r>
          </w:p>
        </w:tc>
        <w:tc>
          <w:tcPr>
            <w:tcW w:type="dxa" w:w="1368"/>
            <w:vAlign w:val="center"/>
          </w:tcPr>
          <w:p>
            <w:pPr>
              <w:spacing w:lineRule="auto" w:line="276"/>
              <w:jc w:val="center"/>
            </w:pPr>
            <w:r>
              <w:rPr>
                <w:rFonts w:ascii="Times New Roman" w:hAnsi="Times New Roman" w:eastAsia="宋体"/>
                <w:b w:val="0"/>
                <w:sz w:val="18"/>
              </w:rPr>
              <w:t>9025</w:t>
            </w:r>
          </w:p>
        </w:tc>
        <w:tc>
          <w:tcPr>
            <w:tcW w:type="dxa" w:w="1296"/>
            <w:vAlign w:val="center"/>
          </w:tcPr>
          <w:p>
            <w:pPr>
              <w:spacing w:lineRule="auto" w:line="276"/>
              <w:jc w:val="center"/>
            </w:pPr>
            <w:r>
              <w:rPr>
                <w:rFonts w:ascii="Times New Roman" w:hAnsi="Times New Roman" w:eastAsia="宋体"/>
                <w:b w:val="0"/>
                <w:sz w:val="18"/>
              </w:rPr>
              <w:t>4.50</w:t>
            </w:r>
          </w:p>
        </w:tc>
      </w:tr>
      <w:tr>
        <w:tc>
          <w:tcPr>
            <w:tcW w:type="dxa" w:w="2160"/>
            <w:vAlign w:val="center"/>
          </w:tcPr>
          <w:p>
            <w:pPr>
              <w:spacing w:lineRule="auto" w:line="276"/>
              <w:jc w:val="center"/>
            </w:pPr>
            <w:r>
              <w:rPr>
                <w:rFonts w:ascii="Times New Roman" w:hAnsi="Times New Roman" w:eastAsia="宋体"/>
                <w:b w:val="0"/>
                <w:sz w:val="18"/>
              </w:rPr>
              <w:t>堆载附加土压力Eq</w:t>
            </w:r>
          </w:p>
        </w:tc>
        <w:tc>
          <w:tcPr>
            <w:tcW w:type="dxa" w:w="3240"/>
            <w:vAlign w:val="center"/>
          </w:tcPr>
          <w:p>
            <w:pPr>
              <w:spacing w:lineRule="auto" w:line="276"/>
              <w:jc w:val="center"/>
            </w:pPr>
            <w:r>
              <w:rPr>
                <w:rFonts w:ascii="Times New Roman" w:hAnsi="Times New Roman" w:eastAsia="宋体"/>
                <w:b w:val="0"/>
                <w:sz w:val="18"/>
              </w:rPr>
              <w:t>0.33×70×13.5×30</w:t>
            </w:r>
          </w:p>
        </w:tc>
        <w:tc>
          <w:tcPr>
            <w:tcW w:type="dxa" w:w="1368"/>
            <w:vAlign w:val="center"/>
          </w:tcPr>
          <w:p>
            <w:pPr>
              <w:spacing w:lineRule="auto" w:line="276"/>
              <w:jc w:val="center"/>
            </w:pPr>
            <w:r>
              <w:rPr>
                <w:rFonts w:ascii="Times New Roman" w:hAnsi="Times New Roman" w:eastAsia="宋体"/>
                <w:b w:val="0"/>
                <w:sz w:val="18"/>
              </w:rPr>
              <w:t>9360</w:t>
            </w:r>
          </w:p>
        </w:tc>
        <w:tc>
          <w:tcPr>
            <w:tcW w:type="dxa" w:w="1296"/>
            <w:vAlign w:val="center"/>
          </w:tcPr>
          <w:p>
            <w:pPr>
              <w:spacing w:lineRule="auto" w:line="276"/>
              <w:jc w:val="center"/>
            </w:pPr>
            <w:r>
              <w:rPr>
                <w:rFonts w:ascii="Times New Roman" w:hAnsi="Times New Roman" w:eastAsia="宋体"/>
                <w:b w:val="0"/>
                <w:sz w:val="18"/>
              </w:rPr>
              <w:t>6.75</w:t>
            </w:r>
          </w:p>
        </w:tc>
      </w:tr>
      <w:tr>
        <w:tc>
          <w:tcPr>
            <w:tcW w:type="dxa" w:w="2160"/>
            <w:vAlign w:val="center"/>
          </w:tcPr>
          <w:p>
            <w:pPr>
              <w:spacing w:lineRule="auto" w:line="276"/>
              <w:jc w:val="center"/>
            </w:pPr>
            <w:r>
              <w:rPr>
                <w:rFonts w:ascii="Times New Roman" w:hAnsi="Times New Roman" w:eastAsia="宋体"/>
                <w:b w:val="0"/>
                <w:sz w:val="18"/>
              </w:rPr>
              <w:t>系缆力水平分力PH</w:t>
            </w:r>
          </w:p>
        </w:tc>
        <w:tc>
          <w:tcPr>
            <w:tcW w:type="dxa" w:w="3240"/>
            <w:vAlign w:val="center"/>
          </w:tcPr>
          <w:p>
            <w:pPr>
              <w:spacing w:lineRule="auto" w:line="276"/>
              <w:jc w:val="center"/>
            </w:pPr>
            <w:r>
              <w:rPr>
                <w:rFonts w:ascii="Times New Roman" w:hAnsi="Times New Roman" w:eastAsia="宋体"/>
                <w:b w:val="0"/>
                <w:sz w:val="18"/>
              </w:rPr>
              <w:t>1500折算至不利水平分力</w:t>
            </w:r>
          </w:p>
        </w:tc>
        <w:tc>
          <w:tcPr>
            <w:tcW w:type="dxa" w:w="1368"/>
            <w:vAlign w:val="center"/>
          </w:tcPr>
          <w:p>
            <w:pPr>
              <w:spacing w:lineRule="auto" w:line="276"/>
              <w:jc w:val="center"/>
            </w:pPr>
            <w:r>
              <w:rPr>
                <w:rFonts w:ascii="Times New Roman" w:hAnsi="Times New Roman" w:eastAsia="宋体"/>
                <w:b w:val="0"/>
                <w:sz w:val="18"/>
              </w:rPr>
              <w:t>266</w:t>
            </w:r>
          </w:p>
        </w:tc>
        <w:tc>
          <w:tcPr>
            <w:tcW w:type="dxa" w:w="1296"/>
            <w:vAlign w:val="center"/>
          </w:tcPr>
          <w:p>
            <w:pPr>
              <w:spacing w:lineRule="auto" w:line="276"/>
              <w:jc w:val="center"/>
            </w:pPr>
            <w:r>
              <w:rPr>
                <w:rFonts w:ascii="Times New Roman" w:hAnsi="Times New Roman" w:eastAsia="宋体"/>
                <w:b w:val="0"/>
                <w:sz w:val="18"/>
              </w:rPr>
              <w:t>9.50</w:t>
            </w:r>
          </w:p>
        </w:tc>
      </w:tr>
      <w:tr>
        <w:tc>
          <w:tcPr>
            <w:tcW w:type="dxa" w:w="2160"/>
            <w:vAlign w:val="center"/>
          </w:tcPr>
          <w:p>
            <w:pPr>
              <w:spacing w:lineRule="auto" w:line="276"/>
              <w:jc w:val="center"/>
            </w:pPr>
            <w:r>
              <w:rPr>
                <w:rFonts w:ascii="Times New Roman" w:hAnsi="Times New Roman" w:eastAsia="宋体"/>
                <w:b w:val="0"/>
                <w:sz w:val="18"/>
              </w:rPr>
              <w:t>水平合力H</w:t>
            </w:r>
          </w:p>
        </w:tc>
        <w:tc>
          <w:tcPr>
            <w:tcW w:type="dxa" w:w="3240"/>
            <w:vAlign w:val="center"/>
          </w:tcPr>
          <w:p>
            <w:pPr>
              <w:spacing w:lineRule="auto" w:line="276"/>
              <w:jc w:val="center"/>
            </w:pPr>
            <w:r>
              <w:rPr>
                <w:rFonts w:ascii="Times New Roman" w:hAnsi="Times New Roman" w:eastAsia="宋体"/>
                <w:b w:val="0"/>
                <w:sz w:val="18"/>
              </w:rPr>
              <w:t>Ea+Eq+PH</w:t>
            </w:r>
          </w:p>
        </w:tc>
        <w:tc>
          <w:tcPr>
            <w:tcW w:type="dxa" w:w="1368"/>
            <w:vAlign w:val="center"/>
          </w:tcPr>
          <w:p>
            <w:pPr>
              <w:spacing w:lineRule="auto" w:line="276"/>
              <w:jc w:val="center"/>
            </w:pPr>
            <w:r>
              <w:rPr>
                <w:rFonts w:ascii="Times New Roman" w:hAnsi="Times New Roman" w:eastAsia="宋体"/>
                <w:b w:val="0"/>
                <w:sz w:val="18"/>
              </w:rPr>
              <w:t>18651</w:t>
            </w:r>
          </w:p>
        </w:tc>
        <w:tc>
          <w:tcPr>
            <w:tcW w:type="dxa" w:w="1296"/>
            <w:vAlign w:val="center"/>
          </w:tcPr>
          <w:p>
            <w:pPr>
              <w:spacing w:lineRule="auto" w:line="276"/>
              <w:jc w:val="center"/>
            </w:pPr>
            <w:r>
              <w:rPr>
                <w:rFonts w:ascii="Times New Roman" w:hAnsi="Times New Roman" w:eastAsia="宋体"/>
                <w:b w:val="0"/>
                <w:sz w:val="18"/>
              </w:rPr>
              <w:t>-</w:t>
            </w:r>
          </w:p>
        </w:tc>
      </w:tr>
    </w:tbl>
    <w:p/>
    <w:p>
      <w:pPr>
        <w:spacing w:lineRule="auto" w:line="360" w:before="0" w:after="0"/>
        <w:ind w:firstLine="480"/>
      </w:pPr>
      <w:r>
        <w:rPr>
          <w:rFonts w:ascii="Times New Roman" w:hAnsi="Times New Roman" w:eastAsia="宋体"/>
          <w:sz w:val="24"/>
        </w:rPr>
        <w:t>水平作用中，堆载附加土压力和主动土压力占主要比例。系缆力数值小于土压力，但作用点较高，对倾覆力矩较敏感。实际工程中，若堆场临近岸壁堆载提高或后方填料内摩擦角降低，水平作用会明显增加，施工图阶段应按详勘参数和最终堆载复核。</w:t>
      </w:r>
    </w:p>
    <w:p>
      <w:pPr>
        <w:spacing w:lineRule="auto" w:line="360" w:before="0" w:after="0"/>
        <w:ind w:firstLine="480"/>
      </w:pPr>
      <w:r>
        <w:rPr>
          <w:rFonts w:ascii="Times New Roman" w:hAnsi="Times New Roman" w:eastAsia="宋体"/>
          <w:sz w:val="24"/>
        </w:rPr>
        <w:t>土压力计算采用三角形分布和矩形附加分布叠加。主动土压力合力作用点位于墙高约H/3处，堆载附加土压力合力作用点位于墙高约H/2处。由于堆载作用点更高，其对倾覆力矩的影响接近主动土压力，说明码头后方堆载管理是运营期稳定控制的重要内容。</w:t>
      </w:r>
    </w:p>
    <w:p>
      <w:pPr>
        <w:spacing w:lineRule="auto" w:line="360" w:before="0" w:after="0"/>
        <w:ind w:firstLine="480"/>
      </w:pPr>
      <w:r>
        <w:rPr>
          <w:rFonts w:ascii="Times New Roman" w:hAnsi="Times New Roman" w:eastAsia="宋体"/>
          <w:sz w:val="24"/>
        </w:rPr>
        <w:t>系缆力在总水平力中占比不高，但它反映船舶靠泊后的偶发不利状态。实际设计中还应结合缆绳布置、船舶吨级、风流条件和系船柱间距进行局部验算，特别是胸墙、系船柱基础和局部钢筋锚固不能只依据整体稳定结果简化处理。</w:t>
      </w:r>
    </w:p>
    <w:p>
      <w:pPr>
        <w:pStyle w:val="3"/>
        <w:jc w:val="left"/>
      </w:pPr>
      <w:r>
        <w:rPr>
          <w:rFonts w:ascii="Times New Roman" w:hAnsi="Times New Roman" w:eastAsia="宋体"/>
          <w:b/>
          <w:sz w:val="24"/>
        </w:rPr>
        <w:t xml:space="preserve"> 抗滑稳定验算</w:t>
      </w:r>
    </w:p>
    <w:p>
      <w:pPr>
        <w:spacing w:before="120" w:after="0"/>
        <w:jc w:val="center"/>
      </w:pPr>
      <w:r>
        <w:drawing>
          <wp:inline xmlns:a="http://schemas.openxmlformats.org/drawingml/2006/main" xmlns:pic="http://schemas.openxmlformats.org/drawingml/2006/picture">
            <wp:extent cx="5349240" cy="3566160"/>
            <wp:docPr id="11" name="Picture 11"/>
            <wp:cNvGraphicFramePr>
              <a:graphicFrameLocks noChangeAspect="1"/>
            </wp:cNvGraphicFramePr>
            <a:graphic>
              <a:graphicData uri="http://schemas.openxmlformats.org/drawingml/2006/picture">
                <pic:pic>
                  <pic:nvPicPr>
                    <pic:cNvPr id="0" name="fig7-1-caisson-loads-imagegen.png"/>
                    <pic:cNvPicPr/>
                  </pic:nvPicPr>
                  <pic:blipFill>
                    <a:blip r:embed="rId35"/>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图7-1 沉箱重力式码头主要作用与稳定验算示意</w:t>
      </w:r>
    </w:p>
    <w:p>
      <w:pPr>
        <w:spacing w:lineRule="auto" w:line="360" w:before="0" w:after="0"/>
        <w:ind w:firstLine="480"/>
      </w:pPr>
      <w:r>
        <w:rPr>
          <w:rFonts w:ascii="Times New Roman" w:hAnsi="Times New Roman" w:eastAsia="宋体"/>
          <w:sz w:val="24"/>
        </w:rPr>
        <w:t>抗滑稳定按基床顶面控制。抗滑力由竖向合力乘以摩擦系数得到，滑动力取墙后土压力、堆载附加土压力和系缆水平分力之和。该算法适合初步判断重力式墙身在水平荷载作用下是否具有足够摩擦阻力。</w:t>
      </w:r>
    </w:p>
    <w:p>
      <w:pPr>
        <w:tabs>
          <w:tab w:pos="4100" w:val="center"/>
          <w:tab w:pos="8200" w:val="right"/>
        </w:tabs>
        <w:spacing w:lineRule="auto" w:line="360" w:before="0" w:after="0"/>
        <w:jc w:val="left"/>
      </w:pPr>
      <w:r>
        <w:tab/>
      </w:r>
      <m:oMath>
        <m:r>
          <m:t>R</m:t>
        </m:r>
        <m:r>
          <m:rPr>
            <m:sty m:val="p"/>
          </m:rPr>
          <m:t>=</m:t>
        </m:r>
        <m:r>
          <m:t>f</m:t>
        </m:r>
        <m:r>
          <m:t>G</m:t>
        </m:r>
        <m:r>
          <m:rPr>
            <m:sty m:val="p"/>
          </m:rPr>
          <m:t>=</m:t>
        </m:r>
        <m:r>
          <m:t>0.60</m:t>
        </m:r>
        <m:r>
          <m:rPr>
            <m:sty m:val="p"/>
          </m:rPr>
          <m:t>×</m:t>
        </m:r>
        <m:r>
          <m:t>90380</m:t>
        </m:r>
        <m:r>
          <m:rPr>
            <m:sty m:val="p"/>
          </m:rPr>
          <m:t>=</m:t>
        </m:r>
        <m:r>
          <m:t>54228</m:t>
        </m:r>
        <m:r>
          <m:t> </m:t>
        </m:r>
        <m:r>
          <m:t>k</m:t>
        </m:r>
        <m:r>
          <m:t>N</m:t>
        </m:r>
      </m:oMath>
      <w:r>
        <w:rPr>
          <w:rFonts w:ascii="Times New Roman" w:hAnsi="Times New Roman" w:eastAsia="宋体"/>
          <w:sz w:val="24"/>
        </w:rPr>
        <w:tab/>
        <w:t>（7.8）</w:t>
      </w:r>
    </w:p>
    <w:p>
      <w:pPr>
        <w:tabs>
          <w:tab w:pos="4100" w:val="center"/>
          <w:tab w:pos="8200" w:val="right"/>
        </w:tabs>
        <w:spacing w:lineRule="auto" w:line="360" w:before="0" w:after="0"/>
        <w:jc w:val="left"/>
      </w:pPr>
      <w:r>
        <w:tab/>
      </w:r>
      <m:oMath>
        <m:sSub>
          <m:e>
            <m:r>
              <m:t>K</m:t>
            </m:r>
          </m:e>
          <m:sub>
            <m:r>
              <m:t>s</m:t>
            </m:r>
          </m:sub>
        </m:sSub>
        <m:r>
          <m:rPr>
            <m:sty m:val="p"/>
          </m:rPr>
          <m:t>=</m:t>
        </m:r>
        <m:r>
          <m:t>R</m:t>
        </m:r>
        <m:r>
          <m:rPr>
            <m:sty m:val="p"/>
          </m:rPr>
          <m:t>/</m:t>
        </m:r>
        <m:r>
          <m:t>H</m:t>
        </m:r>
        <m:r>
          <m:rPr>
            <m:sty m:val="p"/>
          </m:rPr>
          <m:t>=</m:t>
        </m:r>
        <m:r>
          <m:t>54228</m:t>
        </m:r>
        <m:r>
          <m:rPr>
            <m:sty m:val="p"/>
          </m:rPr>
          <m:t>/</m:t>
        </m:r>
        <m:r>
          <m:t>18651</m:t>
        </m:r>
        <m:r>
          <m:rPr>
            <m:sty m:val="p"/>
          </m:rPr>
          <m:t>=</m:t>
        </m:r>
        <m:r>
          <m:t>2.91</m:t>
        </m:r>
      </m:oMath>
      <w:r>
        <w:rPr>
          <w:rFonts w:ascii="Times New Roman" w:hAnsi="Times New Roman" w:eastAsia="宋体"/>
          <w:sz w:val="24"/>
        </w:rPr>
        <w:tab/>
        <w:t>（7.9）</w:t>
      </w:r>
    </w:p>
    <w:p>
      <w:pPr>
        <w:spacing w:lineRule="auto" w:line="360" w:before="0" w:after="0"/>
        <w:ind w:firstLine="480"/>
      </w:pPr>
      <w:r>
        <w:rPr>
          <w:rFonts w:ascii="Times New Roman" w:hAnsi="Times New Roman" w:eastAsia="宋体"/>
          <w:sz w:val="24"/>
        </w:rPr>
        <w:t>计算得到沉箱方案抗滑安全系数为2.91，大于初步设计常用控制值1.30，说明在取定堆载和土压力条件下，沉箱底面摩擦抗力具有较大安全储备。抗滑储备主要来源于箱内回填和沉箱自重，因此回填施工质量会直接影响整体稳定。</w:t>
      </w:r>
    </w:p>
    <w:p>
      <w:pPr>
        <w:pStyle w:val="3"/>
        <w:jc w:val="left"/>
      </w:pPr>
      <w:r>
        <w:rPr>
          <w:rFonts w:ascii="Times New Roman" w:hAnsi="Times New Roman" w:eastAsia="宋体"/>
          <w:b/>
          <w:sz w:val="24"/>
        </w:rPr>
        <w:t xml:space="preserve"> 抗倾覆稳定验算</w:t>
      </w:r>
    </w:p>
    <w:p>
      <w:pPr>
        <w:spacing w:lineRule="auto" w:line="360" w:before="0" w:after="0"/>
        <w:ind w:firstLine="480"/>
      </w:pPr>
      <w:r>
        <w:rPr>
          <w:rFonts w:ascii="Times New Roman" w:hAnsi="Times New Roman" w:eastAsia="宋体"/>
          <w:sz w:val="24"/>
        </w:rPr>
        <w:t>抗倾覆验算以前趾为转动中心。稳定力矩由结构自重、填料重和胸墙重对前趾的力臂形成，倾覆力矩由主动土压力、堆载附加土压力和系缆力对前趾的力臂形成。初步估算时，竖向合力合力点距前趾约6.55m。</w:t>
      </w:r>
    </w:p>
    <w:p>
      <w:pPr>
        <w:tabs>
          <w:tab w:pos="4100" w:val="center"/>
          <w:tab w:pos="8200" w:val="right"/>
        </w:tabs>
        <w:spacing w:lineRule="auto" w:line="360" w:before="0" w:after="0"/>
        <w:jc w:val="left"/>
      </w:pPr>
      <w:r>
        <w:tab/>
      </w:r>
      <m:oMath>
        <m:sSub>
          <m:e>
            <m:r>
              <m:t>M</m:t>
            </m:r>
          </m:e>
          <m:sub>
            <m:r>
              <m:t>R</m:t>
            </m:r>
          </m:sub>
        </m:sSub>
        <m:r>
          <m:rPr>
            <m:sty m:val="p"/>
          </m:rPr>
          <m:t>=</m:t>
        </m:r>
        <m:r>
          <m:rPr>
            <m:sty m:val="p"/>
          </m:rPr>
          <m:t>∑</m:t>
        </m:r>
        <m:sSub>
          <m:e>
            <m:r>
              <m:t>G</m:t>
            </m:r>
          </m:e>
          <m:sub>
            <m:r>
              <m:t>i</m:t>
            </m:r>
          </m:sub>
        </m:sSub>
        <m:sSub>
          <m:e>
            <m:r>
              <m:t>x</m:t>
            </m:r>
          </m:e>
          <m:sub>
            <m:r>
              <m:t>i</m:t>
            </m:r>
          </m:sub>
        </m:sSub>
        <m:r>
          <m:rPr>
            <m:sty m:val="p"/>
          </m:rPr>
          <m:t>≈</m:t>
        </m:r>
        <m:r>
          <m:t>592000</m:t>
        </m:r>
        <m:r>
          <m:t> </m:t>
        </m:r>
        <m:r>
          <m:t>k</m:t>
        </m:r>
        <m:r>
          <m:t>N</m:t>
        </m:r>
        <m:r>
          <m:rPr>
            <m:sty m:val="p"/>
          </m:rPr>
          <m:t>⋅</m:t>
        </m:r>
        <m:r>
          <m:t>m</m:t>
        </m:r>
      </m:oMath>
      <w:r>
        <w:rPr>
          <w:rFonts w:ascii="Times New Roman" w:hAnsi="Times New Roman" w:eastAsia="宋体"/>
          <w:sz w:val="24"/>
        </w:rPr>
        <w:tab/>
        <w:t>（7.10）</w:t>
      </w:r>
    </w:p>
    <w:p>
      <w:pPr>
        <w:tabs>
          <w:tab w:pos="4100" w:val="center"/>
          <w:tab w:pos="8200" w:val="right"/>
        </w:tabs>
        <w:spacing w:lineRule="auto" w:line="360" w:before="0" w:after="0"/>
        <w:jc w:val="left"/>
      </w:pPr>
      <w:r>
        <w:tab/>
      </w:r>
      <m:oMath>
        <m:sSub>
          <m:e>
            <m:r>
              <m:t>M</m:t>
            </m:r>
          </m:e>
          <m:sub>
            <m:r>
              <m:t>O</m:t>
            </m:r>
          </m:sub>
        </m:sSub>
        <m:r>
          <m:rPr>
            <m:sty m:val="p"/>
          </m:rPr>
          <m:t>=</m:t>
        </m:r>
        <m:sSub>
          <m:e>
            <m:r>
              <m:t>E</m:t>
            </m:r>
          </m:e>
          <m:sub>
            <m:r>
              <m:t>a</m:t>
            </m:r>
          </m:sub>
        </m:sSub>
        <m:sSub>
          <m:e>
            <m:r>
              <m:t>z</m:t>
            </m:r>
          </m:e>
          <m:sub>
            <m:r>
              <m:t>a</m:t>
            </m:r>
          </m:sub>
        </m:sSub>
        <m:r>
          <m:rPr>
            <m:sty m:val="p"/>
          </m:rPr>
          <m:t>+</m:t>
        </m:r>
        <m:sSub>
          <m:e>
            <m:r>
              <m:t>E</m:t>
            </m:r>
          </m:e>
          <m:sub>
            <m:r>
              <m:t>q</m:t>
            </m:r>
          </m:sub>
        </m:sSub>
        <m:sSub>
          <m:e>
            <m:r>
              <m:t>z</m:t>
            </m:r>
          </m:e>
          <m:sub>
            <m:r>
              <m:t>q</m:t>
            </m:r>
          </m:sub>
        </m:sSub>
        <m:r>
          <m:rPr>
            <m:sty m:val="p"/>
          </m:rPr>
          <m:t>+</m:t>
        </m:r>
        <m:sSub>
          <m:e>
            <m:r>
              <m:t>P</m:t>
            </m:r>
          </m:e>
          <m:sub>
            <m:r>
              <m:t>H</m:t>
            </m:r>
          </m:sub>
        </m:sSub>
        <m:sSub>
          <m:e>
            <m:r>
              <m:t>z</m:t>
            </m:r>
          </m:e>
          <m:sub>
            <m:r>
              <m:t>p</m:t>
            </m:r>
          </m:sub>
        </m:sSub>
        <m:r>
          <m:rPr>
            <m:sty m:val="p"/>
          </m:rPr>
          <m:t>≈</m:t>
        </m:r>
        <m:r>
          <m:t>125000</m:t>
        </m:r>
        <m:r>
          <m:t> </m:t>
        </m:r>
        <m:r>
          <m:t>k</m:t>
        </m:r>
        <m:r>
          <m:t>N</m:t>
        </m:r>
        <m:r>
          <m:rPr>
            <m:sty m:val="p"/>
          </m:rPr>
          <m:t>⋅</m:t>
        </m:r>
        <m:r>
          <m:t>m</m:t>
        </m:r>
      </m:oMath>
      <w:r>
        <w:rPr>
          <w:rFonts w:ascii="Times New Roman" w:hAnsi="Times New Roman" w:eastAsia="宋体"/>
          <w:sz w:val="24"/>
        </w:rPr>
        <w:tab/>
        <w:t>（7.11）</w:t>
      </w:r>
    </w:p>
    <w:p>
      <w:pPr>
        <w:tabs>
          <w:tab w:pos="4100" w:val="center"/>
          <w:tab w:pos="8200" w:val="right"/>
        </w:tabs>
        <w:spacing w:lineRule="auto" w:line="360" w:before="0" w:after="0"/>
        <w:jc w:val="left"/>
      </w:pPr>
      <w:r>
        <w:tab/>
      </w:r>
      <m:oMath>
        <m:sSub>
          <m:e>
            <m:r>
              <m:t>K</m:t>
            </m:r>
          </m:e>
          <m:sub>
            <m:r>
              <m:t>o</m:t>
            </m:r>
          </m:sub>
        </m:sSub>
        <m:r>
          <m:rPr>
            <m:sty m:val="p"/>
          </m:rPr>
          <m:t>=</m:t>
        </m:r>
        <m:sSub>
          <m:e>
            <m:r>
              <m:t>M</m:t>
            </m:r>
          </m:e>
          <m:sub>
            <m:r>
              <m:t>R</m:t>
            </m:r>
          </m:sub>
        </m:sSub>
        <m:r>
          <m:rPr>
            <m:sty m:val="p"/>
          </m:rPr>
          <m:t>/</m:t>
        </m:r>
        <m:sSub>
          <m:e>
            <m:r>
              <m:t>M</m:t>
            </m:r>
          </m:e>
          <m:sub>
            <m:r>
              <m:t>O</m:t>
            </m:r>
          </m:sub>
        </m:sSub>
        <m:r>
          <m:rPr>
            <m:sty m:val="p"/>
          </m:rPr>
          <m:t>=</m:t>
        </m:r>
        <m:r>
          <m:t>592000</m:t>
        </m:r>
        <m:r>
          <m:rPr>
            <m:sty m:val="p"/>
          </m:rPr>
          <m:t>/</m:t>
        </m:r>
        <m:r>
          <m:t>125000</m:t>
        </m:r>
        <m:r>
          <m:rPr>
            <m:sty m:val="p"/>
          </m:rPr>
          <m:t>=</m:t>
        </m:r>
        <m:r>
          <m:t>4.74</m:t>
        </m:r>
      </m:oMath>
      <w:r>
        <w:rPr>
          <w:rFonts w:ascii="Times New Roman" w:hAnsi="Times New Roman" w:eastAsia="宋体"/>
          <w:sz w:val="24"/>
        </w:rPr>
        <w:tab/>
        <w:t>（7.12）</w:t>
      </w:r>
    </w:p>
    <w:p>
      <w:pPr>
        <w:spacing w:lineRule="auto" w:line="360" w:before="0" w:after="0"/>
        <w:ind w:firstLine="480"/>
      </w:pPr>
      <w:r>
        <w:rPr>
          <w:rFonts w:ascii="Times New Roman" w:hAnsi="Times New Roman" w:eastAsia="宋体"/>
          <w:sz w:val="24"/>
        </w:rPr>
        <w:t>沉箱方案抗倾覆安全系数为4.74，大于控制值1.50。较高的安全系数说明墙身宽度和竖向合力均较充分，但初步设计结果不应理解为可以随意提高墙后堆载。堆场重箱靠近胸墙集中堆放时，会显著增加倾覆力矩和基床偏心，应在运营管理中限制前沿后方不利堆载。</w:t>
      </w:r>
    </w:p>
    <w:p>
      <w:pPr>
        <w:pStyle w:val="3"/>
        <w:jc w:val="left"/>
      </w:pPr>
      <w:r>
        <w:rPr>
          <w:rFonts w:ascii="Times New Roman" w:hAnsi="Times New Roman" w:eastAsia="宋体"/>
          <w:b/>
          <w:sz w:val="24"/>
        </w:rPr>
        <w:t xml:space="preserve"> 基床应力与偏心距验算</w:t>
      </w:r>
    </w:p>
    <w:p>
      <w:pPr>
        <w:spacing w:lineRule="auto" w:line="360" w:before="0" w:after="0"/>
        <w:ind w:firstLine="480"/>
      </w:pPr>
      <w:r>
        <w:rPr>
          <w:rFonts w:ascii="Times New Roman" w:hAnsi="Times New Roman" w:eastAsia="宋体"/>
          <w:sz w:val="24"/>
        </w:rPr>
        <w:t>基床应力验算用于判断竖向合力作用点是否落在基础核心范围内，并检查最大压应力是否小于容许承载力。沉箱底宽B取12.50m，结构段长度l取30m。</w:t>
      </w:r>
    </w:p>
    <w:p>
      <w:pPr>
        <w:tabs>
          <w:tab w:pos="4100" w:val="center"/>
          <w:tab w:pos="8200" w:val="right"/>
        </w:tabs>
        <w:spacing w:lineRule="auto" w:line="360" w:before="0" w:after="0"/>
        <w:jc w:val="left"/>
      </w:pPr>
      <w:r>
        <w:tab/>
      </w:r>
      <m:oMath>
        <m:r>
          <m:t>e</m:t>
        </m:r>
        <m:r>
          <m:rPr>
            <m:sty m:val="p"/>
          </m:rPr>
          <m:t>=</m:t>
        </m:r>
        <m:r>
          <m:t>B</m:t>
        </m:r>
        <m:r>
          <m:rPr>
            <m:sty m:val="p"/>
          </m:rPr>
          <m:t>/</m:t>
        </m:r>
        <m:r>
          <m:t>2</m:t>
        </m:r>
        <m:r>
          <m:rPr>
            <m:sty m:val="p"/>
          </m:rPr>
          <m:t>−</m:t>
        </m:r>
        <m:r>
          <m:rPr>
            <m:sty m:val="p"/>
          </m:rPr>
          <m:t>(</m:t>
        </m:r>
        <m:sSub>
          <m:e>
            <m:r>
              <m:t>M</m:t>
            </m:r>
          </m:e>
          <m:sub>
            <m:r>
              <m:t>R</m:t>
            </m:r>
          </m:sub>
        </m:sSub>
        <m:r>
          <m:rPr>
            <m:sty m:val="p"/>
          </m:rPr>
          <m:t>−</m:t>
        </m:r>
        <m:sSub>
          <m:e>
            <m:r>
              <m:t>M</m:t>
            </m:r>
          </m:e>
          <m:sub>
            <m:r>
              <m:t>O</m:t>
            </m:r>
          </m:sub>
        </m:sSub>
        <m:r>
          <m:rPr>
            <m:sty m:val="p"/>
          </m:rPr>
          <m:t>)</m:t>
        </m:r>
        <m:r>
          <m:rPr>
            <m:sty m:val="p"/>
          </m:rPr>
          <m:t>/</m:t>
        </m:r>
        <m:r>
          <m:t>G</m:t>
        </m:r>
        <m:r>
          <m:rPr>
            <m:sty m:val="p"/>
          </m:rPr>
          <m:t>≈</m:t>
        </m:r>
        <m:r>
          <m:t>1.05</m:t>
        </m:r>
        <m:r>
          <m:t> </m:t>
        </m:r>
        <m:r>
          <m:t>m</m:t>
        </m:r>
      </m:oMath>
      <w:r>
        <w:rPr>
          <w:rFonts w:ascii="Times New Roman" w:hAnsi="Times New Roman" w:eastAsia="宋体"/>
          <w:sz w:val="24"/>
        </w:rPr>
        <w:tab/>
        <w:t>（7.13）</w:t>
      </w:r>
    </w:p>
    <w:p>
      <w:pPr>
        <w:tabs>
          <w:tab w:pos="4100" w:val="center"/>
          <w:tab w:pos="8200" w:val="right"/>
        </w:tabs>
        <w:spacing w:lineRule="auto" w:line="360" w:before="0" w:after="0"/>
        <w:jc w:val="left"/>
      </w:pPr>
      <w:r>
        <w:tab/>
      </w:r>
      <m:oMath>
        <m:sSub>
          <m:e>
            <m:r>
              <m:t>σ</m:t>
            </m:r>
          </m:e>
          <m:sub>
            <m:r>
              <m:t>0</m:t>
            </m:r>
          </m:sub>
        </m:sSub>
        <m:r>
          <m:rPr>
            <m:sty m:val="p"/>
          </m:rPr>
          <m:t>=</m:t>
        </m:r>
        <m:r>
          <m:t>G</m:t>
        </m:r>
        <m:r>
          <m:rPr>
            <m:sty m:val="p"/>
          </m:rPr>
          <m:t>/</m:t>
        </m:r>
        <m:r>
          <m:rPr>
            <m:sty m:val="p"/>
          </m:rPr>
          <m:t>(</m:t>
        </m:r>
        <m:r>
          <m:t>l</m:t>
        </m:r>
        <m:r>
          <m:t>B</m:t>
        </m:r>
        <m:r>
          <m:rPr>
            <m:sty m:val="p"/>
          </m:rPr>
          <m:t>)</m:t>
        </m:r>
        <m:r>
          <m:rPr>
            <m:sty m:val="p"/>
          </m:rPr>
          <m:t>=</m:t>
        </m:r>
        <m:r>
          <m:t>90380</m:t>
        </m:r>
        <m:r>
          <m:rPr>
            <m:sty m:val="p"/>
          </m:rPr>
          <m:t>/</m:t>
        </m:r>
        <m:r>
          <m:rPr>
            <m:sty m:val="p"/>
          </m:rPr>
          <m:t>(</m:t>
        </m:r>
        <m:r>
          <m:t>30</m:t>
        </m:r>
        <m:r>
          <m:rPr>
            <m:sty m:val="p"/>
          </m:rPr>
          <m:t>×</m:t>
        </m:r>
        <m:r>
          <m:t>12.5</m:t>
        </m:r>
        <m:r>
          <m:rPr>
            <m:sty m:val="p"/>
          </m:rPr>
          <m:t>)</m:t>
        </m:r>
        <m:r>
          <m:rPr>
            <m:sty m:val="p"/>
          </m:rPr>
          <m:t>=</m:t>
        </m:r>
        <m:r>
          <m:t>241</m:t>
        </m:r>
        <m:r>
          <m:t> </m:t>
        </m:r>
        <m:r>
          <m:t>k</m:t>
        </m:r>
        <m:r>
          <m:t>P</m:t>
        </m:r>
        <m:r>
          <m:t>a</m:t>
        </m:r>
      </m:oMath>
      <w:r>
        <w:rPr>
          <w:rFonts w:ascii="Times New Roman" w:hAnsi="Times New Roman" w:eastAsia="宋体"/>
          <w:sz w:val="24"/>
        </w:rPr>
        <w:tab/>
        <w:t>（7.14）</w:t>
      </w:r>
    </w:p>
    <w:p>
      <w:pPr>
        <w:tabs>
          <w:tab w:pos="4100" w:val="center"/>
          <w:tab w:pos="8200" w:val="right"/>
        </w:tabs>
        <w:spacing w:lineRule="auto" w:line="360" w:before="0" w:after="0"/>
        <w:jc w:val="left"/>
      </w:pPr>
      <w:r>
        <w:tab/>
      </w:r>
      <m:oMath>
        <m:sSub>
          <m:e>
            <m:r>
              <m:t>σ</m:t>
            </m:r>
          </m:e>
          <m:sub>
            <m:r>
              <m:t>m</m:t>
            </m:r>
            <m:r>
              <m:t>a</m:t>
            </m:r>
            <m:r>
              <m:t>x</m:t>
            </m:r>
          </m:sub>
        </m:sSub>
        <m:r>
          <m:rPr>
            <m:sty m:val="p"/>
          </m:rPr>
          <m:t>=</m:t>
        </m:r>
        <m:sSub>
          <m:e>
            <m:r>
              <m:t>σ</m:t>
            </m:r>
          </m:e>
          <m:sub>
            <m:r>
              <m:t>0</m:t>
            </m:r>
          </m:sub>
        </m:sSub>
        <m:r>
          <m:rPr>
            <m:sty m:val="p"/>
          </m:rPr>
          <m:t>(</m:t>
        </m:r>
        <m:r>
          <m:t>1</m:t>
        </m:r>
        <m:r>
          <m:rPr>
            <m:sty m:val="p"/>
          </m:rPr>
          <m:t>+</m:t>
        </m:r>
        <m:r>
          <m:t>6</m:t>
        </m:r>
        <m:r>
          <m:t>e</m:t>
        </m:r>
        <m:r>
          <m:rPr>
            <m:sty m:val="p"/>
          </m:rPr>
          <m:t>/</m:t>
        </m:r>
        <m:r>
          <m:t>B</m:t>
        </m:r>
        <m:r>
          <m:rPr>
            <m:sty m:val="p"/>
          </m:rPr>
          <m:t>)</m:t>
        </m:r>
        <m:r>
          <m:rPr>
            <m:sty m:val="p"/>
          </m:rPr>
          <m:t>≈</m:t>
        </m:r>
        <m:r>
          <m:t>361</m:t>
        </m:r>
        <m:r>
          <m:t> </m:t>
        </m:r>
        <m:r>
          <m:t>k</m:t>
        </m:r>
        <m:r>
          <m:t>P</m:t>
        </m:r>
        <m:r>
          <m:t>a</m:t>
        </m:r>
      </m:oMath>
      <w:r>
        <w:rPr>
          <w:rFonts w:ascii="Times New Roman" w:hAnsi="Times New Roman" w:eastAsia="宋体"/>
          <w:sz w:val="24"/>
        </w:rPr>
        <w:tab/>
        <w:t>（7.15）</w:t>
      </w:r>
    </w:p>
    <w:p>
      <w:pPr>
        <w:tabs>
          <w:tab w:pos="4100" w:val="center"/>
          <w:tab w:pos="8200" w:val="right"/>
        </w:tabs>
        <w:spacing w:lineRule="auto" w:line="360" w:before="0" w:after="0"/>
        <w:jc w:val="left"/>
      </w:pPr>
      <w:r>
        <w:tab/>
      </w:r>
      <m:oMath>
        <m:sSub>
          <m:e>
            <m:r>
              <m:t>σ</m:t>
            </m:r>
          </m:e>
          <m:sub>
            <m:r>
              <m:t>m</m:t>
            </m:r>
            <m:r>
              <m:t>i</m:t>
            </m:r>
            <m:r>
              <m:t>n</m:t>
            </m:r>
          </m:sub>
        </m:sSub>
        <m:r>
          <m:rPr>
            <m:sty m:val="p"/>
          </m:rPr>
          <m:t>=</m:t>
        </m:r>
        <m:sSub>
          <m:e>
            <m:r>
              <m:t>σ</m:t>
            </m:r>
          </m:e>
          <m:sub>
            <m:r>
              <m:t>0</m:t>
            </m:r>
          </m:sub>
        </m:sSub>
        <m:r>
          <m:rPr>
            <m:sty m:val="p"/>
          </m:rPr>
          <m:t>(</m:t>
        </m:r>
        <m:r>
          <m:t>1</m:t>
        </m:r>
        <m:r>
          <m:rPr>
            <m:sty m:val="p"/>
          </m:rPr>
          <m:t>−</m:t>
        </m:r>
        <m:r>
          <m:t>6</m:t>
        </m:r>
        <m:r>
          <m:t>e</m:t>
        </m:r>
        <m:r>
          <m:rPr>
            <m:sty m:val="p"/>
          </m:rPr>
          <m:t>/</m:t>
        </m:r>
        <m:r>
          <m:t>B</m:t>
        </m:r>
        <m:r>
          <m:rPr>
            <m:sty m:val="p"/>
          </m:rPr>
          <m:t>)</m:t>
        </m:r>
        <m:r>
          <m:rPr>
            <m:sty m:val="p"/>
          </m:rPr>
          <m:t>≈</m:t>
        </m:r>
        <m:r>
          <m:t>121</m:t>
        </m:r>
        <m:r>
          <m:t> </m:t>
        </m:r>
        <m:r>
          <m:t>k</m:t>
        </m:r>
        <m:r>
          <m:t>P</m:t>
        </m:r>
        <m:r>
          <m:t>a</m:t>
        </m:r>
      </m:oMath>
      <w:r>
        <w:rPr>
          <w:rFonts w:ascii="Times New Roman" w:hAnsi="Times New Roman" w:eastAsia="宋体"/>
          <w:sz w:val="24"/>
        </w:rPr>
        <w:tab/>
        <w:t>（7.16）</w:t>
      </w:r>
    </w:p>
    <w:p>
      <w:pPr>
        <w:keepNext/>
        <w:spacing w:lineRule="auto" w:line="300" w:before="0" w:after="120"/>
        <w:jc w:val="center"/>
      </w:pPr>
      <w:r>
        <w:rPr>
          <w:rFonts w:ascii="Times New Roman" w:hAnsi="Times New Roman" w:eastAsia="宋体"/>
          <w:b w:val="0"/>
          <w:sz w:val="20"/>
        </w:rPr>
        <w:t>表7-6 沉箱方案稳定计算结果汇总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76"/>
        <w:gridCol w:w="2376"/>
        <w:gridCol w:w="1944"/>
        <w:gridCol w:w="1512"/>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验算项目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计算结果</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控制值</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结论</w:t>
            </w:r>
          </w:p>
        </w:tc>
      </w:tr>
      <w:tr>
        <w:tc>
          <w:tcPr>
            <w:tcW w:type="dxa" w:w="2376"/>
            <w:vAlign w:val="center"/>
          </w:tcPr>
          <w:p>
            <w:pPr>
              <w:spacing w:lineRule="auto" w:line="276"/>
              <w:jc w:val="center"/>
            </w:pPr>
            <w:r>
              <w:rPr>
                <w:rFonts w:ascii="Times New Roman" w:hAnsi="Times New Roman" w:eastAsia="宋体"/>
                <w:b w:val="0"/>
                <w:sz w:val="18"/>
              </w:rPr>
              <w:t>抗滑安全系数Ks</w:t>
            </w:r>
          </w:p>
        </w:tc>
        <w:tc>
          <w:tcPr>
            <w:tcW w:type="dxa" w:w="2376"/>
            <w:vAlign w:val="center"/>
          </w:tcPr>
          <w:p>
            <w:pPr>
              <w:spacing w:lineRule="auto" w:line="276"/>
              <w:jc w:val="center"/>
            </w:pPr>
            <w:r>
              <w:rPr>
                <w:rFonts w:ascii="Times New Roman" w:hAnsi="Times New Roman" w:eastAsia="宋体"/>
                <w:b w:val="0"/>
                <w:sz w:val="18"/>
              </w:rPr>
              <w:t>2.91</w:t>
            </w:r>
          </w:p>
        </w:tc>
        <w:tc>
          <w:tcPr>
            <w:tcW w:type="dxa" w:w="1944"/>
            <w:vAlign w:val="center"/>
          </w:tcPr>
          <w:p>
            <w:pPr>
              <w:spacing w:lineRule="auto" w:line="276"/>
              <w:jc w:val="center"/>
            </w:pPr>
            <w:r>
              <w:rPr>
                <w:rFonts w:ascii="Times New Roman" w:hAnsi="Times New Roman" w:eastAsia="宋体"/>
                <w:b w:val="0"/>
                <w:sz w:val="18"/>
              </w:rPr>
              <w:t>≥1.30</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抗倾覆安全系数Ko</w:t>
            </w:r>
          </w:p>
        </w:tc>
        <w:tc>
          <w:tcPr>
            <w:tcW w:type="dxa" w:w="2376"/>
            <w:vAlign w:val="center"/>
          </w:tcPr>
          <w:p>
            <w:pPr>
              <w:spacing w:lineRule="auto" w:line="276"/>
              <w:jc w:val="center"/>
            </w:pPr>
            <w:r>
              <w:rPr>
                <w:rFonts w:ascii="Times New Roman" w:hAnsi="Times New Roman" w:eastAsia="宋体"/>
                <w:b w:val="0"/>
                <w:sz w:val="18"/>
              </w:rPr>
              <w:t>4.74</w:t>
            </w:r>
          </w:p>
        </w:tc>
        <w:tc>
          <w:tcPr>
            <w:tcW w:type="dxa" w:w="1944"/>
            <w:vAlign w:val="center"/>
          </w:tcPr>
          <w:p>
            <w:pPr>
              <w:spacing w:lineRule="auto" w:line="276"/>
              <w:jc w:val="center"/>
            </w:pPr>
            <w:r>
              <w:rPr>
                <w:rFonts w:ascii="Times New Roman" w:hAnsi="Times New Roman" w:eastAsia="宋体"/>
                <w:b w:val="0"/>
                <w:sz w:val="18"/>
              </w:rPr>
              <w:t>≥1.50</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合力偏心距e</w:t>
            </w:r>
          </w:p>
        </w:tc>
        <w:tc>
          <w:tcPr>
            <w:tcW w:type="dxa" w:w="2376"/>
            <w:vAlign w:val="center"/>
          </w:tcPr>
          <w:p>
            <w:pPr>
              <w:spacing w:lineRule="auto" w:line="276"/>
              <w:jc w:val="center"/>
            </w:pPr>
            <w:r>
              <w:rPr>
                <w:rFonts w:ascii="Times New Roman" w:hAnsi="Times New Roman" w:eastAsia="宋体"/>
                <w:b w:val="0"/>
                <w:sz w:val="18"/>
              </w:rPr>
              <w:t>1.05m</w:t>
            </w:r>
          </w:p>
        </w:tc>
        <w:tc>
          <w:tcPr>
            <w:tcW w:type="dxa" w:w="1944"/>
            <w:vAlign w:val="center"/>
          </w:tcPr>
          <w:p>
            <w:pPr>
              <w:spacing w:lineRule="auto" w:line="276"/>
              <w:jc w:val="center"/>
            </w:pPr>
            <w:r>
              <w:rPr>
                <w:rFonts w:ascii="Times New Roman" w:hAnsi="Times New Roman" w:eastAsia="宋体"/>
                <w:b w:val="0"/>
                <w:sz w:val="18"/>
              </w:rPr>
              <w:t>≤B/6=2.08m</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最大基床应力σmax</w:t>
            </w:r>
          </w:p>
        </w:tc>
        <w:tc>
          <w:tcPr>
            <w:tcW w:type="dxa" w:w="2376"/>
            <w:vAlign w:val="center"/>
          </w:tcPr>
          <w:p>
            <w:pPr>
              <w:spacing w:lineRule="auto" w:line="276"/>
              <w:jc w:val="center"/>
            </w:pPr>
            <w:r>
              <w:rPr>
                <w:rFonts w:ascii="Times New Roman" w:hAnsi="Times New Roman" w:eastAsia="宋体"/>
                <w:b w:val="0"/>
                <w:sz w:val="18"/>
              </w:rPr>
              <w:t>约361kPa</w:t>
            </w:r>
          </w:p>
        </w:tc>
        <w:tc>
          <w:tcPr>
            <w:tcW w:type="dxa" w:w="1944"/>
            <w:vAlign w:val="center"/>
          </w:tcPr>
          <w:p>
            <w:pPr>
              <w:spacing w:lineRule="auto" w:line="276"/>
              <w:jc w:val="center"/>
            </w:pPr>
            <w:r>
              <w:rPr>
                <w:rFonts w:ascii="Times New Roman" w:hAnsi="Times New Roman" w:eastAsia="宋体"/>
                <w:b w:val="0"/>
                <w:sz w:val="18"/>
              </w:rPr>
              <w:t>≤550kPa</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最小基床应力σmin</w:t>
            </w:r>
          </w:p>
        </w:tc>
        <w:tc>
          <w:tcPr>
            <w:tcW w:type="dxa" w:w="2376"/>
            <w:vAlign w:val="center"/>
          </w:tcPr>
          <w:p>
            <w:pPr>
              <w:spacing w:lineRule="auto" w:line="276"/>
              <w:jc w:val="center"/>
            </w:pPr>
            <w:r>
              <w:rPr>
                <w:rFonts w:ascii="Times New Roman" w:hAnsi="Times New Roman" w:eastAsia="宋体"/>
                <w:b w:val="0"/>
                <w:sz w:val="18"/>
              </w:rPr>
              <w:t>约121kPa</w:t>
            </w:r>
          </w:p>
        </w:tc>
        <w:tc>
          <w:tcPr>
            <w:tcW w:type="dxa" w:w="1944"/>
            <w:vAlign w:val="center"/>
          </w:tcPr>
          <w:p>
            <w:pPr>
              <w:spacing w:lineRule="auto" w:line="276"/>
              <w:jc w:val="center"/>
            </w:pPr>
            <w:r>
              <w:rPr>
                <w:rFonts w:ascii="Times New Roman" w:hAnsi="Times New Roman" w:eastAsia="宋体"/>
                <w:b w:val="0"/>
                <w:sz w:val="18"/>
              </w:rPr>
              <w:t>≥0</w:t>
            </w:r>
          </w:p>
        </w:tc>
        <w:tc>
          <w:tcPr>
            <w:tcW w:type="dxa" w:w="1512"/>
            <w:vAlign w:val="center"/>
          </w:tcPr>
          <w:p>
            <w:pPr>
              <w:spacing w:lineRule="auto" w:line="276"/>
              <w:jc w:val="center"/>
            </w:pPr>
            <w:r>
              <w:rPr>
                <w:rFonts w:ascii="Times New Roman" w:hAnsi="Times New Roman" w:eastAsia="宋体"/>
                <w:b w:val="0"/>
                <w:sz w:val="18"/>
              </w:rPr>
              <w:t>满足</w:t>
            </w:r>
          </w:p>
        </w:tc>
      </w:tr>
    </w:tbl>
    <w:p/>
    <w:p>
      <w:pPr>
        <w:spacing w:lineRule="auto" w:line="360" w:before="0" w:after="0"/>
        <w:ind w:firstLine="480"/>
      </w:pPr>
      <w:r>
        <w:rPr>
          <w:rFonts w:ascii="Times New Roman" w:hAnsi="Times New Roman" w:eastAsia="宋体"/>
          <w:sz w:val="24"/>
        </w:rPr>
        <w:t>基床最小应力为正，说明基底未出现拉应力，合力位于核心范围内；最大应力约361kPa，小于初步取定的容许承载力550kPa。沉箱方案在整体稳定和基床应力方面均满足要求，适合作为推荐方案继续深化。</w:t>
      </w:r>
    </w:p>
    <w:p>
      <w:pPr>
        <w:pStyle w:val="3"/>
        <w:jc w:val="left"/>
      </w:pPr>
      <w:r>
        <w:rPr>
          <w:rFonts w:ascii="Times New Roman" w:hAnsi="Times New Roman" w:eastAsia="宋体"/>
          <w:b/>
          <w:sz w:val="24"/>
        </w:rPr>
        <w:t xml:space="preserve"> 施工阶段控制计算说明</w:t>
      </w:r>
    </w:p>
    <w:p>
      <w:pPr>
        <w:spacing w:lineRule="auto" w:line="360" w:before="0" w:after="0"/>
        <w:ind w:firstLine="480"/>
      </w:pPr>
      <w:r>
        <w:rPr>
          <w:rFonts w:ascii="Times New Roman" w:hAnsi="Times New Roman" w:eastAsia="宋体"/>
          <w:sz w:val="24"/>
        </w:rPr>
        <w:t>沉箱施工阶段的控制点与运营阶段不同。沉箱空箱浮运时需要保证浮心、重心和稳心关系满足浮运稳性；沉放时需要控制压载水和定位缆，使沉箱平稳坐落在整平基床上；箱内回填时需要分舱、分层、对称进行，防止单侧偏载造成沉箱位移。</w:t>
      </w:r>
    </w:p>
    <w:p>
      <w:pPr>
        <w:tabs>
          <w:tab w:pos="4100" w:val="center"/>
          <w:tab w:pos="8200" w:val="right"/>
        </w:tabs>
        <w:spacing w:lineRule="auto" w:line="360" w:before="0" w:after="0"/>
        <w:jc w:val="left"/>
      </w:pPr>
      <w:r>
        <w:tab/>
      </w:r>
      <m:oMath>
        <m:r>
          <m:rPr>
            <m:sty m:val="p"/>
          </m:rPr>
          <m:t>Δ</m:t>
        </m:r>
        <m:r>
          <m:t>G</m:t>
        </m:r>
        <m:r>
          <m:rPr>
            <m:sty m:val="p"/>
          </m:rPr>
          <m:t>≤</m:t>
        </m:r>
        <m:r>
          <m:t>0.10</m:t>
        </m:r>
        <m:sSub>
          <m:e>
            <m:r>
              <m:t>G</m:t>
            </m:r>
          </m:e>
          <m:sub>
            <m:r>
              <m:t>f</m:t>
            </m:r>
          </m:sub>
        </m:sSub>
      </m:oMath>
      <w:r>
        <w:rPr>
          <w:rFonts w:ascii="Times New Roman" w:hAnsi="Times New Roman" w:eastAsia="宋体"/>
          <w:sz w:val="24"/>
        </w:rPr>
        <w:tab/>
        <w:t>（7.17）</w:t>
      </w:r>
    </w:p>
    <w:p>
      <w:pPr>
        <w:spacing w:lineRule="auto" w:line="360" w:before="0" w:after="0"/>
        <w:ind w:firstLine="480"/>
      </w:pPr>
      <w:r>
        <w:rPr>
          <w:rFonts w:ascii="Times New Roman" w:hAnsi="Times New Roman" w:eastAsia="宋体"/>
          <w:sz w:val="24"/>
        </w:rPr>
        <w:t>按箱内回填重49210kN估算，单侧或单舱不平衡回填差值宜控制在约4920kN以内。该指标用于提醒施工组织：稳定计算中的最终状态满足要求，并不代表施工过程可以任意堆填。施工阶段应设置位移观测、沉降观测和沉箱顶标高校核。</w:t>
      </w:r>
    </w:p>
    <w:p>
      <w:pPr>
        <w:pStyle w:val="2"/>
        <w:jc w:val="left"/>
      </w:pPr>
      <w:r>
        <w:rPr>
          <w:rFonts w:ascii="Times New Roman" w:hAnsi="Times New Roman" w:eastAsia="宋体"/>
          <w:b/>
          <w:sz w:val="24"/>
        </w:rPr>
        <w:t xml:space="preserve"> 大圆筒方案稳定计算</w:t>
      </w:r>
    </w:p>
    <w:p>
      <w:pPr>
        <w:pStyle w:val="3"/>
        <w:jc w:val="left"/>
      </w:pPr>
      <w:r>
        <w:rPr>
          <w:rFonts w:ascii="Times New Roman" w:hAnsi="Times New Roman" w:eastAsia="宋体"/>
          <w:b/>
          <w:sz w:val="24"/>
        </w:rPr>
        <w:t xml:space="preserve"> 几何尺寸与受力特点</w:t>
      </w:r>
    </w:p>
    <w:p>
      <w:pPr>
        <w:spacing w:lineRule="auto" w:line="360" w:before="0" w:after="0"/>
        <w:ind w:firstLine="480"/>
      </w:pPr>
      <w:r>
        <w:rPr>
          <w:rFonts w:ascii="Times New Roman" w:hAnsi="Times New Roman" w:eastAsia="宋体"/>
          <w:sz w:val="24"/>
        </w:rPr>
        <w:t>大圆筒方案按每30m结构段设置2个圆筒计算。单个圆筒外径12.0m，壁厚0.35m，高度15.5m，内径约11.3m，筒顶标高+4.00m，筒底标高-11.50m。圆筒为无底薄壁结构，筒内回填直接坐落在基床上。</w:t>
      </w:r>
    </w:p>
    <w:p>
      <w:pPr>
        <w:spacing w:lineRule="auto" w:line="360" w:before="0" w:after="0"/>
        <w:ind w:firstLine="480"/>
      </w:pPr>
      <w:r>
        <w:rPr>
          <w:rFonts w:ascii="Times New Roman" w:hAnsi="Times New Roman" w:eastAsia="宋体"/>
          <w:sz w:val="24"/>
        </w:rPr>
        <w:t>与沉箱不同，大圆筒的稳定重量主要来自筒内回填，预制混凝土只占竖向合力的一小部分。该特点有利于减少预制混凝土工程量，但也使结构稳定更加依赖回填密实度、筒底坐床状态和筒间胸墙连接。</w:t>
      </w:r>
    </w:p>
    <w:p>
      <w:pPr>
        <w:keepNext/>
        <w:spacing w:lineRule="auto" w:line="300" w:before="0" w:after="120"/>
        <w:jc w:val="center"/>
      </w:pPr>
      <w:r>
        <w:rPr>
          <w:rFonts w:ascii="Times New Roman" w:hAnsi="Times New Roman" w:eastAsia="宋体"/>
          <w:b w:val="0"/>
          <w:sz w:val="20"/>
        </w:rPr>
        <w:t>表7-7 大圆筒方案几何与材料参数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160"/>
        <w:gridCol w:w="2592"/>
        <w:gridCol w:w="3672"/>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计算用途</w:t>
            </w:r>
          </w:p>
        </w:tc>
      </w:tr>
      <w:tr>
        <w:tc>
          <w:tcPr>
            <w:tcW w:type="dxa" w:w="2160"/>
            <w:vAlign w:val="center"/>
          </w:tcPr>
          <w:p>
            <w:pPr>
              <w:spacing w:lineRule="auto" w:line="276"/>
              <w:jc w:val="center"/>
            </w:pPr>
            <w:r>
              <w:rPr>
                <w:rFonts w:ascii="Times New Roman" w:hAnsi="Times New Roman" w:eastAsia="宋体"/>
                <w:b w:val="0"/>
                <w:sz w:val="18"/>
              </w:rPr>
              <w:t>结构段长度</w:t>
            </w:r>
          </w:p>
        </w:tc>
        <w:tc>
          <w:tcPr>
            <w:tcW w:type="dxa" w:w="2592"/>
            <w:vAlign w:val="center"/>
          </w:tcPr>
          <w:p>
            <w:pPr>
              <w:spacing w:lineRule="auto" w:line="276"/>
              <w:jc w:val="center"/>
            </w:pPr>
            <w:r>
              <w:rPr>
                <w:rFonts w:ascii="Times New Roman" w:hAnsi="Times New Roman" w:eastAsia="宋体"/>
                <w:b w:val="0"/>
                <w:sz w:val="18"/>
              </w:rPr>
              <w:t>30.0m</w:t>
            </w:r>
          </w:p>
        </w:tc>
        <w:tc>
          <w:tcPr>
            <w:tcW w:type="dxa" w:w="3672"/>
            <w:vAlign w:val="center"/>
          </w:tcPr>
          <w:p>
            <w:pPr>
              <w:spacing w:lineRule="auto" w:line="276"/>
              <w:jc w:val="center"/>
            </w:pPr>
            <w:r>
              <w:rPr>
                <w:rFonts w:ascii="Times New Roman" w:hAnsi="Times New Roman" w:eastAsia="宋体"/>
                <w:b w:val="0"/>
                <w:sz w:val="18"/>
              </w:rPr>
              <w:t>两圆筒组成一段</w:t>
            </w:r>
          </w:p>
        </w:tc>
      </w:tr>
      <w:tr>
        <w:tc>
          <w:tcPr>
            <w:tcW w:type="dxa" w:w="2160"/>
            <w:vAlign w:val="center"/>
          </w:tcPr>
          <w:p>
            <w:pPr>
              <w:spacing w:lineRule="auto" w:line="276"/>
              <w:jc w:val="center"/>
            </w:pPr>
            <w:r>
              <w:rPr>
                <w:rFonts w:ascii="Times New Roman" w:hAnsi="Times New Roman" w:eastAsia="宋体"/>
                <w:b w:val="0"/>
                <w:sz w:val="18"/>
              </w:rPr>
              <w:t>圆筒数量</w:t>
            </w:r>
          </w:p>
        </w:tc>
        <w:tc>
          <w:tcPr>
            <w:tcW w:type="dxa" w:w="2592"/>
            <w:vAlign w:val="center"/>
          </w:tcPr>
          <w:p>
            <w:pPr>
              <w:spacing w:lineRule="auto" w:line="276"/>
              <w:jc w:val="center"/>
            </w:pPr>
            <w:r>
              <w:rPr>
                <w:rFonts w:ascii="Times New Roman" w:hAnsi="Times New Roman" w:eastAsia="宋体"/>
                <w:b w:val="0"/>
                <w:sz w:val="18"/>
              </w:rPr>
              <w:t>2个/段</w:t>
            </w:r>
          </w:p>
        </w:tc>
        <w:tc>
          <w:tcPr>
            <w:tcW w:type="dxa" w:w="3672"/>
            <w:vAlign w:val="center"/>
          </w:tcPr>
          <w:p>
            <w:pPr>
              <w:spacing w:lineRule="auto" w:line="276"/>
              <w:jc w:val="center"/>
            </w:pPr>
            <w:r>
              <w:rPr>
                <w:rFonts w:ascii="Times New Roman" w:hAnsi="Times New Roman" w:eastAsia="宋体"/>
                <w:b w:val="0"/>
                <w:sz w:val="18"/>
              </w:rPr>
              <w:t>竖向力和工程量计算</w:t>
            </w:r>
          </w:p>
        </w:tc>
      </w:tr>
      <w:tr>
        <w:tc>
          <w:tcPr>
            <w:tcW w:type="dxa" w:w="2160"/>
            <w:vAlign w:val="center"/>
          </w:tcPr>
          <w:p>
            <w:pPr>
              <w:spacing w:lineRule="auto" w:line="276"/>
              <w:jc w:val="center"/>
            </w:pPr>
            <w:r>
              <w:rPr>
                <w:rFonts w:ascii="Times New Roman" w:hAnsi="Times New Roman" w:eastAsia="宋体"/>
                <w:b w:val="0"/>
                <w:sz w:val="18"/>
              </w:rPr>
              <w:t>圆筒外径</w:t>
            </w:r>
          </w:p>
        </w:tc>
        <w:tc>
          <w:tcPr>
            <w:tcW w:type="dxa" w:w="2592"/>
            <w:vAlign w:val="center"/>
          </w:tcPr>
          <w:p>
            <w:pPr>
              <w:spacing w:lineRule="auto" w:line="276"/>
              <w:jc w:val="center"/>
            </w:pPr>
            <w:r>
              <w:rPr>
                <w:rFonts w:ascii="Times New Roman" w:hAnsi="Times New Roman" w:eastAsia="宋体"/>
                <w:b w:val="0"/>
                <w:sz w:val="18"/>
              </w:rPr>
              <w:t>12.0m</w:t>
            </w:r>
          </w:p>
        </w:tc>
        <w:tc>
          <w:tcPr>
            <w:tcW w:type="dxa" w:w="3672"/>
            <w:vAlign w:val="center"/>
          </w:tcPr>
          <w:p>
            <w:pPr>
              <w:spacing w:lineRule="auto" w:line="276"/>
              <w:jc w:val="center"/>
            </w:pPr>
            <w:r>
              <w:rPr>
                <w:rFonts w:ascii="Times New Roman" w:hAnsi="Times New Roman" w:eastAsia="宋体"/>
                <w:b w:val="0"/>
                <w:sz w:val="18"/>
              </w:rPr>
              <w:t>坐床面积和筒壁体积</w:t>
            </w:r>
          </w:p>
        </w:tc>
      </w:tr>
      <w:tr>
        <w:tc>
          <w:tcPr>
            <w:tcW w:type="dxa" w:w="2160"/>
            <w:vAlign w:val="center"/>
          </w:tcPr>
          <w:p>
            <w:pPr>
              <w:spacing w:lineRule="auto" w:line="276"/>
              <w:jc w:val="center"/>
            </w:pPr>
            <w:r>
              <w:rPr>
                <w:rFonts w:ascii="Times New Roman" w:hAnsi="Times New Roman" w:eastAsia="宋体"/>
                <w:b w:val="0"/>
                <w:sz w:val="18"/>
              </w:rPr>
              <w:t>圆筒壁厚</w:t>
            </w:r>
          </w:p>
        </w:tc>
        <w:tc>
          <w:tcPr>
            <w:tcW w:type="dxa" w:w="2592"/>
            <w:vAlign w:val="center"/>
          </w:tcPr>
          <w:p>
            <w:pPr>
              <w:spacing w:lineRule="auto" w:line="276"/>
              <w:jc w:val="center"/>
            </w:pPr>
            <w:r>
              <w:rPr>
                <w:rFonts w:ascii="Times New Roman" w:hAnsi="Times New Roman" w:eastAsia="宋体"/>
                <w:b w:val="0"/>
                <w:sz w:val="18"/>
              </w:rPr>
              <w:t>0.35m</w:t>
            </w:r>
          </w:p>
        </w:tc>
        <w:tc>
          <w:tcPr>
            <w:tcW w:type="dxa" w:w="3672"/>
            <w:vAlign w:val="center"/>
          </w:tcPr>
          <w:p>
            <w:pPr>
              <w:spacing w:lineRule="auto" w:line="276"/>
              <w:jc w:val="center"/>
            </w:pPr>
            <w:r>
              <w:rPr>
                <w:rFonts w:ascii="Times New Roman" w:hAnsi="Times New Roman" w:eastAsia="宋体"/>
                <w:b w:val="0"/>
                <w:sz w:val="18"/>
              </w:rPr>
              <w:t>混凝土自重</w:t>
            </w:r>
          </w:p>
        </w:tc>
      </w:tr>
      <w:tr>
        <w:tc>
          <w:tcPr>
            <w:tcW w:type="dxa" w:w="2160"/>
            <w:vAlign w:val="center"/>
          </w:tcPr>
          <w:p>
            <w:pPr>
              <w:spacing w:lineRule="auto" w:line="276"/>
              <w:jc w:val="center"/>
            </w:pPr>
            <w:r>
              <w:rPr>
                <w:rFonts w:ascii="Times New Roman" w:hAnsi="Times New Roman" w:eastAsia="宋体"/>
                <w:b w:val="0"/>
                <w:sz w:val="18"/>
              </w:rPr>
              <w:t>圆筒高度</w:t>
            </w:r>
          </w:p>
        </w:tc>
        <w:tc>
          <w:tcPr>
            <w:tcW w:type="dxa" w:w="2592"/>
            <w:vAlign w:val="center"/>
          </w:tcPr>
          <w:p>
            <w:pPr>
              <w:spacing w:lineRule="auto" w:line="276"/>
              <w:jc w:val="center"/>
            </w:pPr>
            <w:r>
              <w:rPr>
                <w:rFonts w:ascii="Times New Roman" w:hAnsi="Times New Roman" w:eastAsia="宋体"/>
                <w:b w:val="0"/>
                <w:sz w:val="18"/>
              </w:rPr>
              <w:t>15.5m</w:t>
            </w:r>
          </w:p>
        </w:tc>
        <w:tc>
          <w:tcPr>
            <w:tcW w:type="dxa" w:w="3672"/>
            <w:vAlign w:val="center"/>
          </w:tcPr>
          <w:p>
            <w:pPr>
              <w:spacing w:lineRule="auto" w:line="276"/>
              <w:jc w:val="center"/>
            </w:pPr>
            <w:r>
              <w:rPr>
                <w:rFonts w:ascii="Times New Roman" w:hAnsi="Times New Roman" w:eastAsia="宋体"/>
                <w:b w:val="0"/>
                <w:sz w:val="18"/>
              </w:rPr>
              <w:t>墙身高度和吊装控制</w:t>
            </w:r>
          </w:p>
        </w:tc>
      </w:tr>
      <w:tr>
        <w:tc>
          <w:tcPr>
            <w:tcW w:type="dxa" w:w="2160"/>
            <w:vAlign w:val="center"/>
          </w:tcPr>
          <w:p>
            <w:pPr>
              <w:spacing w:lineRule="auto" w:line="276"/>
              <w:jc w:val="center"/>
            </w:pPr>
            <w:r>
              <w:rPr>
                <w:rFonts w:ascii="Times New Roman" w:hAnsi="Times New Roman" w:eastAsia="宋体"/>
                <w:b w:val="0"/>
                <w:sz w:val="18"/>
              </w:rPr>
              <w:t>筒内填料</w:t>
            </w:r>
          </w:p>
        </w:tc>
        <w:tc>
          <w:tcPr>
            <w:tcW w:type="dxa" w:w="2592"/>
            <w:vAlign w:val="center"/>
          </w:tcPr>
          <w:p>
            <w:pPr>
              <w:spacing w:lineRule="auto" w:line="276"/>
              <w:jc w:val="center"/>
            </w:pPr>
            <w:r>
              <w:rPr>
                <w:rFonts w:ascii="Times New Roman" w:hAnsi="Times New Roman" w:eastAsia="宋体"/>
                <w:b w:val="0"/>
                <w:sz w:val="18"/>
              </w:rPr>
              <w:t>开山土石，重度18.5kN/m³</w:t>
            </w:r>
          </w:p>
        </w:tc>
        <w:tc>
          <w:tcPr>
            <w:tcW w:type="dxa" w:w="3672"/>
            <w:vAlign w:val="center"/>
          </w:tcPr>
          <w:p>
            <w:pPr>
              <w:spacing w:lineRule="auto" w:line="276"/>
              <w:jc w:val="center"/>
            </w:pPr>
            <w:r>
              <w:rPr>
                <w:rFonts w:ascii="Times New Roman" w:hAnsi="Times New Roman" w:eastAsia="宋体"/>
                <w:b w:val="0"/>
                <w:sz w:val="18"/>
              </w:rPr>
              <w:t>主要稳定重量</w:t>
            </w:r>
          </w:p>
        </w:tc>
      </w:tr>
      <w:tr>
        <w:tc>
          <w:tcPr>
            <w:tcW w:type="dxa" w:w="2160"/>
            <w:vAlign w:val="center"/>
          </w:tcPr>
          <w:p>
            <w:pPr>
              <w:spacing w:lineRule="auto" w:line="276"/>
              <w:jc w:val="center"/>
            </w:pPr>
            <w:r>
              <w:rPr>
                <w:rFonts w:ascii="Times New Roman" w:hAnsi="Times New Roman" w:eastAsia="宋体"/>
                <w:b w:val="0"/>
                <w:sz w:val="18"/>
              </w:rPr>
              <w:t>胸墙混凝土</w:t>
            </w:r>
          </w:p>
        </w:tc>
        <w:tc>
          <w:tcPr>
            <w:tcW w:type="dxa" w:w="2592"/>
            <w:vAlign w:val="center"/>
          </w:tcPr>
          <w:p>
            <w:pPr>
              <w:spacing w:lineRule="auto" w:line="276"/>
              <w:jc w:val="center"/>
            </w:pPr>
            <w:r>
              <w:rPr>
                <w:rFonts w:ascii="Times New Roman" w:hAnsi="Times New Roman" w:eastAsia="宋体"/>
                <w:b w:val="0"/>
                <w:sz w:val="18"/>
              </w:rPr>
              <w:t>C40，重度24.5kN/m³</w:t>
            </w:r>
          </w:p>
        </w:tc>
        <w:tc>
          <w:tcPr>
            <w:tcW w:type="dxa" w:w="3672"/>
            <w:vAlign w:val="center"/>
          </w:tcPr>
          <w:p>
            <w:pPr>
              <w:spacing w:lineRule="auto" w:line="276"/>
              <w:jc w:val="center"/>
            </w:pPr>
            <w:r>
              <w:rPr>
                <w:rFonts w:ascii="Times New Roman" w:hAnsi="Times New Roman" w:eastAsia="宋体"/>
                <w:b w:val="0"/>
                <w:sz w:val="18"/>
              </w:rPr>
              <w:t>连接相邻圆筒</w:t>
            </w:r>
          </w:p>
        </w:tc>
      </w:tr>
    </w:tbl>
    <w:p/>
    <w:p>
      <w:pPr>
        <w:pStyle w:val="3"/>
        <w:jc w:val="left"/>
      </w:pPr>
      <w:r>
        <w:rPr>
          <w:rFonts w:ascii="Times New Roman" w:hAnsi="Times New Roman" w:eastAsia="宋体"/>
          <w:b/>
          <w:sz w:val="24"/>
        </w:rPr>
        <w:t xml:space="preserve"> 自重与竖向合力计算</w:t>
      </w:r>
    </w:p>
    <w:p>
      <w:pPr>
        <w:spacing w:lineRule="auto" w:line="360" w:before="0" w:after="0"/>
        <w:ind w:firstLine="480"/>
      </w:pPr>
      <w:r>
        <w:rPr>
          <w:rFonts w:ascii="Times New Roman" w:hAnsi="Times New Roman" w:eastAsia="宋体"/>
          <w:sz w:val="24"/>
        </w:rPr>
        <w:t>圆筒壁体积按环形截面面积乘以高度和圆筒数量计算。筒内回填体积按内径圆面积乘以有效回填高度和圆筒数量计算。初步设计取2个圆筒壁体积合计约397m³，筒内回填体积合计约2910m³，胸墙及面层体积约216m³。</w:t>
      </w:r>
    </w:p>
    <w:p>
      <w:pPr>
        <w:tabs>
          <w:tab w:pos="4100" w:val="center"/>
          <w:tab w:pos="8200" w:val="right"/>
        </w:tabs>
        <w:spacing w:lineRule="auto" w:line="360" w:before="0" w:after="0"/>
        <w:jc w:val="left"/>
      </w:pPr>
      <w:r>
        <w:tab/>
      </w:r>
      <m:oMath>
        <m:sSub>
          <m:e>
            <m:r>
              <m:t>V</m:t>
            </m:r>
          </m:e>
          <m:sub>
            <m:r>
              <m:t>c</m:t>
            </m:r>
          </m:sub>
        </m:sSub>
        <m:r>
          <m:rPr>
            <m:sty m:val="p"/>
          </m:rPr>
          <m:t>=</m:t>
        </m:r>
        <m:f>
          <m:fPr>
            <m:type m:val="bar"/>
          </m:fPr>
          <m:num>
            <m:r>
              <m:t>π</m:t>
            </m:r>
          </m:num>
          <m:den>
            <m:r>
              <m:t>4</m:t>
            </m:r>
          </m:den>
        </m:f>
        <m:r>
          <m:rPr>
            <m:sty m:val="p"/>
          </m:rPr>
          <m:t>[</m:t>
        </m:r>
        <m:sSup>
          <m:e>
            <m:r>
              <m:t>D</m:t>
            </m:r>
          </m:e>
          <m:sup>
            <m:r>
              <m:t>2</m:t>
            </m:r>
          </m:sup>
        </m:sSup>
        <m:r>
          <m:rPr>
            <m:sty m:val="p"/>
          </m:rPr>
          <m:t>−</m:t>
        </m:r>
        <m:r>
          <m:rPr>
            <m:sty m:val="p"/>
          </m:rPr>
          <m:t>(</m:t>
        </m:r>
        <m:r>
          <m:t>D</m:t>
        </m:r>
        <m:r>
          <m:rPr>
            <m:sty m:val="p"/>
          </m:rPr>
          <m:t>−</m:t>
        </m:r>
        <m:r>
          <m:t>2</m:t>
        </m:r>
        <m:r>
          <m:t>t</m:t>
        </m:r>
        <m:sSup>
          <m:e>
            <m:r>
              <m:rPr>
                <m:sty m:val="p"/>
              </m:rPr>
              <m:t>)</m:t>
            </m:r>
          </m:e>
          <m:sup>
            <m:r>
              <m:t>2</m:t>
            </m:r>
          </m:sup>
        </m:sSup>
        <m:r>
          <m:rPr>
            <m:sty m:val="p"/>
          </m:rPr>
          <m:t>]</m:t>
        </m:r>
        <m:r>
          <m:t>H</m:t>
        </m:r>
        <m:r>
          <m:t>n</m:t>
        </m:r>
        <m:r>
          <m:rPr>
            <m:sty m:val="p"/>
          </m:rPr>
          <m:t>≈</m:t>
        </m:r>
        <m:r>
          <m:t>397</m:t>
        </m:r>
        <m:r>
          <m:t> </m:t>
        </m:r>
        <m:sSup>
          <m:e>
            <m:r>
              <m:t>m</m:t>
            </m:r>
          </m:e>
          <m:sup>
            <m:r>
              <m:t>3</m:t>
            </m:r>
          </m:sup>
        </m:sSup>
      </m:oMath>
      <w:r>
        <w:rPr>
          <w:rFonts w:ascii="Times New Roman" w:hAnsi="Times New Roman" w:eastAsia="宋体"/>
          <w:sz w:val="24"/>
        </w:rPr>
        <w:tab/>
        <w:t>（7.18）</w:t>
      </w:r>
    </w:p>
    <w:p>
      <w:pPr>
        <w:tabs>
          <w:tab w:pos="4100" w:val="center"/>
          <w:tab w:pos="8200" w:val="right"/>
        </w:tabs>
        <w:spacing w:lineRule="auto" w:line="360" w:before="0" w:after="0"/>
        <w:jc w:val="left"/>
      </w:pPr>
      <w:r>
        <w:tab/>
      </w:r>
      <m:oMath>
        <m:sSub>
          <m:e>
            <m:r>
              <m:t>V</m:t>
            </m:r>
          </m:e>
          <m:sub>
            <m:r>
              <m:t>f</m:t>
            </m:r>
          </m:sub>
        </m:sSub>
        <m:r>
          <m:rPr>
            <m:sty m:val="p"/>
          </m:rPr>
          <m:t>=</m:t>
        </m:r>
        <m:f>
          <m:fPr>
            <m:type m:val="bar"/>
          </m:fPr>
          <m:num>
            <m:r>
              <m:t>π</m:t>
            </m:r>
          </m:num>
          <m:den>
            <m:r>
              <m:t>4</m:t>
            </m:r>
          </m:den>
        </m:f>
        <m:r>
          <m:rPr>
            <m:sty m:val="p"/>
          </m:rPr>
          <m:t>(</m:t>
        </m:r>
        <m:r>
          <m:t>D</m:t>
        </m:r>
        <m:r>
          <m:rPr>
            <m:sty m:val="p"/>
          </m:rPr>
          <m:t>−</m:t>
        </m:r>
        <m:r>
          <m:t>2</m:t>
        </m:r>
        <m:r>
          <m:t>t</m:t>
        </m:r>
        <m:sSup>
          <m:e>
            <m:r>
              <m:rPr>
                <m:sty m:val="p"/>
              </m:rPr>
              <m:t>)</m:t>
            </m:r>
          </m:e>
          <m:sup>
            <m:r>
              <m:t>2</m:t>
            </m:r>
          </m:sup>
        </m:sSup>
        <m:sSub>
          <m:e>
            <m:r>
              <m:t>H</m:t>
            </m:r>
          </m:e>
          <m:sub>
            <m:r>
              <m:t>f</m:t>
            </m:r>
          </m:sub>
        </m:sSub>
        <m:r>
          <m:t>n</m:t>
        </m:r>
        <m:r>
          <m:rPr>
            <m:sty m:val="p"/>
          </m:rPr>
          <m:t>≈</m:t>
        </m:r>
        <m:r>
          <m:t>2910</m:t>
        </m:r>
        <m:r>
          <m:t> </m:t>
        </m:r>
        <m:sSup>
          <m:e>
            <m:r>
              <m:t>m</m:t>
            </m:r>
          </m:e>
          <m:sup>
            <m:r>
              <m:t>3</m:t>
            </m:r>
          </m:sup>
        </m:sSup>
      </m:oMath>
      <w:r>
        <w:rPr>
          <w:rFonts w:ascii="Times New Roman" w:hAnsi="Times New Roman" w:eastAsia="宋体"/>
          <w:sz w:val="24"/>
        </w:rPr>
        <w:tab/>
        <w:t>（7.19）</w:t>
      </w:r>
    </w:p>
    <w:p>
      <w:pPr>
        <w:tabs>
          <w:tab w:pos="4100" w:val="center"/>
          <w:tab w:pos="8200" w:val="right"/>
        </w:tabs>
        <w:spacing w:lineRule="auto" w:line="360" w:before="0" w:after="0"/>
        <w:jc w:val="left"/>
      </w:pPr>
      <w:r>
        <w:tab/>
      </w:r>
      <m:oMath>
        <m:sSub>
          <m:e>
            <m:r>
              <m:t>G</m:t>
            </m:r>
          </m:e>
          <m:sub>
            <m:r>
              <m:t>c</m:t>
            </m:r>
            <m:r>
              <m:t>y</m:t>
            </m:r>
            <m:r>
              <m:t>l</m:t>
            </m:r>
          </m:sub>
        </m:sSub>
        <m:r>
          <m:rPr>
            <m:sty m:val="p"/>
          </m:rPr>
          <m:t>=</m:t>
        </m:r>
        <m:r>
          <m:t>24.5</m:t>
        </m:r>
        <m:sSub>
          <m:e>
            <m:r>
              <m:t>V</m:t>
            </m:r>
          </m:e>
          <m:sub>
            <m:r>
              <m:t>c</m:t>
            </m:r>
          </m:sub>
        </m:sSub>
        <m:r>
          <m:rPr>
            <m:sty m:val="p"/>
          </m:rPr>
          <m:t>+</m:t>
        </m:r>
        <m:r>
          <m:t>18.5</m:t>
        </m:r>
        <m:sSub>
          <m:e>
            <m:r>
              <m:t>V</m:t>
            </m:r>
          </m:e>
          <m:sub>
            <m:r>
              <m:t>f</m:t>
            </m:r>
          </m:sub>
        </m:sSub>
        <m:r>
          <m:rPr>
            <m:sty m:val="p"/>
          </m:rPr>
          <m:t>+</m:t>
        </m:r>
        <m:r>
          <m:t>24.5</m:t>
        </m:r>
        <m:sSub>
          <m:e>
            <m:r>
              <m:t>V</m:t>
            </m:r>
          </m:e>
          <m:sub>
            <m:r>
              <m:t>t</m:t>
            </m:r>
          </m:sub>
        </m:sSub>
        <m:r>
          <m:rPr>
            <m:sty m:val="p"/>
          </m:rPr>
          <m:t>+</m:t>
        </m:r>
        <m:sSub>
          <m:e>
            <m:r>
              <m:t>G</m:t>
            </m:r>
          </m:e>
          <m:sub>
            <m:r>
              <m:t>a</m:t>
            </m:r>
          </m:sub>
        </m:sSub>
        <m:r>
          <m:rPr>
            <m:sty m:val="p"/>
          </m:rPr>
          <m:t>=</m:t>
        </m:r>
        <m:r>
          <m:t>69354</m:t>
        </m:r>
        <m:r>
          <m:t> </m:t>
        </m:r>
        <m:r>
          <m:t>k</m:t>
        </m:r>
        <m:r>
          <m:t>N</m:t>
        </m:r>
      </m:oMath>
      <w:r>
        <w:rPr>
          <w:rFonts w:ascii="Times New Roman" w:hAnsi="Times New Roman" w:eastAsia="宋体"/>
          <w:sz w:val="24"/>
        </w:rPr>
        <w:tab/>
        <w:t>（7.20）</w:t>
      </w:r>
    </w:p>
    <w:p>
      <w:pPr>
        <w:keepNext/>
        <w:spacing w:lineRule="auto" w:line="300" w:before="0" w:after="120"/>
        <w:jc w:val="center"/>
      </w:pPr>
      <w:r>
        <w:rPr>
          <w:rFonts w:ascii="Times New Roman" w:hAnsi="Times New Roman" w:eastAsia="宋体"/>
          <w:b w:val="0"/>
          <w:sz w:val="20"/>
        </w:rPr>
        <w:t>表7-8 大圆筒方案每段竖向力估算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088"/>
        <w:gridCol w:w="2520"/>
        <w:gridCol w:w="1440"/>
        <w:gridCol w:w="2592"/>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计算式或取值</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结果/kN</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088"/>
            <w:vAlign w:val="center"/>
          </w:tcPr>
          <w:p>
            <w:pPr>
              <w:spacing w:lineRule="auto" w:line="276"/>
              <w:jc w:val="center"/>
            </w:pPr>
            <w:r>
              <w:rPr>
                <w:rFonts w:ascii="Times New Roman" w:hAnsi="Times New Roman" w:eastAsia="宋体"/>
                <w:b w:val="0"/>
                <w:sz w:val="18"/>
              </w:rPr>
              <w:t>圆筒混凝土自重</w:t>
            </w:r>
          </w:p>
        </w:tc>
        <w:tc>
          <w:tcPr>
            <w:tcW w:type="dxa" w:w="2520"/>
            <w:vAlign w:val="center"/>
          </w:tcPr>
          <w:p>
            <w:pPr>
              <w:spacing w:lineRule="auto" w:line="276"/>
              <w:jc w:val="center"/>
            </w:pPr>
            <w:r>
              <w:rPr>
                <w:rFonts w:ascii="Times New Roman" w:hAnsi="Times New Roman" w:eastAsia="宋体"/>
                <w:b w:val="0"/>
                <w:sz w:val="18"/>
              </w:rPr>
              <w:t>24.5×397</w:t>
            </w:r>
          </w:p>
        </w:tc>
        <w:tc>
          <w:tcPr>
            <w:tcW w:type="dxa" w:w="1440"/>
            <w:vAlign w:val="center"/>
          </w:tcPr>
          <w:p>
            <w:pPr>
              <w:spacing w:lineRule="auto" w:line="276"/>
              <w:jc w:val="center"/>
            </w:pPr>
            <w:r>
              <w:rPr>
                <w:rFonts w:ascii="Times New Roman" w:hAnsi="Times New Roman" w:eastAsia="宋体"/>
                <w:b w:val="0"/>
                <w:sz w:val="18"/>
              </w:rPr>
              <w:t>9727</w:t>
            </w:r>
          </w:p>
        </w:tc>
        <w:tc>
          <w:tcPr>
            <w:tcW w:type="dxa" w:w="2592"/>
            <w:vAlign w:val="center"/>
          </w:tcPr>
          <w:p>
            <w:pPr>
              <w:spacing w:lineRule="auto" w:line="276"/>
              <w:jc w:val="center"/>
            </w:pPr>
            <w:r>
              <w:rPr>
                <w:rFonts w:ascii="Times New Roman" w:hAnsi="Times New Roman" w:eastAsia="宋体"/>
                <w:b w:val="0"/>
                <w:sz w:val="18"/>
              </w:rPr>
              <w:t>2个薄壁圆筒</w:t>
            </w:r>
          </w:p>
        </w:tc>
      </w:tr>
      <w:tr>
        <w:tc>
          <w:tcPr>
            <w:tcW w:type="dxa" w:w="2088"/>
            <w:vAlign w:val="center"/>
          </w:tcPr>
          <w:p>
            <w:pPr>
              <w:spacing w:lineRule="auto" w:line="276"/>
              <w:jc w:val="center"/>
            </w:pPr>
            <w:r>
              <w:rPr>
                <w:rFonts w:ascii="Times New Roman" w:hAnsi="Times New Roman" w:eastAsia="宋体"/>
                <w:b w:val="0"/>
                <w:sz w:val="18"/>
              </w:rPr>
              <w:t>筒内回填重</w:t>
            </w:r>
          </w:p>
        </w:tc>
        <w:tc>
          <w:tcPr>
            <w:tcW w:type="dxa" w:w="2520"/>
            <w:vAlign w:val="center"/>
          </w:tcPr>
          <w:p>
            <w:pPr>
              <w:spacing w:lineRule="auto" w:line="276"/>
              <w:jc w:val="center"/>
            </w:pPr>
            <w:r>
              <w:rPr>
                <w:rFonts w:ascii="Times New Roman" w:hAnsi="Times New Roman" w:eastAsia="宋体"/>
                <w:b w:val="0"/>
                <w:sz w:val="18"/>
              </w:rPr>
              <w:t>18.5×2910</w:t>
            </w:r>
          </w:p>
        </w:tc>
        <w:tc>
          <w:tcPr>
            <w:tcW w:type="dxa" w:w="1440"/>
            <w:vAlign w:val="center"/>
          </w:tcPr>
          <w:p>
            <w:pPr>
              <w:spacing w:lineRule="auto" w:line="276"/>
              <w:jc w:val="center"/>
            </w:pPr>
            <w:r>
              <w:rPr>
                <w:rFonts w:ascii="Times New Roman" w:hAnsi="Times New Roman" w:eastAsia="宋体"/>
                <w:b w:val="0"/>
                <w:sz w:val="18"/>
              </w:rPr>
              <w:t>53835</w:t>
            </w:r>
          </w:p>
        </w:tc>
        <w:tc>
          <w:tcPr>
            <w:tcW w:type="dxa" w:w="2592"/>
            <w:vAlign w:val="center"/>
          </w:tcPr>
          <w:p>
            <w:pPr>
              <w:spacing w:lineRule="auto" w:line="276"/>
              <w:jc w:val="center"/>
            </w:pPr>
            <w:r>
              <w:rPr>
                <w:rFonts w:ascii="Times New Roman" w:hAnsi="Times New Roman" w:eastAsia="宋体"/>
                <w:b w:val="0"/>
                <w:sz w:val="18"/>
              </w:rPr>
              <w:t>圆筒内开山土石回填</w:t>
            </w:r>
          </w:p>
        </w:tc>
      </w:tr>
      <w:tr>
        <w:tc>
          <w:tcPr>
            <w:tcW w:type="dxa" w:w="2088"/>
            <w:vAlign w:val="center"/>
          </w:tcPr>
          <w:p>
            <w:pPr>
              <w:spacing w:lineRule="auto" w:line="276"/>
              <w:jc w:val="center"/>
            </w:pPr>
            <w:r>
              <w:rPr>
                <w:rFonts w:ascii="Times New Roman" w:hAnsi="Times New Roman" w:eastAsia="宋体"/>
                <w:b w:val="0"/>
                <w:sz w:val="18"/>
              </w:rPr>
              <w:t>胸墙及面层重</w:t>
            </w:r>
          </w:p>
        </w:tc>
        <w:tc>
          <w:tcPr>
            <w:tcW w:type="dxa" w:w="2520"/>
            <w:vAlign w:val="center"/>
          </w:tcPr>
          <w:p>
            <w:pPr>
              <w:spacing w:lineRule="auto" w:line="276"/>
              <w:jc w:val="center"/>
            </w:pPr>
            <w:r>
              <w:rPr>
                <w:rFonts w:ascii="Times New Roman" w:hAnsi="Times New Roman" w:eastAsia="宋体"/>
                <w:b w:val="0"/>
                <w:sz w:val="18"/>
              </w:rPr>
              <w:t>24.5×216</w:t>
            </w:r>
          </w:p>
        </w:tc>
        <w:tc>
          <w:tcPr>
            <w:tcW w:type="dxa" w:w="1440"/>
            <w:vAlign w:val="center"/>
          </w:tcPr>
          <w:p>
            <w:pPr>
              <w:spacing w:lineRule="auto" w:line="276"/>
              <w:jc w:val="center"/>
            </w:pPr>
            <w:r>
              <w:rPr>
                <w:rFonts w:ascii="Times New Roman" w:hAnsi="Times New Roman" w:eastAsia="宋体"/>
                <w:b w:val="0"/>
                <w:sz w:val="18"/>
              </w:rPr>
              <w:t>5292</w:t>
            </w:r>
          </w:p>
        </w:tc>
        <w:tc>
          <w:tcPr>
            <w:tcW w:type="dxa" w:w="2592"/>
            <w:vAlign w:val="center"/>
          </w:tcPr>
          <w:p>
            <w:pPr>
              <w:spacing w:lineRule="auto" w:line="276"/>
              <w:jc w:val="center"/>
            </w:pPr>
            <w:r>
              <w:rPr>
                <w:rFonts w:ascii="Times New Roman" w:hAnsi="Times New Roman" w:eastAsia="宋体"/>
                <w:b w:val="0"/>
                <w:sz w:val="18"/>
              </w:rPr>
              <w:t>现浇连续胸墙</w:t>
            </w:r>
          </w:p>
        </w:tc>
      </w:tr>
      <w:tr>
        <w:tc>
          <w:tcPr>
            <w:tcW w:type="dxa" w:w="2088"/>
            <w:vAlign w:val="center"/>
          </w:tcPr>
          <w:p>
            <w:pPr>
              <w:spacing w:lineRule="auto" w:line="276"/>
              <w:jc w:val="center"/>
            </w:pPr>
            <w:r>
              <w:rPr>
                <w:rFonts w:ascii="Times New Roman" w:hAnsi="Times New Roman" w:eastAsia="宋体"/>
                <w:b w:val="0"/>
                <w:sz w:val="18"/>
              </w:rPr>
              <w:t>附属设施折算</w:t>
            </w:r>
          </w:p>
        </w:tc>
        <w:tc>
          <w:tcPr>
            <w:tcW w:type="dxa" w:w="2520"/>
            <w:vAlign w:val="center"/>
          </w:tcPr>
          <w:p>
            <w:pPr>
              <w:spacing w:lineRule="auto" w:line="276"/>
              <w:jc w:val="center"/>
            </w:pPr>
            <w:r>
              <w:rPr>
                <w:rFonts w:ascii="Times New Roman" w:hAnsi="Times New Roman" w:eastAsia="宋体"/>
                <w:b w:val="0"/>
                <w:sz w:val="18"/>
              </w:rPr>
              <w:t>取500</w:t>
            </w:r>
          </w:p>
        </w:tc>
        <w:tc>
          <w:tcPr>
            <w:tcW w:type="dxa" w:w="1440"/>
            <w:vAlign w:val="center"/>
          </w:tcPr>
          <w:p>
            <w:pPr>
              <w:spacing w:lineRule="auto" w:line="276"/>
              <w:jc w:val="center"/>
            </w:pPr>
            <w:r>
              <w:rPr>
                <w:rFonts w:ascii="Times New Roman" w:hAnsi="Times New Roman" w:eastAsia="宋体"/>
                <w:b w:val="0"/>
                <w:sz w:val="18"/>
              </w:rPr>
              <w:t>500</w:t>
            </w:r>
          </w:p>
        </w:tc>
        <w:tc>
          <w:tcPr>
            <w:tcW w:type="dxa" w:w="2592"/>
            <w:vAlign w:val="center"/>
          </w:tcPr>
          <w:p>
            <w:pPr>
              <w:spacing w:lineRule="auto" w:line="276"/>
              <w:jc w:val="center"/>
            </w:pPr>
            <w:r>
              <w:rPr>
                <w:rFonts w:ascii="Times New Roman" w:hAnsi="Times New Roman" w:eastAsia="宋体"/>
                <w:b w:val="0"/>
                <w:sz w:val="18"/>
              </w:rPr>
              <w:t>护舷、系船柱等</w:t>
            </w:r>
          </w:p>
        </w:tc>
      </w:tr>
      <w:tr>
        <w:tc>
          <w:tcPr>
            <w:tcW w:type="dxa" w:w="2088"/>
            <w:vAlign w:val="center"/>
          </w:tcPr>
          <w:p>
            <w:pPr>
              <w:spacing w:lineRule="auto" w:line="276"/>
              <w:jc w:val="center"/>
            </w:pPr>
            <w:r>
              <w:rPr>
                <w:rFonts w:ascii="Times New Roman" w:hAnsi="Times New Roman" w:eastAsia="宋体"/>
                <w:b w:val="0"/>
                <w:sz w:val="18"/>
              </w:rPr>
              <w:t>竖向合力</w:t>
            </w:r>
          </w:p>
        </w:tc>
        <w:tc>
          <w:tcPr>
            <w:tcW w:type="dxa" w:w="2520"/>
            <w:vAlign w:val="center"/>
          </w:tcPr>
          <w:p>
            <w:pPr>
              <w:spacing w:lineRule="auto" w:line="276"/>
              <w:jc w:val="center"/>
            </w:pPr>
            <w:r>
              <w:rPr>
                <w:rFonts w:ascii="Times New Roman" w:hAnsi="Times New Roman" w:eastAsia="宋体"/>
                <w:b w:val="0"/>
                <w:sz w:val="18"/>
              </w:rPr>
              <w:t>ΣGi</w:t>
            </w:r>
          </w:p>
        </w:tc>
        <w:tc>
          <w:tcPr>
            <w:tcW w:type="dxa" w:w="1440"/>
            <w:vAlign w:val="center"/>
          </w:tcPr>
          <w:p>
            <w:pPr>
              <w:spacing w:lineRule="auto" w:line="276"/>
              <w:jc w:val="center"/>
            </w:pPr>
            <w:r>
              <w:rPr>
                <w:rFonts w:ascii="Times New Roman" w:hAnsi="Times New Roman" w:eastAsia="宋体"/>
                <w:b w:val="0"/>
                <w:sz w:val="18"/>
              </w:rPr>
              <w:t>69354</w:t>
            </w:r>
          </w:p>
        </w:tc>
        <w:tc>
          <w:tcPr>
            <w:tcW w:type="dxa" w:w="2592"/>
            <w:vAlign w:val="center"/>
          </w:tcPr>
          <w:p>
            <w:pPr>
              <w:spacing w:lineRule="auto" w:line="276"/>
              <w:jc w:val="center"/>
            </w:pPr>
            <w:r>
              <w:rPr>
                <w:rFonts w:ascii="Times New Roman" w:hAnsi="Times New Roman" w:eastAsia="宋体"/>
                <w:b w:val="0"/>
                <w:sz w:val="18"/>
              </w:rPr>
              <w:t>每30m结构段</w:t>
            </w:r>
          </w:p>
        </w:tc>
      </w:tr>
    </w:tbl>
    <w:p/>
    <w:p>
      <w:pPr>
        <w:spacing w:lineRule="auto" w:line="360" w:before="0" w:after="0"/>
        <w:ind w:firstLine="480"/>
      </w:pPr>
      <w:r>
        <w:rPr>
          <w:rFonts w:ascii="Times New Roman" w:hAnsi="Times New Roman" w:eastAsia="宋体"/>
          <w:sz w:val="24"/>
        </w:rPr>
        <w:t>大圆筒方案每段竖向合力约69354kN，低于沉箱方案。其优势是预制混凝土量较少，缺点是稳定重量更依赖筒内填料。若回填密实度不足，或筒内回填高度低于设计标高，抗滑和抗倾覆安全储备会下降。</w:t>
      </w:r>
    </w:p>
    <w:p>
      <w:pPr>
        <w:spacing w:lineRule="auto" w:line="360" w:before="0" w:after="0"/>
        <w:ind w:firstLine="480"/>
      </w:pPr>
      <w:r>
        <w:rPr>
          <w:rFonts w:ascii="Times New Roman" w:hAnsi="Times New Roman" w:eastAsia="宋体"/>
          <w:sz w:val="24"/>
        </w:rPr>
        <w:t>大圆筒方案每延米竖向荷载约2312kN/m，低于沉箱方案。较低的平均竖向荷载有利于降低基床平均应力，但并不代表地基处理要求一定降低，因为圆筒坐床是局部环形接触，施工误差会造成局部应力集中。</w:t>
      </w:r>
    </w:p>
    <w:p>
      <w:pPr>
        <w:spacing w:lineRule="auto" w:line="360" w:before="0" w:after="0"/>
        <w:ind w:firstLine="480"/>
      </w:pPr>
      <w:r>
        <w:rPr>
          <w:rFonts w:ascii="Times New Roman" w:hAnsi="Times New Roman" w:eastAsia="宋体"/>
          <w:sz w:val="24"/>
        </w:rPr>
        <w:t>筒内回填应在圆筒安放稳定后及时进行，回填前需检查筒底是否均匀接触基床。回填料应分层投入并尽量对称，避免在某一侧形成偏压。回填完成后，筒内顶面和胸墙底部之间的连接构造应保证上部荷载可以均匀传递。</w:t>
      </w:r>
    </w:p>
    <w:p>
      <w:pPr>
        <w:pStyle w:val="3"/>
        <w:jc w:val="left"/>
      </w:pPr>
      <w:r>
        <w:rPr>
          <w:rFonts w:ascii="Times New Roman" w:hAnsi="Times New Roman" w:eastAsia="宋体"/>
          <w:b/>
          <w:sz w:val="24"/>
        </w:rPr>
        <w:t xml:space="preserve"> 水平作用与整体稳定复核</w:t>
      </w:r>
    </w:p>
    <w:p>
      <w:pPr>
        <w:spacing w:before="120" w:after="0"/>
        <w:jc w:val="center"/>
      </w:pPr>
      <w:r>
        <w:drawing>
          <wp:inline xmlns:a="http://schemas.openxmlformats.org/drawingml/2006/main" xmlns:pic="http://schemas.openxmlformats.org/drawingml/2006/picture">
            <wp:extent cx="5349240" cy="3566160"/>
            <wp:docPr id="12" name="Picture 12"/>
            <wp:cNvGraphicFramePr>
              <a:graphicFrameLocks noChangeAspect="1"/>
            </wp:cNvGraphicFramePr>
            <a:graphic>
              <a:graphicData uri="http://schemas.openxmlformats.org/drawingml/2006/picture">
                <pic:pic>
                  <pic:nvPicPr>
                    <pic:cNvPr id="0" name="fig7-2-large-cylinder-loads-imagegen.png"/>
                    <pic:cNvPicPr/>
                  </pic:nvPicPr>
                  <pic:blipFill>
                    <a:blip r:embed="rId36"/>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图7-2 大圆筒重力式码头主要作用与稳定验算示意</w:t>
      </w:r>
    </w:p>
    <w:p>
      <w:pPr>
        <w:spacing w:lineRule="auto" w:line="360" w:before="0" w:after="0"/>
        <w:ind w:firstLine="480"/>
      </w:pPr>
      <w:r>
        <w:rPr>
          <w:rFonts w:ascii="Times New Roman" w:hAnsi="Times New Roman" w:eastAsia="宋体"/>
          <w:sz w:val="24"/>
        </w:rPr>
        <w:t>大圆筒方案墙后土压力和堆载附加土压力仍按30m结构段计算。由于筒间存在接缝，水平荷载需要通过胸墙、筒壁和筒内填料共同传递，结构整体性弱于连续沉箱。初步计算中取水平合力约19000kN，与沉箱方案处于同一量级。</w:t>
      </w:r>
    </w:p>
    <w:p>
      <w:pPr>
        <w:tabs>
          <w:tab w:pos="4100" w:val="center"/>
          <w:tab w:pos="8200" w:val="right"/>
        </w:tabs>
        <w:spacing w:lineRule="auto" w:line="360" w:before="0" w:after="0"/>
        <w:jc w:val="left"/>
      </w:pPr>
      <w:r>
        <w:tab/>
      </w:r>
      <m:oMath>
        <m:sSub>
          <m:e>
            <m:r>
              <m:t>K</m:t>
            </m:r>
          </m:e>
          <m:sub>
            <m:r>
              <m:t>s</m:t>
            </m:r>
            <m:r>
              <m:rPr>
                <m:sty m:val="p"/>
              </m:rPr>
              <m:t>,</m:t>
            </m:r>
            <m:r>
              <m:t>c</m:t>
            </m:r>
          </m:sub>
        </m:sSub>
        <m:r>
          <m:rPr>
            <m:sty m:val="p"/>
          </m:rPr>
          <m:t>=</m:t>
        </m:r>
        <m:r>
          <m:t>f</m:t>
        </m:r>
        <m:sSub>
          <m:e>
            <m:r>
              <m:t>G</m:t>
            </m:r>
          </m:e>
          <m:sub>
            <m:r>
              <m:t>c</m:t>
            </m:r>
            <m:r>
              <m:t>y</m:t>
            </m:r>
            <m:r>
              <m:t>l</m:t>
            </m:r>
          </m:sub>
        </m:sSub>
        <m:r>
          <m:rPr>
            <m:sty m:val="p"/>
          </m:rPr>
          <m:t>/</m:t>
        </m:r>
        <m:sSub>
          <m:e>
            <m:r>
              <m:t>H</m:t>
            </m:r>
          </m:e>
          <m:sub>
            <m:r>
              <m:t>c</m:t>
            </m:r>
            <m:r>
              <m:t>y</m:t>
            </m:r>
            <m:r>
              <m:t>l</m:t>
            </m:r>
          </m:sub>
        </m:sSub>
        <m:r>
          <m:rPr>
            <m:sty m:val="p"/>
          </m:rPr>
          <m:t>=</m:t>
        </m:r>
        <m:r>
          <m:t>41612</m:t>
        </m:r>
        <m:r>
          <m:rPr>
            <m:sty m:val="p"/>
          </m:rPr>
          <m:t>/</m:t>
        </m:r>
        <m:r>
          <m:t>19000</m:t>
        </m:r>
        <m:r>
          <m:rPr>
            <m:sty m:val="p"/>
          </m:rPr>
          <m:t>=</m:t>
        </m:r>
        <m:r>
          <m:t>2.19</m:t>
        </m:r>
      </m:oMath>
      <w:r>
        <w:rPr>
          <w:rFonts w:ascii="Times New Roman" w:hAnsi="Times New Roman" w:eastAsia="宋体"/>
          <w:sz w:val="24"/>
        </w:rPr>
        <w:tab/>
        <w:t>（7.21）</w:t>
      </w:r>
    </w:p>
    <w:p>
      <w:pPr>
        <w:tabs>
          <w:tab w:pos="4100" w:val="center"/>
          <w:tab w:pos="8200" w:val="right"/>
        </w:tabs>
        <w:spacing w:lineRule="auto" w:line="360" w:before="0" w:after="0"/>
        <w:jc w:val="left"/>
      </w:pPr>
      <w:r>
        <w:tab/>
      </w:r>
      <m:oMath>
        <m:sSub>
          <m:e>
            <m:r>
              <m:t>M</m:t>
            </m:r>
          </m:e>
          <m:sub>
            <m:r>
              <m:t>R</m:t>
            </m:r>
            <m:r>
              <m:rPr>
                <m:sty m:val="p"/>
              </m:rPr>
              <m:t>,</m:t>
            </m:r>
            <m:r>
              <m:t>c</m:t>
            </m:r>
          </m:sub>
        </m:sSub>
        <m:r>
          <m:rPr>
            <m:sty m:val="p"/>
          </m:rPr>
          <m:t>=</m:t>
        </m:r>
        <m:r>
          <m:rPr>
            <m:sty m:val="p"/>
          </m:rPr>
          <m:t>∑</m:t>
        </m:r>
        <m:sSub>
          <m:e>
            <m:r>
              <m:t>G</m:t>
            </m:r>
          </m:e>
          <m:sub>
            <m:r>
              <m:t>i</m:t>
            </m:r>
          </m:sub>
        </m:sSub>
        <m:sSub>
          <m:e>
            <m:r>
              <m:t>x</m:t>
            </m:r>
          </m:e>
          <m:sub>
            <m:r>
              <m:t>i</m:t>
            </m:r>
          </m:sub>
        </m:sSub>
        <m:r>
          <m:rPr>
            <m:sty m:val="p"/>
          </m:rPr>
          <m:t>≈</m:t>
        </m:r>
        <m:r>
          <m:t>507000</m:t>
        </m:r>
        <m:r>
          <m:t> </m:t>
        </m:r>
        <m:r>
          <m:t>k</m:t>
        </m:r>
        <m:r>
          <m:t>N</m:t>
        </m:r>
        <m:r>
          <m:rPr>
            <m:sty m:val="p"/>
          </m:rPr>
          <m:t>⋅</m:t>
        </m:r>
        <m:r>
          <m:t>m</m:t>
        </m:r>
      </m:oMath>
      <w:r>
        <w:rPr>
          <w:rFonts w:ascii="Times New Roman" w:hAnsi="Times New Roman" w:eastAsia="宋体"/>
          <w:sz w:val="24"/>
        </w:rPr>
        <w:tab/>
        <w:t>（7.22）</w:t>
      </w:r>
    </w:p>
    <w:p>
      <w:pPr>
        <w:tabs>
          <w:tab w:pos="4100" w:val="center"/>
          <w:tab w:pos="8200" w:val="right"/>
        </w:tabs>
        <w:spacing w:lineRule="auto" w:line="360" w:before="0" w:after="0"/>
        <w:jc w:val="left"/>
      </w:pPr>
      <w:r>
        <w:tab/>
      </w:r>
      <m:oMath>
        <m:sSub>
          <m:e>
            <m:r>
              <m:t>K</m:t>
            </m:r>
          </m:e>
          <m:sub>
            <m:r>
              <m:t>o</m:t>
            </m:r>
            <m:r>
              <m:rPr>
                <m:sty m:val="p"/>
              </m:rPr>
              <m:t>,</m:t>
            </m:r>
            <m:r>
              <m:t>c</m:t>
            </m:r>
          </m:sub>
        </m:sSub>
        <m:r>
          <m:rPr>
            <m:sty m:val="p"/>
          </m:rPr>
          <m:t>=</m:t>
        </m:r>
        <m:sSub>
          <m:e>
            <m:r>
              <m:t>M</m:t>
            </m:r>
          </m:e>
          <m:sub>
            <m:r>
              <m:t>R</m:t>
            </m:r>
            <m:r>
              <m:rPr>
                <m:sty m:val="p"/>
              </m:rPr>
              <m:t>,</m:t>
            </m:r>
            <m:r>
              <m:t>c</m:t>
            </m:r>
          </m:sub>
        </m:sSub>
        <m:r>
          <m:rPr>
            <m:sty m:val="p"/>
          </m:rPr>
          <m:t>/</m:t>
        </m:r>
        <m:sSub>
          <m:e>
            <m:r>
              <m:t>M</m:t>
            </m:r>
          </m:e>
          <m:sub>
            <m:r>
              <m:t>O</m:t>
            </m:r>
            <m:r>
              <m:rPr>
                <m:sty m:val="p"/>
              </m:rPr>
              <m:t>,</m:t>
            </m:r>
            <m:r>
              <m:t>c</m:t>
            </m:r>
          </m:sub>
        </m:sSub>
        <m:r>
          <m:rPr>
            <m:sty m:val="p"/>
          </m:rPr>
          <m:t>=</m:t>
        </m:r>
        <m:r>
          <m:t>507000</m:t>
        </m:r>
        <m:r>
          <m:rPr>
            <m:sty m:val="p"/>
          </m:rPr>
          <m:t>/</m:t>
        </m:r>
        <m:r>
          <m:t>128000</m:t>
        </m:r>
        <m:r>
          <m:rPr>
            <m:sty m:val="p"/>
          </m:rPr>
          <m:t>=</m:t>
        </m:r>
        <m:r>
          <m:t>3.96</m:t>
        </m:r>
      </m:oMath>
      <w:r>
        <w:rPr>
          <w:rFonts w:ascii="Times New Roman" w:hAnsi="Times New Roman" w:eastAsia="宋体"/>
          <w:sz w:val="24"/>
        </w:rPr>
        <w:tab/>
        <w:t>（7.23）</w:t>
      </w:r>
    </w:p>
    <w:p>
      <w:pPr>
        <w:spacing w:lineRule="auto" w:line="360" w:before="0" w:after="0"/>
        <w:ind w:firstLine="480"/>
      </w:pPr>
      <w:r>
        <w:rPr>
          <w:rFonts w:ascii="Times New Roman" w:hAnsi="Times New Roman" w:eastAsia="宋体"/>
          <w:sz w:val="24"/>
        </w:rPr>
        <w:t>计算结果显示，大圆筒方案抗滑安全系数2.19、抗倾覆安全系数3.96，均大于常用控制值。虽然整体稳定满足要求，但安全储备低于沉箱方案，且筒间连接和坐床状态对实际受力影响更敏感。</w:t>
      </w:r>
    </w:p>
    <w:p>
      <w:pPr>
        <w:pStyle w:val="3"/>
        <w:jc w:val="left"/>
      </w:pPr>
      <w:r>
        <w:rPr>
          <w:rFonts w:ascii="Times New Roman" w:hAnsi="Times New Roman" w:eastAsia="宋体"/>
          <w:b/>
          <w:sz w:val="24"/>
        </w:rPr>
        <w:t xml:space="preserve"> 坐床应力、接缝与施工控制</w:t>
      </w:r>
    </w:p>
    <w:p>
      <w:pPr>
        <w:spacing w:lineRule="auto" w:line="360" w:before="0" w:after="0"/>
        <w:ind w:firstLine="480"/>
      </w:pPr>
      <w:r>
        <w:rPr>
          <w:rFonts w:ascii="Times New Roman" w:hAnsi="Times New Roman" w:eastAsia="宋体"/>
          <w:sz w:val="24"/>
        </w:rPr>
        <w:t>大圆筒方案的基床应力不能只看30m段平均值。由于圆筒底部为离散环形坐床，局部不平整会使筒底接触应力集中。初步计算仍按等效基底宽度进行整体估算，同时在文字中提出施工控制要求。</w:t>
      </w:r>
    </w:p>
    <w:p>
      <w:pPr>
        <w:tabs>
          <w:tab w:pos="4100" w:val="center"/>
          <w:tab w:pos="8200" w:val="right"/>
        </w:tabs>
        <w:spacing w:lineRule="auto" w:line="360" w:before="0" w:after="0"/>
        <w:jc w:val="left"/>
      </w:pPr>
      <w:r>
        <w:tab/>
      </w:r>
      <m:oMath>
        <m:sSub>
          <m:e>
            <m:r>
              <m:t>e</m:t>
            </m:r>
          </m:e>
          <m:sub>
            <m:r>
              <m:t>c</m:t>
            </m:r>
          </m:sub>
        </m:sSub>
        <m:r>
          <m:rPr>
            <m:sty m:val="p"/>
          </m:rPr>
          <m:t>=</m:t>
        </m:r>
        <m:sSub>
          <m:e>
            <m:r>
              <m:t>B</m:t>
            </m:r>
          </m:e>
          <m:sub>
            <m:r>
              <m:t>c</m:t>
            </m:r>
          </m:sub>
        </m:sSub>
        <m:r>
          <m:rPr>
            <m:sty m:val="p"/>
          </m:rPr>
          <m:t>/</m:t>
        </m:r>
        <m:r>
          <m:t>2</m:t>
        </m:r>
        <m:r>
          <m:rPr>
            <m:sty m:val="p"/>
          </m:rPr>
          <m:t>−</m:t>
        </m:r>
        <m:r>
          <m:rPr>
            <m:sty m:val="p"/>
          </m:rPr>
          <m:t>(</m:t>
        </m:r>
        <m:sSub>
          <m:e>
            <m:r>
              <m:t>M</m:t>
            </m:r>
          </m:e>
          <m:sub>
            <m:r>
              <m:t>R</m:t>
            </m:r>
            <m:r>
              <m:rPr>
                <m:sty m:val="p"/>
              </m:rPr>
              <m:t>,</m:t>
            </m:r>
            <m:r>
              <m:t>c</m:t>
            </m:r>
          </m:sub>
        </m:sSub>
        <m:r>
          <m:rPr>
            <m:sty m:val="p"/>
          </m:rPr>
          <m:t>−</m:t>
        </m:r>
        <m:sSub>
          <m:e>
            <m:r>
              <m:t>M</m:t>
            </m:r>
          </m:e>
          <m:sub>
            <m:r>
              <m:t>O</m:t>
            </m:r>
            <m:r>
              <m:rPr>
                <m:sty m:val="p"/>
              </m:rPr>
              <m:t>,</m:t>
            </m:r>
            <m:r>
              <m:t>c</m:t>
            </m:r>
          </m:sub>
        </m:sSub>
        <m:r>
          <m:rPr>
            <m:sty m:val="p"/>
          </m:rPr>
          <m:t>)</m:t>
        </m:r>
        <m:r>
          <m:rPr>
            <m:sty m:val="p"/>
          </m:rPr>
          <m:t>/</m:t>
        </m:r>
        <m:sSub>
          <m:e>
            <m:r>
              <m:t>G</m:t>
            </m:r>
          </m:e>
          <m:sub>
            <m:r>
              <m:t>c</m:t>
            </m:r>
            <m:r>
              <m:t>y</m:t>
            </m:r>
            <m:r>
              <m:t>l</m:t>
            </m:r>
          </m:sub>
        </m:sSub>
        <m:r>
          <m:rPr>
            <m:sty m:val="p"/>
          </m:rPr>
          <m:t>≈</m:t>
        </m:r>
        <m:r>
          <m:t>1.75</m:t>
        </m:r>
        <m:r>
          <m:t> </m:t>
        </m:r>
        <m:r>
          <m:t>m</m:t>
        </m:r>
      </m:oMath>
      <w:r>
        <w:rPr>
          <w:rFonts w:ascii="Times New Roman" w:hAnsi="Times New Roman" w:eastAsia="宋体"/>
          <w:sz w:val="24"/>
        </w:rPr>
        <w:tab/>
        <w:t>（7.24）</w:t>
      </w:r>
    </w:p>
    <w:p>
      <w:pPr>
        <w:tabs>
          <w:tab w:pos="4100" w:val="center"/>
          <w:tab w:pos="8200" w:val="right"/>
        </w:tabs>
        <w:spacing w:lineRule="auto" w:line="360" w:before="0" w:after="0"/>
        <w:jc w:val="left"/>
      </w:pPr>
      <w:r>
        <w:tab/>
      </w:r>
      <m:oMath>
        <m:sSub>
          <m:e>
            <m:r>
              <m:t>σ</m:t>
            </m:r>
          </m:e>
          <m:sub>
            <m:r>
              <m:t>m</m:t>
            </m:r>
            <m:r>
              <m:t>a</m:t>
            </m:r>
            <m:r>
              <m:t>x</m:t>
            </m:r>
            <m:r>
              <m:rPr>
                <m:sty m:val="p"/>
              </m:rPr>
              <m:t>,</m:t>
            </m:r>
            <m:r>
              <m:t>c</m:t>
            </m:r>
          </m:sub>
        </m:sSub>
        <m:r>
          <m:rPr>
            <m:sty m:val="p"/>
          </m:rPr>
          <m:t>=</m:t>
        </m:r>
        <m:sSub>
          <m:e>
            <m:r>
              <m:t>G</m:t>
            </m:r>
          </m:e>
          <m:sub>
            <m:r>
              <m:t>c</m:t>
            </m:r>
            <m:r>
              <m:t>y</m:t>
            </m:r>
            <m:r>
              <m:t>l</m:t>
            </m:r>
          </m:sub>
        </m:sSub>
        <m:r>
          <m:rPr>
            <m:sty m:val="p"/>
          </m:rPr>
          <m:t>/</m:t>
        </m:r>
        <m:r>
          <m:rPr>
            <m:sty m:val="p"/>
          </m:rPr>
          <m:t>(</m:t>
        </m:r>
        <m:r>
          <m:t>l</m:t>
        </m:r>
        <m:sSub>
          <m:e>
            <m:r>
              <m:t>B</m:t>
            </m:r>
          </m:e>
          <m:sub>
            <m:r>
              <m:t>c</m:t>
            </m:r>
          </m:sub>
        </m:sSub>
        <m:r>
          <m:rPr>
            <m:sty m:val="p"/>
          </m:rPr>
          <m:t>)</m:t>
        </m:r>
        <m:r>
          <m:rPr>
            <m:sty m:val="p"/>
          </m:rPr>
          <m:t>(</m:t>
        </m:r>
        <m:r>
          <m:t>1</m:t>
        </m:r>
        <m:r>
          <m:rPr>
            <m:sty m:val="p"/>
          </m:rPr>
          <m:t>+</m:t>
        </m:r>
        <m:r>
          <m:t>6</m:t>
        </m:r>
        <m:sSub>
          <m:e>
            <m:r>
              <m:t>e</m:t>
            </m:r>
          </m:e>
          <m:sub>
            <m:r>
              <m:t>c</m:t>
            </m:r>
          </m:sub>
        </m:sSub>
        <m:r>
          <m:rPr>
            <m:sty m:val="p"/>
          </m:rPr>
          <m:t>/</m:t>
        </m:r>
        <m:sSub>
          <m:e>
            <m:r>
              <m:t>B</m:t>
            </m:r>
          </m:e>
          <m:sub>
            <m:r>
              <m:t>c</m:t>
            </m:r>
          </m:sub>
        </m:sSub>
        <m:r>
          <m:rPr>
            <m:sty m:val="p"/>
          </m:rPr>
          <m:t>)</m:t>
        </m:r>
        <m:r>
          <m:rPr>
            <m:sty m:val="p"/>
          </m:rPr>
          <m:t>≈</m:t>
        </m:r>
        <m:r>
          <m:t>273</m:t>
        </m:r>
        <m:r>
          <m:t> </m:t>
        </m:r>
        <m:r>
          <m:t>k</m:t>
        </m:r>
        <m:r>
          <m:t>P</m:t>
        </m:r>
        <m:r>
          <m:t>a</m:t>
        </m:r>
      </m:oMath>
      <w:r>
        <w:rPr>
          <w:rFonts w:ascii="Times New Roman" w:hAnsi="Times New Roman" w:eastAsia="宋体"/>
          <w:sz w:val="24"/>
        </w:rPr>
        <w:tab/>
        <w:t>（7.25）</w:t>
      </w:r>
    </w:p>
    <w:p>
      <w:pPr>
        <w:tabs>
          <w:tab w:pos="4100" w:val="center"/>
          <w:tab w:pos="8200" w:val="right"/>
        </w:tabs>
        <w:spacing w:lineRule="auto" w:line="360" w:before="0" w:after="0"/>
        <w:jc w:val="left"/>
      </w:pPr>
      <w:r>
        <w:tab/>
      </w:r>
      <m:oMath>
        <m:sSub>
          <m:e>
            <m:r>
              <m:t>σ</m:t>
            </m:r>
          </m:e>
          <m:sub>
            <m:r>
              <m:t>m</m:t>
            </m:r>
            <m:r>
              <m:t>i</m:t>
            </m:r>
            <m:r>
              <m:t>n</m:t>
            </m:r>
            <m:r>
              <m:rPr>
                <m:sty m:val="p"/>
              </m:rPr>
              <m:t>,</m:t>
            </m:r>
            <m:r>
              <m:t>c</m:t>
            </m:r>
          </m:sub>
        </m:sSub>
        <m:r>
          <m:rPr>
            <m:sty m:val="p"/>
          </m:rPr>
          <m:t>=</m:t>
        </m:r>
        <m:sSub>
          <m:e>
            <m:r>
              <m:t>G</m:t>
            </m:r>
          </m:e>
          <m:sub>
            <m:r>
              <m:t>c</m:t>
            </m:r>
            <m:r>
              <m:t>y</m:t>
            </m:r>
            <m:r>
              <m:t>l</m:t>
            </m:r>
          </m:sub>
        </m:sSub>
        <m:r>
          <m:rPr>
            <m:sty m:val="p"/>
          </m:rPr>
          <m:t>/</m:t>
        </m:r>
        <m:r>
          <m:rPr>
            <m:sty m:val="p"/>
          </m:rPr>
          <m:t>(</m:t>
        </m:r>
        <m:r>
          <m:t>l</m:t>
        </m:r>
        <m:sSub>
          <m:e>
            <m:r>
              <m:t>B</m:t>
            </m:r>
          </m:e>
          <m:sub>
            <m:r>
              <m:t>c</m:t>
            </m:r>
          </m:sub>
        </m:sSub>
        <m:r>
          <m:rPr>
            <m:sty m:val="p"/>
          </m:rPr>
          <m:t>)</m:t>
        </m:r>
        <m:r>
          <m:rPr>
            <m:sty m:val="p"/>
          </m:rPr>
          <m:t>(</m:t>
        </m:r>
        <m:r>
          <m:t>1</m:t>
        </m:r>
        <m:r>
          <m:rPr>
            <m:sty m:val="p"/>
          </m:rPr>
          <m:t>−</m:t>
        </m:r>
        <m:r>
          <m:t>6</m:t>
        </m:r>
        <m:sSub>
          <m:e>
            <m:r>
              <m:t>e</m:t>
            </m:r>
          </m:e>
          <m:sub>
            <m:r>
              <m:t>c</m:t>
            </m:r>
          </m:sub>
        </m:sSub>
        <m:r>
          <m:rPr>
            <m:sty m:val="p"/>
          </m:rPr>
          <m:t>/</m:t>
        </m:r>
        <m:sSub>
          <m:e>
            <m:r>
              <m:t>B</m:t>
            </m:r>
          </m:e>
          <m:sub>
            <m:r>
              <m:t>c</m:t>
            </m:r>
          </m:sub>
        </m:sSub>
        <m:r>
          <m:rPr>
            <m:sty m:val="p"/>
          </m:rPr>
          <m:t>)</m:t>
        </m:r>
        <m:r>
          <m:rPr>
            <m:sty m:val="p"/>
          </m:rPr>
          <m:t>≈</m:t>
        </m:r>
        <m:r>
          <m:t>44</m:t>
        </m:r>
        <m:r>
          <m:t> </m:t>
        </m:r>
        <m:r>
          <m:t>k</m:t>
        </m:r>
        <m:r>
          <m:t>P</m:t>
        </m:r>
        <m:r>
          <m:t>a</m:t>
        </m:r>
      </m:oMath>
      <w:r>
        <w:rPr>
          <w:rFonts w:ascii="Times New Roman" w:hAnsi="Times New Roman" w:eastAsia="宋体"/>
          <w:sz w:val="24"/>
        </w:rPr>
        <w:tab/>
        <w:t>（7.26）</w:t>
      </w:r>
    </w:p>
    <w:p>
      <w:pPr>
        <w:keepNext/>
        <w:spacing w:lineRule="auto" w:line="300" w:before="0" w:after="120"/>
        <w:jc w:val="center"/>
      </w:pPr>
      <w:r>
        <w:rPr>
          <w:rFonts w:ascii="Times New Roman" w:hAnsi="Times New Roman" w:eastAsia="宋体"/>
          <w:b w:val="0"/>
          <w:sz w:val="20"/>
        </w:rPr>
        <w:t>表7-9 大圆筒方案稳定计算结果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76"/>
        <w:gridCol w:w="2376"/>
        <w:gridCol w:w="1944"/>
        <w:gridCol w:w="1512"/>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验算项目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计算结果</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控制值</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结论</w:t>
            </w:r>
          </w:p>
        </w:tc>
      </w:tr>
      <w:tr>
        <w:tc>
          <w:tcPr>
            <w:tcW w:type="dxa" w:w="2376"/>
            <w:vAlign w:val="center"/>
          </w:tcPr>
          <w:p>
            <w:pPr>
              <w:spacing w:lineRule="auto" w:line="276"/>
              <w:jc w:val="center"/>
            </w:pPr>
            <w:r>
              <w:rPr>
                <w:rFonts w:ascii="Times New Roman" w:hAnsi="Times New Roman" w:eastAsia="宋体"/>
                <w:b w:val="0"/>
                <w:sz w:val="18"/>
              </w:rPr>
              <w:t>水平合力Hc</w:t>
            </w:r>
          </w:p>
        </w:tc>
        <w:tc>
          <w:tcPr>
            <w:tcW w:type="dxa" w:w="2376"/>
            <w:vAlign w:val="center"/>
          </w:tcPr>
          <w:p>
            <w:pPr>
              <w:spacing w:lineRule="auto" w:line="276"/>
              <w:jc w:val="center"/>
            </w:pPr>
            <w:r>
              <w:rPr>
                <w:rFonts w:ascii="Times New Roman" w:hAnsi="Times New Roman" w:eastAsia="宋体"/>
                <w:b w:val="0"/>
                <w:sz w:val="18"/>
              </w:rPr>
              <w:t>约19000kN</w:t>
            </w:r>
          </w:p>
        </w:tc>
        <w:tc>
          <w:tcPr>
            <w:tcW w:type="dxa" w:w="1944"/>
            <w:vAlign w:val="center"/>
          </w:tcPr>
          <w:p>
            <w:pPr>
              <w:spacing w:lineRule="auto" w:line="276"/>
              <w:jc w:val="center"/>
            </w:pPr>
            <w:r>
              <w:rPr>
                <w:rFonts w:ascii="Times New Roman" w:hAnsi="Times New Roman" w:eastAsia="宋体"/>
                <w:b w:val="0"/>
                <w:sz w:val="18"/>
              </w:rPr>
              <w:t>-</w:t>
            </w:r>
          </w:p>
        </w:tc>
        <w:tc>
          <w:tcPr>
            <w:tcW w:type="dxa" w:w="1512"/>
            <w:vAlign w:val="center"/>
          </w:tcPr>
          <w:p>
            <w:pPr>
              <w:spacing w:lineRule="auto" w:line="276"/>
              <w:jc w:val="center"/>
            </w:pPr>
            <w:r>
              <w:rPr>
                <w:rFonts w:ascii="Times New Roman" w:hAnsi="Times New Roman" w:eastAsia="宋体"/>
                <w:b w:val="0"/>
                <w:sz w:val="18"/>
              </w:rPr>
              <w:t>用于稳定计算</w:t>
            </w:r>
          </w:p>
        </w:tc>
      </w:tr>
      <w:tr>
        <w:tc>
          <w:tcPr>
            <w:tcW w:type="dxa" w:w="2376"/>
            <w:vAlign w:val="center"/>
          </w:tcPr>
          <w:p>
            <w:pPr>
              <w:spacing w:lineRule="auto" w:line="276"/>
              <w:jc w:val="center"/>
            </w:pPr>
            <w:r>
              <w:rPr>
                <w:rFonts w:ascii="Times New Roman" w:hAnsi="Times New Roman" w:eastAsia="宋体"/>
                <w:b w:val="0"/>
                <w:sz w:val="18"/>
              </w:rPr>
              <w:t>抗滑安全系数Ks,c</w:t>
            </w:r>
          </w:p>
        </w:tc>
        <w:tc>
          <w:tcPr>
            <w:tcW w:type="dxa" w:w="2376"/>
            <w:vAlign w:val="center"/>
          </w:tcPr>
          <w:p>
            <w:pPr>
              <w:spacing w:lineRule="auto" w:line="276"/>
              <w:jc w:val="center"/>
            </w:pPr>
            <w:r>
              <w:rPr>
                <w:rFonts w:ascii="Times New Roman" w:hAnsi="Times New Roman" w:eastAsia="宋体"/>
                <w:b w:val="0"/>
                <w:sz w:val="18"/>
              </w:rPr>
              <w:t>2.19</w:t>
            </w:r>
          </w:p>
        </w:tc>
        <w:tc>
          <w:tcPr>
            <w:tcW w:type="dxa" w:w="1944"/>
            <w:vAlign w:val="center"/>
          </w:tcPr>
          <w:p>
            <w:pPr>
              <w:spacing w:lineRule="auto" w:line="276"/>
              <w:jc w:val="center"/>
            </w:pPr>
            <w:r>
              <w:rPr>
                <w:rFonts w:ascii="Times New Roman" w:hAnsi="Times New Roman" w:eastAsia="宋体"/>
                <w:b w:val="0"/>
                <w:sz w:val="18"/>
              </w:rPr>
              <w:t>≥1.30</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抗倾覆安全系数Ko,c</w:t>
            </w:r>
          </w:p>
        </w:tc>
        <w:tc>
          <w:tcPr>
            <w:tcW w:type="dxa" w:w="2376"/>
            <w:vAlign w:val="center"/>
          </w:tcPr>
          <w:p>
            <w:pPr>
              <w:spacing w:lineRule="auto" w:line="276"/>
              <w:jc w:val="center"/>
            </w:pPr>
            <w:r>
              <w:rPr>
                <w:rFonts w:ascii="Times New Roman" w:hAnsi="Times New Roman" w:eastAsia="宋体"/>
                <w:b w:val="0"/>
                <w:sz w:val="18"/>
              </w:rPr>
              <w:t>3.96</w:t>
            </w:r>
          </w:p>
        </w:tc>
        <w:tc>
          <w:tcPr>
            <w:tcW w:type="dxa" w:w="1944"/>
            <w:vAlign w:val="center"/>
          </w:tcPr>
          <w:p>
            <w:pPr>
              <w:spacing w:lineRule="auto" w:line="276"/>
              <w:jc w:val="center"/>
            </w:pPr>
            <w:r>
              <w:rPr>
                <w:rFonts w:ascii="Times New Roman" w:hAnsi="Times New Roman" w:eastAsia="宋体"/>
                <w:b w:val="0"/>
                <w:sz w:val="18"/>
              </w:rPr>
              <w:t>≥1.50</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合力偏心距ec</w:t>
            </w:r>
          </w:p>
        </w:tc>
        <w:tc>
          <w:tcPr>
            <w:tcW w:type="dxa" w:w="2376"/>
            <w:vAlign w:val="center"/>
          </w:tcPr>
          <w:p>
            <w:pPr>
              <w:spacing w:lineRule="auto" w:line="276"/>
              <w:jc w:val="center"/>
            </w:pPr>
            <w:r>
              <w:rPr>
                <w:rFonts w:ascii="Times New Roman" w:hAnsi="Times New Roman" w:eastAsia="宋体"/>
                <w:b w:val="0"/>
                <w:sz w:val="18"/>
              </w:rPr>
              <w:t>1.75m</w:t>
            </w:r>
          </w:p>
        </w:tc>
        <w:tc>
          <w:tcPr>
            <w:tcW w:type="dxa" w:w="1944"/>
            <w:vAlign w:val="center"/>
          </w:tcPr>
          <w:p>
            <w:pPr>
              <w:spacing w:lineRule="auto" w:line="276"/>
              <w:jc w:val="center"/>
            </w:pPr>
            <w:r>
              <w:rPr>
                <w:rFonts w:ascii="Times New Roman" w:hAnsi="Times New Roman" w:eastAsia="宋体"/>
                <w:b w:val="0"/>
                <w:sz w:val="18"/>
              </w:rPr>
              <w:t>≤Bc/6=2.42m</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最大基床应力σmax,c</w:t>
            </w:r>
          </w:p>
        </w:tc>
        <w:tc>
          <w:tcPr>
            <w:tcW w:type="dxa" w:w="2376"/>
            <w:vAlign w:val="center"/>
          </w:tcPr>
          <w:p>
            <w:pPr>
              <w:spacing w:lineRule="auto" w:line="276"/>
              <w:jc w:val="center"/>
            </w:pPr>
            <w:r>
              <w:rPr>
                <w:rFonts w:ascii="Times New Roman" w:hAnsi="Times New Roman" w:eastAsia="宋体"/>
                <w:b w:val="0"/>
                <w:sz w:val="18"/>
              </w:rPr>
              <w:t>约273kPa</w:t>
            </w:r>
          </w:p>
        </w:tc>
        <w:tc>
          <w:tcPr>
            <w:tcW w:type="dxa" w:w="1944"/>
            <w:vAlign w:val="center"/>
          </w:tcPr>
          <w:p>
            <w:pPr>
              <w:spacing w:lineRule="auto" w:line="276"/>
              <w:jc w:val="center"/>
            </w:pPr>
            <w:r>
              <w:rPr>
                <w:rFonts w:ascii="Times New Roman" w:hAnsi="Times New Roman" w:eastAsia="宋体"/>
                <w:b w:val="0"/>
                <w:sz w:val="18"/>
              </w:rPr>
              <w:t>≤550kPa</w:t>
            </w:r>
          </w:p>
        </w:tc>
        <w:tc>
          <w:tcPr>
            <w:tcW w:type="dxa" w:w="1512"/>
            <w:vAlign w:val="center"/>
          </w:tcPr>
          <w:p>
            <w:pPr>
              <w:spacing w:lineRule="auto" w:line="276"/>
              <w:jc w:val="center"/>
            </w:pPr>
            <w:r>
              <w:rPr>
                <w:rFonts w:ascii="Times New Roman" w:hAnsi="Times New Roman" w:eastAsia="宋体"/>
                <w:b w:val="0"/>
                <w:sz w:val="18"/>
              </w:rPr>
              <w:t>满足</w:t>
            </w:r>
          </w:p>
        </w:tc>
      </w:tr>
      <w:tr>
        <w:tc>
          <w:tcPr>
            <w:tcW w:type="dxa" w:w="2376"/>
            <w:vAlign w:val="center"/>
          </w:tcPr>
          <w:p>
            <w:pPr>
              <w:spacing w:lineRule="auto" w:line="276"/>
              <w:jc w:val="center"/>
            </w:pPr>
            <w:r>
              <w:rPr>
                <w:rFonts w:ascii="Times New Roman" w:hAnsi="Times New Roman" w:eastAsia="宋体"/>
                <w:b w:val="0"/>
                <w:sz w:val="18"/>
              </w:rPr>
              <w:t>最小基床应力σmin,c</w:t>
            </w:r>
          </w:p>
        </w:tc>
        <w:tc>
          <w:tcPr>
            <w:tcW w:type="dxa" w:w="2376"/>
            <w:vAlign w:val="center"/>
          </w:tcPr>
          <w:p>
            <w:pPr>
              <w:spacing w:lineRule="auto" w:line="276"/>
              <w:jc w:val="center"/>
            </w:pPr>
            <w:r>
              <w:rPr>
                <w:rFonts w:ascii="Times New Roman" w:hAnsi="Times New Roman" w:eastAsia="宋体"/>
                <w:b w:val="0"/>
                <w:sz w:val="18"/>
              </w:rPr>
              <w:t>约44kPa</w:t>
            </w:r>
          </w:p>
        </w:tc>
        <w:tc>
          <w:tcPr>
            <w:tcW w:type="dxa" w:w="1944"/>
            <w:vAlign w:val="center"/>
          </w:tcPr>
          <w:p>
            <w:pPr>
              <w:spacing w:lineRule="auto" w:line="276"/>
              <w:jc w:val="center"/>
            </w:pPr>
            <w:r>
              <w:rPr>
                <w:rFonts w:ascii="Times New Roman" w:hAnsi="Times New Roman" w:eastAsia="宋体"/>
                <w:b w:val="0"/>
                <w:sz w:val="18"/>
              </w:rPr>
              <w:t>≥0</w:t>
            </w:r>
          </w:p>
        </w:tc>
        <w:tc>
          <w:tcPr>
            <w:tcW w:type="dxa" w:w="1512"/>
            <w:vAlign w:val="center"/>
          </w:tcPr>
          <w:p>
            <w:pPr>
              <w:spacing w:lineRule="auto" w:line="276"/>
              <w:jc w:val="center"/>
            </w:pPr>
            <w:r>
              <w:rPr>
                <w:rFonts w:ascii="Times New Roman" w:hAnsi="Times New Roman" w:eastAsia="宋体"/>
                <w:b w:val="0"/>
                <w:sz w:val="18"/>
              </w:rPr>
              <w:t>满足</w:t>
            </w:r>
          </w:p>
        </w:tc>
      </w:tr>
    </w:tbl>
    <w:p/>
    <w:p>
      <w:pPr>
        <w:spacing w:lineRule="auto" w:line="360" w:before="0" w:after="0"/>
        <w:ind w:firstLine="480"/>
      </w:pPr>
      <w:r>
        <w:rPr>
          <w:rFonts w:ascii="Times New Roman" w:hAnsi="Times New Roman" w:eastAsia="宋体"/>
          <w:sz w:val="24"/>
        </w:rPr>
        <w:t>大圆筒坐床施工应控制三项指标：基床整平误差、圆筒垂直度和筒间缝处理。圆筒安放后应及时回填并设置临时稳定措施，防止风浪和潮流造成偏移。筒间倒滤层应连续、密实，土工布搭接长度和块石级配需满足防止细料流失的要求。</w:t>
      </w:r>
    </w:p>
    <w:p>
      <w:pPr>
        <w:spacing w:lineRule="auto" w:line="360" w:before="0" w:after="0"/>
        <w:ind w:firstLine="480"/>
      </w:pPr>
      <w:r>
        <w:rPr>
          <w:rFonts w:ascii="Times New Roman" w:hAnsi="Times New Roman" w:eastAsia="宋体"/>
          <w:sz w:val="24"/>
        </w:rPr>
        <w:t>筒间接缝是大圆筒方案区别于沉箱方案的主要维护风险。接缝位置既要抵抗后方细料流失，也要适应相邻圆筒可能产生的微小差异沉降。初步设计图纸中应明确倒滤层范围、土工布搭接、块石级配和胸墙连接做法，施工图阶段还应补充节点详图。</w:t>
      </w:r>
    </w:p>
    <w:p>
      <w:pPr>
        <w:spacing w:lineRule="auto" w:line="360" w:before="0" w:after="0"/>
        <w:ind w:firstLine="480"/>
      </w:pPr>
      <w:r>
        <w:rPr>
          <w:rFonts w:ascii="Times New Roman" w:hAnsi="Times New Roman" w:eastAsia="宋体"/>
          <w:sz w:val="24"/>
        </w:rPr>
        <w:t>若采用大圆筒方案施工，质量控制记录应包括基床整平测量成果、圆筒安放偏差、筒内回填高程、胸墙浇筑前沉降观测和接缝处理隐蔽验收。上述记录直接关系到运营期是否会出现筒后空洞、场地沉陷和胸墙裂缝。</w:t>
      </w:r>
    </w:p>
    <w:p>
      <w:pPr>
        <w:pStyle w:val="2"/>
        <w:jc w:val="left"/>
      </w:pPr>
      <w:r>
        <w:rPr>
          <w:rFonts w:ascii="Times New Roman" w:hAnsi="Times New Roman" w:eastAsia="宋体"/>
          <w:b/>
          <w:sz w:val="24"/>
        </w:rPr>
        <w:t xml:space="preserve"> 两种结构计算结果比较与推荐</w:t>
      </w:r>
    </w:p>
    <w:p>
      <w:pPr>
        <w:spacing w:lineRule="auto" w:line="360" w:before="0" w:after="0"/>
        <w:ind w:firstLine="480"/>
      </w:pPr>
      <w:r>
        <w:rPr>
          <w:rFonts w:ascii="Times New Roman" w:hAnsi="Times New Roman" w:eastAsia="宋体"/>
          <w:sz w:val="24"/>
        </w:rPr>
        <w:t>两种结构在相同工况下均满足整体稳定要求，但计算结果体现出不同的工程特征。沉箱方案竖向合力大，抗滑和抗倾覆安全储备高，基底连续，接缝少；大圆筒方案预制混凝土量小，构件形式较简单，但稳定重量依赖回填，坐床和筒间防漏控制要求更高。</w:t>
      </w:r>
    </w:p>
    <w:p>
      <w:pPr>
        <w:keepNext/>
        <w:spacing w:lineRule="auto" w:line="300" w:before="0" w:after="120"/>
        <w:jc w:val="center"/>
      </w:pPr>
      <w:r>
        <w:rPr>
          <w:rFonts w:ascii="Times New Roman" w:hAnsi="Times New Roman" w:eastAsia="宋体"/>
          <w:b w:val="0"/>
          <w:sz w:val="20"/>
        </w:rPr>
        <w:t>表7-10 两种结构方案主要计算结果比较</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944"/>
        <w:gridCol w:w="2088"/>
        <w:gridCol w:w="2088"/>
        <w:gridCol w:w="2520"/>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比较项目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沉箱方案</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大圆筒方案</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评价</w:t>
            </w:r>
          </w:p>
        </w:tc>
      </w:tr>
      <w:tr>
        <w:tc>
          <w:tcPr>
            <w:tcW w:type="dxa" w:w="1944"/>
            <w:vAlign w:val="center"/>
          </w:tcPr>
          <w:p>
            <w:pPr>
              <w:spacing w:lineRule="auto" w:line="276"/>
              <w:jc w:val="center"/>
            </w:pPr>
            <w:r>
              <w:rPr>
                <w:rFonts w:ascii="Times New Roman" w:hAnsi="Times New Roman" w:eastAsia="宋体"/>
                <w:b w:val="0"/>
                <w:sz w:val="18"/>
              </w:rPr>
              <w:t>竖向合力</w:t>
            </w:r>
          </w:p>
        </w:tc>
        <w:tc>
          <w:tcPr>
            <w:tcW w:type="dxa" w:w="2088"/>
            <w:vAlign w:val="center"/>
          </w:tcPr>
          <w:p>
            <w:pPr>
              <w:spacing w:lineRule="auto" w:line="276"/>
              <w:jc w:val="center"/>
            </w:pPr>
            <w:r>
              <w:rPr>
                <w:rFonts w:ascii="Times New Roman" w:hAnsi="Times New Roman" w:eastAsia="宋体"/>
                <w:b w:val="0"/>
                <w:sz w:val="18"/>
              </w:rPr>
              <w:t>90380kN/段</w:t>
            </w:r>
          </w:p>
        </w:tc>
        <w:tc>
          <w:tcPr>
            <w:tcW w:type="dxa" w:w="2088"/>
            <w:vAlign w:val="center"/>
          </w:tcPr>
          <w:p>
            <w:pPr>
              <w:spacing w:lineRule="auto" w:line="276"/>
              <w:jc w:val="center"/>
            </w:pPr>
            <w:r>
              <w:rPr>
                <w:rFonts w:ascii="Times New Roman" w:hAnsi="Times New Roman" w:eastAsia="宋体"/>
                <w:b w:val="0"/>
                <w:sz w:val="18"/>
              </w:rPr>
              <w:t>69354kN/段</w:t>
            </w:r>
          </w:p>
        </w:tc>
        <w:tc>
          <w:tcPr>
            <w:tcW w:type="dxa" w:w="2520"/>
            <w:vAlign w:val="center"/>
          </w:tcPr>
          <w:p>
            <w:pPr>
              <w:spacing w:lineRule="auto" w:line="276"/>
              <w:jc w:val="center"/>
            </w:pPr>
            <w:r>
              <w:rPr>
                <w:rFonts w:ascii="Times New Roman" w:hAnsi="Times New Roman" w:eastAsia="宋体"/>
                <w:b w:val="0"/>
                <w:sz w:val="18"/>
              </w:rPr>
              <w:t>沉箱稳定重量更充分</w:t>
            </w:r>
          </w:p>
        </w:tc>
      </w:tr>
      <w:tr>
        <w:tc>
          <w:tcPr>
            <w:tcW w:type="dxa" w:w="1944"/>
            <w:vAlign w:val="center"/>
          </w:tcPr>
          <w:p>
            <w:pPr>
              <w:spacing w:lineRule="auto" w:line="276"/>
              <w:jc w:val="center"/>
            </w:pPr>
            <w:r>
              <w:rPr>
                <w:rFonts w:ascii="Times New Roman" w:hAnsi="Times New Roman" w:eastAsia="宋体"/>
                <w:b w:val="0"/>
                <w:sz w:val="18"/>
              </w:rPr>
              <w:t>水平合力</w:t>
            </w:r>
          </w:p>
        </w:tc>
        <w:tc>
          <w:tcPr>
            <w:tcW w:type="dxa" w:w="2088"/>
            <w:vAlign w:val="center"/>
          </w:tcPr>
          <w:p>
            <w:pPr>
              <w:spacing w:lineRule="auto" w:line="276"/>
              <w:jc w:val="center"/>
            </w:pPr>
            <w:r>
              <w:rPr>
                <w:rFonts w:ascii="Times New Roman" w:hAnsi="Times New Roman" w:eastAsia="宋体"/>
                <w:b w:val="0"/>
                <w:sz w:val="18"/>
              </w:rPr>
              <w:t>18651kN/段</w:t>
            </w:r>
          </w:p>
        </w:tc>
        <w:tc>
          <w:tcPr>
            <w:tcW w:type="dxa" w:w="2088"/>
            <w:vAlign w:val="center"/>
          </w:tcPr>
          <w:p>
            <w:pPr>
              <w:spacing w:lineRule="auto" w:line="276"/>
              <w:jc w:val="center"/>
            </w:pPr>
            <w:r>
              <w:rPr>
                <w:rFonts w:ascii="Times New Roman" w:hAnsi="Times New Roman" w:eastAsia="宋体"/>
                <w:b w:val="0"/>
                <w:sz w:val="18"/>
              </w:rPr>
              <w:t>约19000kN/段</w:t>
            </w:r>
          </w:p>
        </w:tc>
        <w:tc>
          <w:tcPr>
            <w:tcW w:type="dxa" w:w="2520"/>
            <w:vAlign w:val="center"/>
          </w:tcPr>
          <w:p>
            <w:pPr>
              <w:spacing w:lineRule="auto" w:line="276"/>
              <w:jc w:val="center"/>
            </w:pPr>
            <w:r>
              <w:rPr>
                <w:rFonts w:ascii="Times New Roman" w:hAnsi="Times New Roman" w:eastAsia="宋体"/>
                <w:b w:val="0"/>
                <w:sz w:val="18"/>
              </w:rPr>
              <w:t>处于同一量级</w:t>
            </w:r>
          </w:p>
        </w:tc>
      </w:tr>
      <w:tr>
        <w:tc>
          <w:tcPr>
            <w:tcW w:type="dxa" w:w="1944"/>
            <w:vAlign w:val="center"/>
          </w:tcPr>
          <w:p>
            <w:pPr>
              <w:spacing w:lineRule="auto" w:line="276"/>
              <w:jc w:val="center"/>
            </w:pPr>
            <w:r>
              <w:rPr>
                <w:rFonts w:ascii="Times New Roman" w:hAnsi="Times New Roman" w:eastAsia="宋体"/>
                <w:b w:val="0"/>
                <w:sz w:val="18"/>
              </w:rPr>
              <w:t>抗滑安全系数</w:t>
            </w:r>
          </w:p>
        </w:tc>
        <w:tc>
          <w:tcPr>
            <w:tcW w:type="dxa" w:w="2088"/>
            <w:vAlign w:val="center"/>
          </w:tcPr>
          <w:p>
            <w:pPr>
              <w:spacing w:lineRule="auto" w:line="276"/>
              <w:jc w:val="center"/>
            </w:pPr>
            <w:r>
              <w:rPr>
                <w:rFonts w:ascii="Times New Roman" w:hAnsi="Times New Roman" w:eastAsia="宋体"/>
                <w:b w:val="0"/>
                <w:sz w:val="18"/>
              </w:rPr>
              <w:t>2.91</w:t>
            </w:r>
          </w:p>
        </w:tc>
        <w:tc>
          <w:tcPr>
            <w:tcW w:type="dxa" w:w="2088"/>
            <w:vAlign w:val="center"/>
          </w:tcPr>
          <w:p>
            <w:pPr>
              <w:spacing w:lineRule="auto" w:line="276"/>
              <w:jc w:val="center"/>
            </w:pPr>
            <w:r>
              <w:rPr>
                <w:rFonts w:ascii="Times New Roman" w:hAnsi="Times New Roman" w:eastAsia="宋体"/>
                <w:b w:val="0"/>
                <w:sz w:val="18"/>
              </w:rPr>
              <w:t>2.19</w:t>
            </w:r>
          </w:p>
        </w:tc>
        <w:tc>
          <w:tcPr>
            <w:tcW w:type="dxa" w:w="2520"/>
            <w:vAlign w:val="center"/>
          </w:tcPr>
          <w:p>
            <w:pPr>
              <w:spacing w:lineRule="auto" w:line="276"/>
              <w:jc w:val="center"/>
            </w:pPr>
            <w:r>
              <w:rPr>
                <w:rFonts w:ascii="Times New Roman" w:hAnsi="Times New Roman" w:eastAsia="宋体"/>
                <w:b w:val="0"/>
                <w:sz w:val="18"/>
              </w:rPr>
              <w:t>均满足，沉箱储备更高</w:t>
            </w:r>
          </w:p>
        </w:tc>
      </w:tr>
      <w:tr>
        <w:tc>
          <w:tcPr>
            <w:tcW w:type="dxa" w:w="1944"/>
            <w:vAlign w:val="center"/>
          </w:tcPr>
          <w:p>
            <w:pPr>
              <w:spacing w:lineRule="auto" w:line="276"/>
              <w:jc w:val="center"/>
            </w:pPr>
            <w:r>
              <w:rPr>
                <w:rFonts w:ascii="Times New Roman" w:hAnsi="Times New Roman" w:eastAsia="宋体"/>
                <w:b w:val="0"/>
                <w:sz w:val="18"/>
              </w:rPr>
              <w:t>抗倾覆安全系数</w:t>
            </w:r>
          </w:p>
        </w:tc>
        <w:tc>
          <w:tcPr>
            <w:tcW w:type="dxa" w:w="2088"/>
            <w:vAlign w:val="center"/>
          </w:tcPr>
          <w:p>
            <w:pPr>
              <w:spacing w:lineRule="auto" w:line="276"/>
              <w:jc w:val="center"/>
            </w:pPr>
            <w:r>
              <w:rPr>
                <w:rFonts w:ascii="Times New Roman" w:hAnsi="Times New Roman" w:eastAsia="宋体"/>
                <w:b w:val="0"/>
                <w:sz w:val="18"/>
              </w:rPr>
              <w:t>4.74</w:t>
            </w:r>
          </w:p>
        </w:tc>
        <w:tc>
          <w:tcPr>
            <w:tcW w:type="dxa" w:w="2088"/>
            <w:vAlign w:val="center"/>
          </w:tcPr>
          <w:p>
            <w:pPr>
              <w:spacing w:lineRule="auto" w:line="276"/>
              <w:jc w:val="center"/>
            </w:pPr>
            <w:r>
              <w:rPr>
                <w:rFonts w:ascii="Times New Roman" w:hAnsi="Times New Roman" w:eastAsia="宋体"/>
                <w:b w:val="0"/>
                <w:sz w:val="18"/>
              </w:rPr>
              <w:t>3.96</w:t>
            </w:r>
          </w:p>
        </w:tc>
        <w:tc>
          <w:tcPr>
            <w:tcW w:type="dxa" w:w="2520"/>
            <w:vAlign w:val="center"/>
          </w:tcPr>
          <w:p>
            <w:pPr>
              <w:spacing w:lineRule="auto" w:line="276"/>
              <w:jc w:val="center"/>
            </w:pPr>
            <w:r>
              <w:rPr>
                <w:rFonts w:ascii="Times New Roman" w:hAnsi="Times New Roman" w:eastAsia="宋体"/>
                <w:b w:val="0"/>
                <w:sz w:val="18"/>
              </w:rPr>
              <w:t>均满足，沉箱储备更高</w:t>
            </w:r>
          </w:p>
        </w:tc>
      </w:tr>
      <w:tr>
        <w:tc>
          <w:tcPr>
            <w:tcW w:type="dxa" w:w="1944"/>
            <w:vAlign w:val="center"/>
          </w:tcPr>
          <w:p>
            <w:pPr>
              <w:spacing w:lineRule="auto" w:line="276"/>
              <w:jc w:val="center"/>
            </w:pPr>
            <w:r>
              <w:rPr>
                <w:rFonts w:ascii="Times New Roman" w:hAnsi="Times New Roman" w:eastAsia="宋体"/>
                <w:b w:val="0"/>
                <w:sz w:val="18"/>
              </w:rPr>
              <w:t>最大基床应力</w:t>
            </w:r>
          </w:p>
        </w:tc>
        <w:tc>
          <w:tcPr>
            <w:tcW w:type="dxa" w:w="2088"/>
            <w:vAlign w:val="center"/>
          </w:tcPr>
          <w:p>
            <w:pPr>
              <w:spacing w:lineRule="auto" w:line="276"/>
              <w:jc w:val="center"/>
            </w:pPr>
            <w:r>
              <w:rPr>
                <w:rFonts w:ascii="Times New Roman" w:hAnsi="Times New Roman" w:eastAsia="宋体"/>
                <w:b w:val="0"/>
                <w:sz w:val="18"/>
              </w:rPr>
              <w:t>361kPa</w:t>
            </w:r>
          </w:p>
        </w:tc>
        <w:tc>
          <w:tcPr>
            <w:tcW w:type="dxa" w:w="2088"/>
            <w:vAlign w:val="center"/>
          </w:tcPr>
          <w:p>
            <w:pPr>
              <w:spacing w:lineRule="auto" w:line="276"/>
              <w:jc w:val="center"/>
            </w:pPr>
            <w:r>
              <w:rPr>
                <w:rFonts w:ascii="Times New Roman" w:hAnsi="Times New Roman" w:eastAsia="宋体"/>
                <w:b w:val="0"/>
                <w:sz w:val="18"/>
              </w:rPr>
              <w:t>273kPa</w:t>
            </w:r>
          </w:p>
        </w:tc>
        <w:tc>
          <w:tcPr>
            <w:tcW w:type="dxa" w:w="2520"/>
            <w:vAlign w:val="center"/>
          </w:tcPr>
          <w:p>
            <w:pPr>
              <w:spacing w:lineRule="auto" w:line="276"/>
              <w:jc w:val="center"/>
            </w:pPr>
            <w:r>
              <w:rPr>
                <w:rFonts w:ascii="Times New Roman" w:hAnsi="Times New Roman" w:eastAsia="宋体"/>
                <w:b w:val="0"/>
                <w:sz w:val="18"/>
              </w:rPr>
              <w:t>均小于容许值</w:t>
            </w:r>
          </w:p>
        </w:tc>
      </w:tr>
      <w:tr>
        <w:tc>
          <w:tcPr>
            <w:tcW w:type="dxa" w:w="1944"/>
            <w:vAlign w:val="center"/>
          </w:tcPr>
          <w:p>
            <w:pPr>
              <w:spacing w:lineRule="auto" w:line="276"/>
              <w:jc w:val="center"/>
            </w:pPr>
            <w:r>
              <w:rPr>
                <w:rFonts w:ascii="Times New Roman" w:hAnsi="Times New Roman" w:eastAsia="宋体"/>
                <w:b w:val="0"/>
                <w:sz w:val="18"/>
              </w:rPr>
              <w:t>最小基床应力</w:t>
            </w:r>
          </w:p>
        </w:tc>
        <w:tc>
          <w:tcPr>
            <w:tcW w:type="dxa" w:w="2088"/>
            <w:vAlign w:val="center"/>
          </w:tcPr>
          <w:p>
            <w:pPr>
              <w:spacing w:lineRule="auto" w:line="276"/>
              <w:jc w:val="center"/>
            </w:pPr>
            <w:r>
              <w:rPr>
                <w:rFonts w:ascii="Times New Roman" w:hAnsi="Times New Roman" w:eastAsia="宋体"/>
                <w:b w:val="0"/>
                <w:sz w:val="18"/>
              </w:rPr>
              <w:t>121kPa</w:t>
            </w:r>
          </w:p>
        </w:tc>
        <w:tc>
          <w:tcPr>
            <w:tcW w:type="dxa" w:w="2088"/>
            <w:vAlign w:val="center"/>
          </w:tcPr>
          <w:p>
            <w:pPr>
              <w:spacing w:lineRule="auto" w:line="276"/>
              <w:jc w:val="center"/>
            </w:pPr>
            <w:r>
              <w:rPr>
                <w:rFonts w:ascii="Times New Roman" w:hAnsi="Times New Roman" w:eastAsia="宋体"/>
                <w:b w:val="0"/>
                <w:sz w:val="18"/>
              </w:rPr>
              <w:t>44kPa</w:t>
            </w:r>
          </w:p>
        </w:tc>
        <w:tc>
          <w:tcPr>
            <w:tcW w:type="dxa" w:w="2520"/>
            <w:vAlign w:val="center"/>
          </w:tcPr>
          <w:p>
            <w:pPr>
              <w:spacing w:lineRule="auto" w:line="276"/>
              <w:jc w:val="center"/>
            </w:pPr>
            <w:r>
              <w:rPr>
                <w:rFonts w:ascii="Times New Roman" w:hAnsi="Times New Roman" w:eastAsia="宋体"/>
                <w:b w:val="0"/>
                <w:sz w:val="18"/>
              </w:rPr>
              <w:t>均为正，沉箱偏心更小</w:t>
            </w:r>
          </w:p>
        </w:tc>
      </w:tr>
      <w:tr>
        <w:tc>
          <w:tcPr>
            <w:tcW w:type="dxa" w:w="1944"/>
            <w:vAlign w:val="center"/>
          </w:tcPr>
          <w:p>
            <w:pPr>
              <w:spacing w:lineRule="auto" w:line="276"/>
              <w:jc w:val="center"/>
            </w:pPr>
            <w:r>
              <w:rPr>
                <w:rFonts w:ascii="Times New Roman" w:hAnsi="Times New Roman" w:eastAsia="宋体"/>
                <w:b w:val="0"/>
                <w:sz w:val="18"/>
              </w:rPr>
              <w:t>坐床形式</w:t>
            </w:r>
          </w:p>
        </w:tc>
        <w:tc>
          <w:tcPr>
            <w:tcW w:type="dxa" w:w="2088"/>
            <w:vAlign w:val="center"/>
          </w:tcPr>
          <w:p>
            <w:pPr>
              <w:spacing w:lineRule="auto" w:line="276"/>
              <w:jc w:val="center"/>
            </w:pPr>
            <w:r>
              <w:rPr>
                <w:rFonts w:ascii="Times New Roman" w:hAnsi="Times New Roman" w:eastAsia="宋体"/>
                <w:b w:val="0"/>
                <w:sz w:val="18"/>
              </w:rPr>
              <w:t>连续底板</w:t>
            </w:r>
          </w:p>
        </w:tc>
        <w:tc>
          <w:tcPr>
            <w:tcW w:type="dxa" w:w="2088"/>
            <w:vAlign w:val="center"/>
          </w:tcPr>
          <w:p>
            <w:pPr>
              <w:spacing w:lineRule="auto" w:line="276"/>
              <w:jc w:val="center"/>
            </w:pPr>
            <w:r>
              <w:rPr>
                <w:rFonts w:ascii="Times New Roman" w:hAnsi="Times New Roman" w:eastAsia="宋体"/>
                <w:b w:val="0"/>
                <w:sz w:val="18"/>
              </w:rPr>
              <w:t>离散圆筒环形坐床</w:t>
            </w:r>
          </w:p>
        </w:tc>
        <w:tc>
          <w:tcPr>
            <w:tcW w:type="dxa" w:w="2520"/>
            <w:vAlign w:val="center"/>
          </w:tcPr>
          <w:p>
            <w:pPr>
              <w:spacing w:lineRule="auto" w:line="276"/>
              <w:jc w:val="center"/>
            </w:pPr>
            <w:r>
              <w:rPr>
                <w:rFonts w:ascii="Times New Roman" w:hAnsi="Times New Roman" w:eastAsia="宋体"/>
                <w:b w:val="0"/>
                <w:sz w:val="18"/>
              </w:rPr>
              <w:t>沉箱整体性更好</w:t>
            </w:r>
          </w:p>
        </w:tc>
      </w:tr>
      <w:tr>
        <w:tc>
          <w:tcPr>
            <w:tcW w:type="dxa" w:w="1944"/>
            <w:vAlign w:val="center"/>
          </w:tcPr>
          <w:p>
            <w:pPr>
              <w:spacing w:lineRule="auto" w:line="276"/>
              <w:jc w:val="center"/>
            </w:pPr>
            <w:r>
              <w:rPr>
                <w:rFonts w:ascii="Times New Roman" w:hAnsi="Times New Roman" w:eastAsia="宋体"/>
                <w:b w:val="0"/>
                <w:sz w:val="18"/>
              </w:rPr>
              <w:t>接缝防漏</w:t>
            </w:r>
          </w:p>
        </w:tc>
        <w:tc>
          <w:tcPr>
            <w:tcW w:type="dxa" w:w="2088"/>
            <w:vAlign w:val="center"/>
          </w:tcPr>
          <w:p>
            <w:pPr>
              <w:spacing w:lineRule="auto" w:line="276"/>
              <w:jc w:val="center"/>
            </w:pPr>
            <w:r>
              <w:rPr>
                <w:rFonts w:ascii="Times New Roman" w:hAnsi="Times New Roman" w:eastAsia="宋体"/>
                <w:b w:val="0"/>
                <w:sz w:val="18"/>
              </w:rPr>
              <w:t>分段缝较少</w:t>
            </w:r>
          </w:p>
        </w:tc>
        <w:tc>
          <w:tcPr>
            <w:tcW w:type="dxa" w:w="2088"/>
            <w:vAlign w:val="center"/>
          </w:tcPr>
          <w:p>
            <w:pPr>
              <w:spacing w:lineRule="auto" w:line="276"/>
              <w:jc w:val="center"/>
            </w:pPr>
            <w:r>
              <w:rPr>
                <w:rFonts w:ascii="Times New Roman" w:hAnsi="Times New Roman" w:eastAsia="宋体"/>
                <w:b w:val="0"/>
                <w:sz w:val="18"/>
              </w:rPr>
              <w:t>筒间缝较多</w:t>
            </w:r>
          </w:p>
        </w:tc>
        <w:tc>
          <w:tcPr>
            <w:tcW w:type="dxa" w:w="2520"/>
            <w:vAlign w:val="center"/>
          </w:tcPr>
          <w:p>
            <w:pPr>
              <w:spacing w:lineRule="auto" w:line="276"/>
              <w:jc w:val="center"/>
            </w:pPr>
            <w:r>
              <w:rPr>
                <w:rFonts w:ascii="Times New Roman" w:hAnsi="Times New Roman" w:eastAsia="宋体"/>
                <w:b w:val="0"/>
                <w:sz w:val="18"/>
              </w:rPr>
              <w:t>沉箱维护更便利</w:t>
            </w:r>
          </w:p>
        </w:tc>
      </w:tr>
      <w:tr>
        <w:tc>
          <w:tcPr>
            <w:tcW w:type="dxa" w:w="1944"/>
            <w:vAlign w:val="center"/>
          </w:tcPr>
          <w:p>
            <w:pPr>
              <w:spacing w:lineRule="auto" w:line="276"/>
              <w:jc w:val="center"/>
            </w:pPr>
            <w:r>
              <w:rPr>
                <w:rFonts w:ascii="Times New Roman" w:hAnsi="Times New Roman" w:eastAsia="宋体"/>
                <w:b w:val="0"/>
                <w:sz w:val="18"/>
              </w:rPr>
              <w:t>推荐结论</w:t>
            </w:r>
          </w:p>
        </w:tc>
        <w:tc>
          <w:tcPr>
            <w:tcW w:type="dxa" w:w="2088"/>
            <w:vAlign w:val="center"/>
          </w:tcPr>
          <w:p>
            <w:pPr>
              <w:spacing w:lineRule="auto" w:line="276"/>
              <w:jc w:val="center"/>
            </w:pPr>
            <w:r>
              <w:rPr>
                <w:rFonts w:ascii="Times New Roman" w:hAnsi="Times New Roman" w:eastAsia="宋体"/>
                <w:b w:val="0"/>
                <w:sz w:val="18"/>
              </w:rPr>
              <w:t>推荐实施</w:t>
            </w:r>
          </w:p>
        </w:tc>
        <w:tc>
          <w:tcPr>
            <w:tcW w:type="dxa" w:w="2088"/>
            <w:vAlign w:val="center"/>
          </w:tcPr>
          <w:p>
            <w:pPr>
              <w:spacing w:lineRule="auto" w:line="276"/>
              <w:jc w:val="center"/>
            </w:pPr>
            <w:r>
              <w:rPr>
                <w:rFonts w:ascii="Times New Roman" w:hAnsi="Times New Roman" w:eastAsia="宋体"/>
                <w:b w:val="0"/>
                <w:sz w:val="18"/>
              </w:rPr>
              <w:t>作为比选方案</w:t>
            </w:r>
          </w:p>
        </w:tc>
        <w:tc>
          <w:tcPr>
            <w:tcW w:type="dxa" w:w="2520"/>
            <w:vAlign w:val="center"/>
          </w:tcPr>
          <w:p>
            <w:pPr>
              <w:spacing w:lineRule="auto" w:line="276"/>
              <w:jc w:val="center"/>
            </w:pPr>
            <w:r>
              <w:rPr>
                <w:rFonts w:ascii="Times New Roman" w:hAnsi="Times New Roman" w:eastAsia="宋体"/>
                <w:b w:val="0"/>
                <w:sz w:val="18"/>
              </w:rPr>
              <w:t>采用沉箱方案</w:t>
            </w:r>
          </w:p>
        </w:tc>
      </w:tr>
    </w:tbl>
    <w:p/>
    <w:p>
      <w:pPr>
        <w:spacing w:lineRule="auto" w:line="360" w:before="0" w:after="0"/>
        <w:ind w:firstLine="480"/>
      </w:pPr>
      <w:r>
        <w:rPr>
          <w:rFonts w:ascii="Times New Roman" w:hAnsi="Times New Roman" w:eastAsia="宋体"/>
          <w:sz w:val="24"/>
        </w:rPr>
        <w:t>从结构稳定看，两种方案均具备可行性；从实施可靠性看，沉箱方案更适合本工程作为推荐方案。其原因包括：第一，沉箱底板连续，基床反力分布更容易控制；第二，箱内回填和墙身自重提供较高稳定储备；第三，岸壁连续性好，护舷、系船柱、轨道和管沟布置规则；第四，接缝数量少，后期维护风险较低。</w:t>
      </w:r>
    </w:p>
    <w:p>
      <w:pPr>
        <w:spacing w:lineRule="auto" w:line="360" w:before="0" w:after="0"/>
        <w:ind w:firstLine="480"/>
      </w:pPr>
      <w:r>
        <w:rPr>
          <w:rFonts w:ascii="Times New Roman" w:hAnsi="Times New Roman" w:eastAsia="宋体"/>
          <w:sz w:val="24"/>
        </w:rPr>
        <w:t>大圆筒方案可以保留为备选方案。当工程所在地大型吊装设备充足、基床整平精度可控、施工单位具有成熟筒间防漏经验时，大圆筒方案可能在预制混凝土量和施工速度方面体现优势。但在本说明书的初步设计边界下，沉箱方案的综合可靠性更高。</w:t>
      </w:r>
    </w:p>
    <w:p>
      <w:pPr>
        <w:spacing w:lineRule="auto" w:line="360" w:before="0" w:after="0"/>
        <w:ind w:firstLine="480"/>
      </w:pPr>
      <w:r>
        <w:rPr>
          <w:rFonts w:ascii="Times New Roman" w:hAnsi="Times New Roman" w:eastAsia="宋体"/>
          <w:sz w:val="24"/>
        </w:rPr>
        <w:t>推荐方案的选择还要考虑答辩和图纸表达的完整性。沉箱方案与总平面、装卸设备、护舷系船柱和基床处理之间的关系更直观，能够形成从布置到构造再到计算的连续说明；大圆筒方案作为比选内容，能够展示另一种可行结构的计算边界和风险点。</w:t>
      </w:r>
    </w:p>
    <w:p>
      <w:pPr>
        <w:pStyle w:val="2"/>
        <w:jc w:val="left"/>
      </w:pPr>
      <w:r>
        <w:rPr>
          <w:rFonts w:ascii="Times New Roman" w:hAnsi="Times New Roman" w:eastAsia="宋体"/>
          <w:b/>
          <w:sz w:val="24"/>
        </w:rPr>
        <w:t xml:space="preserve"> 工程量估算与施工工作量</w:t>
      </w:r>
    </w:p>
    <w:p>
      <w:pPr>
        <w:spacing w:lineRule="auto" w:line="360" w:before="0" w:after="0"/>
        <w:ind w:firstLine="480"/>
      </w:pPr>
      <w:r>
        <w:rPr>
          <w:rFonts w:ascii="Times New Roman" w:hAnsi="Times New Roman" w:eastAsia="宋体"/>
          <w:sz w:val="24"/>
        </w:rPr>
        <w:t>工程量估算按图纸尺寸和计算单元统计，重点反映两种结构方案的主体工程差异。估算项目包括预制混凝土、现浇混凝土、钢筋、回填、抛石基床、倒滤层、护舷、系船柱和接缝处理。由于本阶段尚未形成施工图预算，工程量用于方案比较和工作量表达，不作为最终招标清单。</w:t>
      </w:r>
    </w:p>
    <w:p>
      <w:pPr>
        <w:keepNext/>
        <w:spacing w:lineRule="auto" w:line="300" w:before="0" w:after="120"/>
        <w:jc w:val="center"/>
      </w:pPr>
      <w:r>
        <w:rPr>
          <w:rFonts w:ascii="Times New Roman" w:hAnsi="Times New Roman" w:eastAsia="宋体"/>
          <w:b w:val="0"/>
          <w:sz w:val="20"/>
        </w:rPr>
        <w:t>表7-11 推荐沉箱方案工程量估算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088"/>
        <w:gridCol w:w="3096"/>
        <w:gridCol w:w="936"/>
        <w:gridCol w:w="2376"/>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估算依据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单位</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估算数量</w:t>
            </w:r>
          </w:p>
        </w:tc>
      </w:tr>
      <w:tr>
        <w:tc>
          <w:tcPr>
            <w:tcW w:type="dxa" w:w="2088"/>
            <w:vAlign w:val="center"/>
          </w:tcPr>
          <w:p>
            <w:pPr>
              <w:spacing w:lineRule="auto" w:line="276"/>
              <w:jc w:val="center"/>
            </w:pPr>
            <w:r>
              <w:rPr>
                <w:rFonts w:ascii="Times New Roman" w:hAnsi="Times New Roman" w:eastAsia="宋体"/>
                <w:b w:val="0"/>
                <w:sz w:val="18"/>
              </w:rPr>
              <w:t>预制沉箱混凝土</w:t>
            </w:r>
          </w:p>
        </w:tc>
        <w:tc>
          <w:tcPr>
            <w:tcW w:type="dxa" w:w="3096"/>
            <w:vAlign w:val="center"/>
          </w:tcPr>
          <w:p>
            <w:pPr>
              <w:spacing w:lineRule="auto" w:line="276"/>
              <w:jc w:val="center"/>
            </w:pPr>
            <w:r>
              <w:rPr>
                <w:rFonts w:ascii="Times New Roman" w:hAnsi="Times New Roman" w:eastAsia="宋体"/>
                <w:b w:val="0"/>
                <w:sz w:val="18"/>
              </w:rPr>
              <w:t>10座，单座约1450m³</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约14500</w:t>
            </w:r>
          </w:p>
        </w:tc>
      </w:tr>
      <w:tr>
        <w:tc>
          <w:tcPr>
            <w:tcW w:type="dxa" w:w="2088"/>
            <w:vAlign w:val="center"/>
          </w:tcPr>
          <w:p>
            <w:pPr>
              <w:spacing w:lineRule="auto" w:line="276"/>
              <w:jc w:val="center"/>
            </w:pPr>
            <w:r>
              <w:rPr>
                <w:rFonts w:ascii="Times New Roman" w:hAnsi="Times New Roman" w:eastAsia="宋体"/>
                <w:b w:val="0"/>
                <w:sz w:val="18"/>
              </w:rPr>
              <w:t>沉箱钢筋</w:t>
            </w:r>
          </w:p>
        </w:tc>
        <w:tc>
          <w:tcPr>
            <w:tcW w:type="dxa" w:w="3096"/>
            <w:vAlign w:val="center"/>
          </w:tcPr>
          <w:p>
            <w:pPr>
              <w:spacing w:lineRule="auto" w:line="276"/>
              <w:jc w:val="center"/>
            </w:pPr>
            <w:r>
              <w:rPr>
                <w:rFonts w:ascii="Times New Roman" w:hAnsi="Times New Roman" w:eastAsia="宋体"/>
                <w:b w:val="0"/>
                <w:sz w:val="18"/>
              </w:rPr>
              <w:t>按120kg/m³估算</w:t>
            </w:r>
          </w:p>
        </w:tc>
        <w:tc>
          <w:tcPr>
            <w:tcW w:type="dxa" w:w="936"/>
            <w:vAlign w:val="center"/>
          </w:tcPr>
          <w:p>
            <w:pPr>
              <w:spacing w:lineRule="auto" w:line="276"/>
              <w:jc w:val="center"/>
            </w:pPr>
            <w:r>
              <w:rPr>
                <w:rFonts w:ascii="Times New Roman" w:hAnsi="Times New Roman" w:eastAsia="宋体"/>
                <w:b w:val="0"/>
                <w:sz w:val="18"/>
              </w:rPr>
              <w:t>t</w:t>
            </w:r>
          </w:p>
        </w:tc>
        <w:tc>
          <w:tcPr>
            <w:tcW w:type="dxa" w:w="2376"/>
            <w:vAlign w:val="center"/>
          </w:tcPr>
          <w:p>
            <w:pPr>
              <w:spacing w:lineRule="auto" w:line="276"/>
              <w:jc w:val="center"/>
            </w:pPr>
            <w:r>
              <w:rPr>
                <w:rFonts w:ascii="Times New Roman" w:hAnsi="Times New Roman" w:eastAsia="宋体"/>
                <w:b w:val="0"/>
                <w:sz w:val="18"/>
              </w:rPr>
              <w:t>约1740</w:t>
            </w:r>
          </w:p>
        </w:tc>
      </w:tr>
      <w:tr>
        <w:tc>
          <w:tcPr>
            <w:tcW w:type="dxa" w:w="2088"/>
            <w:vAlign w:val="center"/>
          </w:tcPr>
          <w:p>
            <w:pPr>
              <w:spacing w:lineRule="auto" w:line="276"/>
              <w:jc w:val="center"/>
            </w:pPr>
            <w:r>
              <w:rPr>
                <w:rFonts w:ascii="Times New Roman" w:hAnsi="Times New Roman" w:eastAsia="宋体"/>
                <w:b w:val="0"/>
                <w:sz w:val="18"/>
              </w:rPr>
              <w:t>箱内开山土石回填</w:t>
            </w:r>
          </w:p>
        </w:tc>
        <w:tc>
          <w:tcPr>
            <w:tcW w:type="dxa" w:w="3096"/>
            <w:vAlign w:val="center"/>
          </w:tcPr>
          <w:p>
            <w:pPr>
              <w:spacing w:lineRule="auto" w:line="276"/>
              <w:jc w:val="center"/>
            </w:pPr>
            <w:r>
              <w:rPr>
                <w:rFonts w:ascii="Times New Roman" w:hAnsi="Times New Roman" w:eastAsia="宋体"/>
                <w:b w:val="0"/>
                <w:sz w:val="18"/>
              </w:rPr>
              <w:t>10座，单座约2660m³</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约26600</w:t>
            </w:r>
          </w:p>
        </w:tc>
      </w:tr>
      <w:tr>
        <w:tc>
          <w:tcPr>
            <w:tcW w:type="dxa" w:w="2088"/>
            <w:vAlign w:val="center"/>
          </w:tcPr>
          <w:p>
            <w:pPr>
              <w:spacing w:lineRule="auto" w:line="276"/>
              <w:jc w:val="center"/>
            </w:pPr>
            <w:r>
              <w:rPr>
                <w:rFonts w:ascii="Times New Roman" w:hAnsi="Times New Roman" w:eastAsia="宋体"/>
                <w:b w:val="0"/>
                <w:sz w:val="18"/>
              </w:rPr>
              <w:t>现浇胸墙及面层</w:t>
            </w:r>
          </w:p>
        </w:tc>
        <w:tc>
          <w:tcPr>
            <w:tcW w:type="dxa" w:w="3096"/>
            <w:vAlign w:val="center"/>
          </w:tcPr>
          <w:p>
            <w:pPr>
              <w:spacing w:lineRule="auto" w:line="276"/>
              <w:jc w:val="center"/>
            </w:pPr>
            <w:r>
              <w:rPr>
                <w:rFonts w:ascii="Times New Roman" w:hAnsi="Times New Roman" w:eastAsia="宋体"/>
                <w:b w:val="0"/>
                <w:sz w:val="18"/>
              </w:rPr>
              <w:t>300m连续布置，约210m³/段</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约2100</w:t>
            </w:r>
          </w:p>
        </w:tc>
      </w:tr>
      <w:tr>
        <w:tc>
          <w:tcPr>
            <w:tcW w:type="dxa" w:w="2088"/>
            <w:vAlign w:val="center"/>
          </w:tcPr>
          <w:p>
            <w:pPr>
              <w:spacing w:lineRule="auto" w:line="276"/>
              <w:jc w:val="center"/>
            </w:pPr>
            <w:r>
              <w:rPr>
                <w:rFonts w:ascii="Times New Roman" w:hAnsi="Times New Roman" w:eastAsia="宋体"/>
                <w:b w:val="0"/>
                <w:sz w:val="18"/>
              </w:rPr>
              <w:t>胸墙及面层钢筋</w:t>
            </w:r>
          </w:p>
        </w:tc>
        <w:tc>
          <w:tcPr>
            <w:tcW w:type="dxa" w:w="3096"/>
            <w:vAlign w:val="center"/>
          </w:tcPr>
          <w:p>
            <w:pPr>
              <w:spacing w:lineRule="auto" w:line="276"/>
              <w:jc w:val="center"/>
            </w:pPr>
            <w:r>
              <w:rPr>
                <w:rFonts w:ascii="Times New Roman" w:hAnsi="Times New Roman" w:eastAsia="宋体"/>
                <w:b w:val="0"/>
                <w:sz w:val="18"/>
              </w:rPr>
              <w:t>按100kg/m³估算</w:t>
            </w:r>
          </w:p>
        </w:tc>
        <w:tc>
          <w:tcPr>
            <w:tcW w:type="dxa" w:w="936"/>
            <w:vAlign w:val="center"/>
          </w:tcPr>
          <w:p>
            <w:pPr>
              <w:spacing w:lineRule="auto" w:line="276"/>
              <w:jc w:val="center"/>
            </w:pPr>
            <w:r>
              <w:rPr>
                <w:rFonts w:ascii="Times New Roman" w:hAnsi="Times New Roman" w:eastAsia="宋体"/>
                <w:b w:val="0"/>
                <w:sz w:val="18"/>
              </w:rPr>
              <w:t>t</w:t>
            </w:r>
          </w:p>
        </w:tc>
        <w:tc>
          <w:tcPr>
            <w:tcW w:type="dxa" w:w="2376"/>
            <w:vAlign w:val="center"/>
          </w:tcPr>
          <w:p>
            <w:pPr>
              <w:spacing w:lineRule="auto" w:line="276"/>
              <w:jc w:val="center"/>
            </w:pPr>
            <w:r>
              <w:rPr>
                <w:rFonts w:ascii="Times New Roman" w:hAnsi="Times New Roman" w:eastAsia="宋体"/>
                <w:b w:val="0"/>
                <w:sz w:val="18"/>
              </w:rPr>
              <w:t>约210</w:t>
            </w:r>
          </w:p>
        </w:tc>
      </w:tr>
      <w:tr>
        <w:tc>
          <w:tcPr>
            <w:tcW w:type="dxa" w:w="2088"/>
            <w:vAlign w:val="center"/>
          </w:tcPr>
          <w:p>
            <w:pPr>
              <w:spacing w:lineRule="auto" w:line="276"/>
              <w:jc w:val="center"/>
            </w:pPr>
            <w:r>
              <w:rPr>
                <w:rFonts w:ascii="Times New Roman" w:hAnsi="Times New Roman" w:eastAsia="宋体"/>
                <w:b w:val="0"/>
                <w:sz w:val="18"/>
              </w:rPr>
              <w:t>块石基床</w:t>
            </w:r>
          </w:p>
        </w:tc>
        <w:tc>
          <w:tcPr>
            <w:tcW w:type="dxa" w:w="3096"/>
            <w:vAlign w:val="center"/>
          </w:tcPr>
          <w:p>
            <w:pPr>
              <w:spacing w:lineRule="auto" w:line="276"/>
              <w:jc w:val="center"/>
            </w:pPr>
            <w:r>
              <w:rPr>
                <w:rFonts w:ascii="Times New Roman" w:hAnsi="Times New Roman" w:eastAsia="宋体"/>
                <w:b w:val="0"/>
                <w:sz w:val="18"/>
              </w:rPr>
              <w:t>厚2.0m，底宽约16m，含整平余量</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约9600</w:t>
            </w:r>
          </w:p>
        </w:tc>
      </w:tr>
      <w:tr>
        <w:tc>
          <w:tcPr>
            <w:tcW w:type="dxa" w:w="2088"/>
            <w:vAlign w:val="center"/>
          </w:tcPr>
          <w:p>
            <w:pPr>
              <w:spacing w:lineRule="auto" w:line="276"/>
              <w:jc w:val="center"/>
            </w:pPr>
            <w:r>
              <w:rPr>
                <w:rFonts w:ascii="Times New Roman" w:hAnsi="Times New Roman" w:eastAsia="宋体"/>
                <w:b w:val="0"/>
                <w:sz w:val="18"/>
              </w:rPr>
              <w:t>倒滤层</w:t>
            </w:r>
          </w:p>
        </w:tc>
        <w:tc>
          <w:tcPr>
            <w:tcW w:type="dxa" w:w="3096"/>
            <w:vAlign w:val="center"/>
          </w:tcPr>
          <w:p>
            <w:pPr>
              <w:spacing w:lineRule="auto" w:line="276"/>
              <w:jc w:val="center"/>
            </w:pPr>
            <w:r>
              <w:rPr>
                <w:rFonts w:ascii="Times New Roman" w:hAnsi="Times New Roman" w:eastAsia="宋体"/>
                <w:b w:val="0"/>
                <w:sz w:val="18"/>
              </w:rPr>
              <w:t>二片石、碎石、土工布组合</w:t>
            </w:r>
          </w:p>
        </w:tc>
        <w:tc>
          <w:tcPr>
            <w:tcW w:type="dxa" w:w="936"/>
            <w:vAlign w:val="center"/>
          </w:tcPr>
          <w:p>
            <w:pPr>
              <w:spacing w:lineRule="auto" w:line="276"/>
              <w:jc w:val="center"/>
            </w:pPr>
            <w:r>
              <w:rPr>
                <w:rFonts w:ascii="Times New Roman" w:hAnsi="Times New Roman" w:eastAsia="宋体"/>
                <w:b w:val="0"/>
                <w:sz w:val="18"/>
              </w:rPr>
              <w:t>m³/m²</w:t>
            </w:r>
          </w:p>
        </w:tc>
        <w:tc>
          <w:tcPr>
            <w:tcW w:type="dxa" w:w="2376"/>
            <w:vAlign w:val="center"/>
          </w:tcPr>
          <w:p>
            <w:pPr>
              <w:spacing w:lineRule="auto" w:line="276"/>
              <w:jc w:val="center"/>
            </w:pPr>
            <w:r>
              <w:rPr>
                <w:rFonts w:ascii="Times New Roman" w:hAnsi="Times New Roman" w:eastAsia="宋体"/>
                <w:b w:val="0"/>
                <w:sz w:val="18"/>
              </w:rPr>
              <w:t>按后方接触面统计</w:t>
            </w:r>
          </w:p>
        </w:tc>
      </w:tr>
      <w:tr>
        <w:tc>
          <w:tcPr>
            <w:tcW w:type="dxa" w:w="2088"/>
            <w:vAlign w:val="center"/>
          </w:tcPr>
          <w:p>
            <w:pPr>
              <w:spacing w:lineRule="auto" w:line="276"/>
              <w:jc w:val="center"/>
            </w:pPr>
            <w:r>
              <w:rPr>
                <w:rFonts w:ascii="Times New Roman" w:hAnsi="Times New Roman" w:eastAsia="宋体"/>
                <w:b w:val="0"/>
                <w:sz w:val="18"/>
              </w:rPr>
              <w:t>护舷</w:t>
            </w:r>
          </w:p>
        </w:tc>
        <w:tc>
          <w:tcPr>
            <w:tcW w:type="dxa" w:w="3096"/>
            <w:vAlign w:val="center"/>
          </w:tcPr>
          <w:p>
            <w:pPr>
              <w:spacing w:lineRule="auto" w:line="276"/>
              <w:jc w:val="center"/>
            </w:pPr>
            <w:r>
              <w:rPr>
                <w:rFonts w:ascii="Times New Roman" w:hAnsi="Times New Roman" w:eastAsia="宋体"/>
                <w:b w:val="0"/>
                <w:sz w:val="18"/>
              </w:rPr>
              <w:t>每座沉箱2组</w:t>
            </w:r>
          </w:p>
        </w:tc>
        <w:tc>
          <w:tcPr>
            <w:tcW w:type="dxa" w:w="936"/>
            <w:vAlign w:val="center"/>
          </w:tcPr>
          <w:p>
            <w:pPr>
              <w:spacing w:lineRule="auto" w:line="276"/>
              <w:jc w:val="center"/>
            </w:pPr>
            <w:r>
              <w:rPr>
                <w:rFonts w:ascii="Times New Roman" w:hAnsi="Times New Roman" w:eastAsia="宋体"/>
                <w:b w:val="0"/>
                <w:sz w:val="18"/>
              </w:rPr>
              <w:t>组</w:t>
            </w:r>
          </w:p>
        </w:tc>
        <w:tc>
          <w:tcPr>
            <w:tcW w:type="dxa" w:w="2376"/>
            <w:vAlign w:val="center"/>
          </w:tcPr>
          <w:p>
            <w:pPr>
              <w:spacing w:lineRule="auto" w:line="276"/>
              <w:jc w:val="center"/>
            </w:pPr>
            <w:r>
              <w:rPr>
                <w:rFonts w:ascii="Times New Roman" w:hAnsi="Times New Roman" w:eastAsia="宋体"/>
                <w:b w:val="0"/>
                <w:sz w:val="18"/>
              </w:rPr>
              <w:t>约20</w:t>
            </w:r>
          </w:p>
        </w:tc>
      </w:tr>
      <w:tr>
        <w:tc>
          <w:tcPr>
            <w:tcW w:type="dxa" w:w="2088"/>
            <w:vAlign w:val="center"/>
          </w:tcPr>
          <w:p>
            <w:pPr>
              <w:spacing w:lineRule="auto" w:line="276"/>
              <w:jc w:val="center"/>
            </w:pPr>
            <w:r>
              <w:rPr>
                <w:rFonts w:ascii="Times New Roman" w:hAnsi="Times New Roman" w:eastAsia="宋体"/>
                <w:b w:val="0"/>
                <w:sz w:val="18"/>
              </w:rPr>
              <w:t>系船柱</w:t>
            </w:r>
          </w:p>
        </w:tc>
        <w:tc>
          <w:tcPr>
            <w:tcW w:type="dxa" w:w="3096"/>
            <w:vAlign w:val="center"/>
          </w:tcPr>
          <w:p>
            <w:pPr>
              <w:spacing w:lineRule="auto" w:line="276"/>
              <w:jc w:val="center"/>
            </w:pPr>
            <w:r>
              <w:rPr>
                <w:rFonts w:ascii="Times New Roman" w:hAnsi="Times New Roman" w:eastAsia="宋体"/>
                <w:b w:val="0"/>
                <w:sz w:val="18"/>
              </w:rPr>
              <w:t>1500kN，每段1个</w:t>
            </w:r>
          </w:p>
        </w:tc>
        <w:tc>
          <w:tcPr>
            <w:tcW w:type="dxa" w:w="936"/>
            <w:vAlign w:val="center"/>
          </w:tcPr>
          <w:p>
            <w:pPr>
              <w:spacing w:lineRule="auto" w:line="276"/>
              <w:jc w:val="center"/>
            </w:pPr>
            <w:r>
              <w:rPr>
                <w:rFonts w:ascii="Times New Roman" w:hAnsi="Times New Roman" w:eastAsia="宋体"/>
                <w:b w:val="0"/>
                <w:sz w:val="18"/>
              </w:rPr>
              <w:t>个</w:t>
            </w:r>
          </w:p>
        </w:tc>
        <w:tc>
          <w:tcPr>
            <w:tcW w:type="dxa" w:w="2376"/>
            <w:vAlign w:val="center"/>
          </w:tcPr>
          <w:p>
            <w:pPr>
              <w:spacing w:lineRule="auto" w:line="276"/>
              <w:jc w:val="center"/>
            </w:pPr>
            <w:r>
              <w:rPr>
                <w:rFonts w:ascii="Times New Roman" w:hAnsi="Times New Roman" w:eastAsia="宋体"/>
                <w:b w:val="0"/>
                <w:sz w:val="18"/>
              </w:rPr>
              <w:t>约10</w:t>
            </w:r>
          </w:p>
        </w:tc>
      </w:tr>
    </w:tbl>
    <w:p/>
    <w:p>
      <w:pPr>
        <w:keepNext/>
        <w:spacing w:lineRule="auto" w:line="300" w:before="0" w:after="120"/>
        <w:jc w:val="center"/>
      </w:pPr>
      <w:r>
        <w:rPr>
          <w:rFonts w:ascii="Times New Roman" w:hAnsi="Times New Roman" w:eastAsia="宋体"/>
          <w:b w:val="0"/>
          <w:sz w:val="20"/>
        </w:rPr>
        <w:t>表7-12 大圆筒方案工程量估算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088"/>
        <w:gridCol w:w="3096"/>
        <w:gridCol w:w="936"/>
        <w:gridCol w:w="2376"/>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估算依据</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单位</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估算数量</w:t>
            </w:r>
          </w:p>
        </w:tc>
      </w:tr>
      <w:tr>
        <w:tc>
          <w:tcPr>
            <w:tcW w:type="dxa" w:w="2088"/>
            <w:vAlign w:val="center"/>
          </w:tcPr>
          <w:p>
            <w:pPr>
              <w:spacing w:lineRule="auto" w:line="276"/>
              <w:jc w:val="center"/>
            </w:pPr>
            <w:r>
              <w:rPr>
                <w:rFonts w:ascii="Times New Roman" w:hAnsi="Times New Roman" w:eastAsia="宋体"/>
                <w:b w:val="0"/>
                <w:sz w:val="18"/>
              </w:rPr>
              <w:t>预制大圆筒混凝土</w:t>
            </w:r>
          </w:p>
        </w:tc>
        <w:tc>
          <w:tcPr>
            <w:tcW w:type="dxa" w:w="3096"/>
            <w:vAlign w:val="center"/>
          </w:tcPr>
          <w:p>
            <w:pPr>
              <w:spacing w:lineRule="auto" w:line="276"/>
              <w:jc w:val="center"/>
            </w:pPr>
            <w:r>
              <w:rPr>
                <w:rFonts w:ascii="Times New Roman" w:hAnsi="Times New Roman" w:eastAsia="宋体"/>
                <w:b w:val="0"/>
                <w:sz w:val="18"/>
              </w:rPr>
              <w:t>20个，单个约198.5m³</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约3970</w:t>
            </w:r>
          </w:p>
        </w:tc>
      </w:tr>
      <w:tr>
        <w:tc>
          <w:tcPr>
            <w:tcW w:type="dxa" w:w="2088"/>
            <w:vAlign w:val="center"/>
          </w:tcPr>
          <w:p>
            <w:pPr>
              <w:spacing w:lineRule="auto" w:line="276"/>
              <w:jc w:val="center"/>
            </w:pPr>
            <w:r>
              <w:rPr>
                <w:rFonts w:ascii="Times New Roman" w:hAnsi="Times New Roman" w:eastAsia="宋体"/>
                <w:b w:val="0"/>
                <w:sz w:val="18"/>
              </w:rPr>
              <w:t>圆筒钢筋</w:t>
            </w:r>
          </w:p>
        </w:tc>
        <w:tc>
          <w:tcPr>
            <w:tcW w:type="dxa" w:w="3096"/>
            <w:vAlign w:val="center"/>
          </w:tcPr>
          <w:p>
            <w:pPr>
              <w:spacing w:lineRule="auto" w:line="276"/>
              <w:jc w:val="center"/>
            </w:pPr>
            <w:r>
              <w:rPr>
                <w:rFonts w:ascii="Times New Roman" w:hAnsi="Times New Roman" w:eastAsia="宋体"/>
                <w:b w:val="0"/>
                <w:sz w:val="18"/>
              </w:rPr>
              <w:t>按130kg/m³估算</w:t>
            </w:r>
          </w:p>
        </w:tc>
        <w:tc>
          <w:tcPr>
            <w:tcW w:type="dxa" w:w="936"/>
            <w:vAlign w:val="center"/>
          </w:tcPr>
          <w:p>
            <w:pPr>
              <w:spacing w:lineRule="auto" w:line="276"/>
              <w:jc w:val="center"/>
            </w:pPr>
            <w:r>
              <w:rPr>
                <w:rFonts w:ascii="Times New Roman" w:hAnsi="Times New Roman" w:eastAsia="宋体"/>
                <w:b w:val="0"/>
                <w:sz w:val="18"/>
              </w:rPr>
              <w:t>t</w:t>
            </w:r>
          </w:p>
        </w:tc>
        <w:tc>
          <w:tcPr>
            <w:tcW w:type="dxa" w:w="2376"/>
            <w:vAlign w:val="center"/>
          </w:tcPr>
          <w:p>
            <w:pPr>
              <w:spacing w:lineRule="auto" w:line="276"/>
              <w:jc w:val="center"/>
            </w:pPr>
            <w:r>
              <w:rPr>
                <w:rFonts w:ascii="Times New Roman" w:hAnsi="Times New Roman" w:eastAsia="宋体"/>
                <w:b w:val="0"/>
                <w:sz w:val="18"/>
              </w:rPr>
              <w:t>约516</w:t>
            </w:r>
          </w:p>
        </w:tc>
      </w:tr>
      <w:tr>
        <w:tc>
          <w:tcPr>
            <w:tcW w:type="dxa" w:w="2088"/>
            <w:vAlign w:val="center"/>
          </w:tcPr>
          <w:p>
            <w:pPr>
              <w:spacing w:lineRule="auto" w:line="276"/>
              <w:jc w:val="center"/>
            </w:pPr>
            <w:r>
              <w:rPr>
                <w:rFonts w:ascii="Times New Roman" w:hAnsi="Times New Roman" w:eastAsia="宋体"/>
                <w:b w:val="0"/>
                <w:sz w:val="18"/>
              </w:rPr>
              <w:t>筒内开山土石回填</w:t>
            </w:r>
          </w:p>
        </w:tc>
        <w:tc>
          <w:tcPr>
            <w:tcW w:type="dxa" w:w="3096"/>
            <w:vAlign w:val="center"/>
          </w:tcPr>
          <w:p>
            <w:pPr>
              <w:spacing w:lineRule="auto" w:line="276"/>
              <w:jc w:val="center"/>
            </w:pPr>
            <w:r>
              <w:rPr>
                <w:rFonts w:ascii="Times New Roman" w:hAnsi="Times New Roman" w:eastAsia="宋体"/>
                <w:b w:val="0"/>
                <w:sz w:val="18"/>
              </w:rPr>
              <w:t>20个，单个约1455m³</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约29100</w:t>
            </w:r>
          </w:p>
        </w:tc>
      </w:tr>
      <w:tr>
        <w:tc>
          <w:tcPr>
            <w:tcW w:type="dxa" w:w="2088"/>
            <w:vAlign w:val="center"/>
          </w:tcPr>
          <w:p>
            <w:pPr>
              <w:spacing w:lineRule="auto" w:line="276"/>
              <w:jc w:val="center"/>
            </w:pPr>
            <w:r>
              <w:rPr>
                <w:rFonts w:ascii="Times New Roman" w:hAnsi="Times New Roman" w:eastAsia="宋体"/>
                <w:b w:val="0"/>
                <w:sz w:val="18"/>
              </w:rPr>
              <w:t>现浇胸墙及面层</w:t>
            </w:r>
          </w:p>
        </w:tc>
        <w:tc>
          <w:tcPr>
            <w:tcW w:type="dxa" w:w="3096"/>
            <w:vAlign w:val="center"/>
          </w:tcPr>
          <w:p>
            <w:pPr>
              <w:spacing w:lineRule="auto" w:line="276"/>
              <w:jc w:val="center"/>
            </w:pPr>
            <w:r>
              <w:rPr>
                <w:rFonts w:ascii="Times New Roman" w:hAnsi="Times New Roman" w:eastAsia="宋体"/>
                <w:b w:val="0"/>
                <w:sz w:val="18"/>
              </w:rPr>
              <w:t>300m连续布置，约216m³/段</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约2160</w:t>
            </w:r>
          </w:p>
        </w:tc>
      </w:tr>
      <w:tr>
        <w:tc>
          <w:tcPr>
            <w:tcW w:type="dxa" w:w="2088"/>
            <w:vAlign w:val="center"/>
          </w:tcPr>
          <w:p>
            <w:pPr>
              <w:spacing w:lineRule="auto" w:line="276"/>
              <w:jc w:val="center"/>
            </w:pPr>
            <w:r>
              <w:rPr>
                <w:rFonts w:ascii="Times New Roman" w:hAnsi="Times New Roman" w:eastAsia="宋体"/>
                <w:b w:val="0"/>
                <w:sz w:val="18"/>
              </w:rPr>
              <w:t>块石基床</w:t>
            </w:r>
          </w:p>
        </w:tc>
        <w:tc>
          <w:tcPr>
            <w:tcW w:type="dxa" w:w="3096"/>
            <w:vAlign w:val="center"/>
          </w:tcPr>
          <w:p>
            <w:pPr>
              <w:spacing w:lineRule="auto" w:line="276"/>
              <w:jc w:val="center"/>
            </w:pPr>
            <w:r>
              <w:rPr>
                <w:rFonts w:ascii="Times New Roman" w:hAnsi="Times New Roman" w:eastAsia="宋体"/>
                <w:b w:val="0"/>
                <w:sz w:val="18"/>
              </w:rPr>
              <w:t>厚2.0m，局部整平要求高</w:t>
            </w:r>
          </w:p>
        </w:tc>
        <w:tc>
          <w:tcPr>
            <w:tcW w:type="dxa" w:w="936"/>
            <w:vAlign w:val="center"/>
          </w:tcPr>
          <w:p>
            <w:pPr>
              <w:spacing w:lineRule="auto" w:line="276"/>
              <w:jc w:val="center"/>
            </w:pPr>
            <w:r>
              <w:rPr>
                <w:rFonts w:ascii="Times New Roman" w:hAnsi="Times New Roman" w:eastAsia="宋体"/>
                <w:b w:val="0"/>
                <w:sz w:val="18"/>
              </w:rPr>
              <w:t>m³</w:t>
            </w:r>
          </w:p>
        </w:tc>
        <w:tc>
          <w:tcPr>
            <w:tcW w:type="dxa" w:w="2376"/>
            <w:vAlign w:val="center"/>
          </w:tcPr>
          <w:p>
            <w:pPr>
              <w:spacing w:lineRule="auto" w:line="276"/>
              <w:jc w:val="center"/>
            </w:pPr>
            <w:r>
              <w:rPr>
                <w:rFonts w:ascii="Times New Roman" w:hAnsi="Times New Roman" w:eastAsia="宋体"/>
                <w:b w:val="0"/>
                <w:sz w:val="18"/>
              </w:rPr>
              <w:t>约9800</w:t>
            </w:r>
          </w:p>
        </w:tc>
      </w:tr>
      <w:tr>
        <w:tc>
          <w:tcPr>
            <w:tcW w:type="dxa" w:w="2088"/>
            <w:vAlign w:val="center"/>
          </w:tcPr>
          <w:p>
            <w:pPr>
              <w:spacing w:lineRule="auto" w:line="276"/>
              <w:jc w:val="center"/>
            </w:pPr>
            <w:r>
              <w:rPr>
                <w:rFonts w:ascii="Times New Roman" w:hAnsi="Times New Roman" w:eastAsia="宋体"/>
                <w:b w:val="0"/>
                <w:sz w:val="18"/>
              </w:rPr>
              <w:t>筒间接缝防漏</w:t>
            </w:r>
          </w:p>
        </w:tc>
        <w:tc>
          <w:tcPr>
            <w:tcW w:type="dxa" w:w="3096"/>
            <w:vAlign w:val="center"/>
          </w:tcPr>
          <w:p>
            <w:pPr>
              <w:spacing w:lineRule="auto" w:line="276"/>
              <w:jc w:val="center"/>
            </w:pPr>
            <w:r>
              <w:rPr>
                <w:rFonts w:ascii="Times New Roman" w:hAnsi="Times New Roman" w:eastAsia="宋体"/>
                <w:b w:val="0"/>
                <w:sz w:val="18"/>
              </w:rPr>
              <w:t>筒间缝、分段缝和倒滤加强</w:t>
            </w:r>
          </w:p>
        </w:tc>
        <w:tc>
          <w:tcPr>
            <w:tcW w:type="dxa" w:w="936"/>
            <w:vAlign w:val="center"/>
          </w:tcPr>
          <w:p>
            <w:pPr>
              <w:spacing w:lineRule="auto" w:line="276"/>
              <w:jc w:val="center"/>
            </w:pPr>
            <w:r>
              <w:rPr>
                <w:rFonts w:ascii="Times New Roman" w:hAnsi="Times New Roman" w:eastAsia="宋体"/>
                <w:b w:val="0"/>
                <w:sz w:val="18"/>
              </w:rPr>
              <w:t>m</w:t>
            </w:r>
          </w:p>
        </w:tc>
        <w:tc>
          <w:tcPr>
            <w:tcW w:type="dxa" w:w="2376"/>
            <w:vAlign w:val="center"/>
          </w:tcPr>
          <w:p>
            <w:pPr>
              <w:spacing w:lineRule="auto" w:line="276"/>
              <w:jc w:val="center"/>
            </w:pPr>
            <w:r>
              <w:rPr>
                <w:rFonts w:ascii="Times New Roman" w:hAnsi="Times New Roman" w:eastAsia="宋体"/>
                <w:b w:val="0"/>
                <w:sz w:val="18"/>
              </w:rPr>
              <w:t>按筒间数量统计</w:t>
            </w:r>
          </w:p>
        </w:tc>
      </w:tr>
      <w:tr>
        <w:tc>
          <w:tcPr>
            <w:tcW w:type="dxa" w:w="2088"/>
            <w:vAlign w:val="center"/>
          </w:tcPr>
          <w:p>
            <w:pPr>
              <w:spacing w:lineRule="auto" w:line="276"/>
              <w:jc w:val="center"/>
            </w:pPr>
            <w:r>
              <w:rPr>
                <w:rFonts w:ascii="Times New Roman" w:hAnsi="Times New Roman" w:eastAsia="宋体"/>
                <w:b w:val="0"/>
                <w:sz w:val="18"/>
              </w:rPr>
              <w:t>吊装临时措施</w:t>
            </w:r>
          </w:p>
        </w:tc>
        <w:tc>
          <w:tcPr>
            <w:tcW w:type="dxa" w:w="3096"/>
            <w:vAlign w:val="center"/>
          </w:tcPr>
          <w:p>
            <w:pPr>
              <w:spacing w:lineRule="auto" w:line="276"/>
              <w:jc w:val="center"/>
            </w:pPr>
            <w:r>
              <w:rPr>
                <w:rFonts w:ascii="Times New Roman" w:hAnsi="Times New Roman" w:eastAsia="宋体"/>
                <w:b w:val="0"/>
                <w:sz w:val="18"/>
              </w:rPr>
              <w:t>大型起重船、导向架、临时固定</w:t>
            </w:r>
          </w:p>
        </w:tc>
        <w:tc>
          <w:tcPr>
            <w:tcW w:type="dxa" w:w="936"/>
            <w:vAlign w:val="center"/>
          </w:tcPr>
          <w:p>
            <w:pPr>
              <w:spacing w:lineRule="auto" w:line="276"/>
              <w:jc w:val="center"/>
            </w:pPr>
            <w:r>
              <w:rPr>
                <w:rFonts w:ascii="Times New Roman" w:hAnsi="Times New Roman" w:eastAsia="宋体"/>
                <w:b w:val="0"/>
                <w:sz w:val="18"/>
              </w:rPr>
              <w:t>项</w:t>
            </w:r>
          </w:p>
        </w:tc>
        <w:tc>
          <w:tcPr>
            <w:tcW w:type="dxa" w:w="2376"/>
            <w:vAlign w:val="center"/>
          </w:tcPr>
          <w:p>
            <w:pPr>
              <w:spacing w:lineRule="auto" w:line="276"/>
              <w:jc w:val="center"/>
            </w:pPr>
            <w:r>
              <w:rPr>
                <w:rFonts w:ascii="Times New Roman" w:hAnsi="Times New Roman" w:eastAsia="宋体"/>
                <w:b w:val="0"/>
                <w:sz w:val="18"/>
              </w:rPr>
              <w:t>按施工组织确定</w:t>
            </w:r>
          </w:p>
        </w:tc>
      </w:tr>
      <w:tr>
        <w:tc>
          <w:tcPr>
            <w:tcW w:type="dxa" w:w="2088"/>
            <w:vAlign w:val="center"/>
          </w:tcPr>
          <w:p>
            <w:pPr>
              <w:spacing w:lineRule="auto" w:line="276"/>
              <w:jc w:val="center"/>
            </w:pPr>
            <w:r>
              <w:rPr>
                <w:rFonts w:ascii="Times New Roman" w:hAnsi="Times New Roman" w:eastAsia="宋体"/>
                <w:b w:val="0"/>
                <w:sz w:val="18"/>
              </w:rPr>
              <w:t>护舷与系船柱</w:t>
            </w:r>
          </w:p>
        </w:tc>
        <w:tc>
          <w:tcPr>
            <w:tcW w:type="dxa" w:w="3096"/>
            <w:vAlign w:val="center"/>
          </w:tcPr>
          <w:p>
            <w:pPr>
              <w:spacing w:lineRule="auto" w:line="276"/>
              <w:jc w:val="center"/>
            </w:pPr>
            <w:r>
              <w:rPr>
                <w:rFonts w:ascii="Times New Roman" w:hAnsi="Times New Roman" w:eastAsia="宋体"/>
                <w:b w:val="0"/>
                <w:sz w:val="18"/>
              </w:rPr>
              <w:t>同等泊位配置</w:t>
            </w:r>
          </w:p>
        </w:tc>
        <w:tc>
          <w:tcPr>
            <w:tcW w:type="dxa" w:w="936"/>
            <w:vAlign w:val="center"/>
          </w:tcPr>
          <w:p>
            <w:pPr>
              <w:spacing w:lineRule="auto" w:line="276"/>
              <w:jc w:val="center"/>
            </w:pPr>
            <w:r>
              <w:rPr>
                <w:rFonts w:ascii="Times New Roman" w:hAnsi="Times New Roman" w:eastAsia="宋体"/>
                <w:b w:val="0"/>
                <w:sz w:val="18"/>
              </w:rPr>
              <w:t>组/个</w:t>
            </w:r>
          </w:p>
        </w:tc>
        <w:tc>
          <w:tcPr>
            <w:tcW w:type="dxa" w:w="2376"/>
            <w:vAlign w:val="center"/>
          </w:tcPr>
          <w:p>
            <w:pPr>
              <w:spacing w:lineRule="auto" w:line="276"/>
              <w:jc w:val="center"/>
            </w:pPr>
            <w:r>
              <w:rPr>
                <w:rFonts w:ascii="Times New Roman" w:hAnsi="Times New Roman" w:eastAsia="宋体"/>
                <w:b w:val="0"/>
                <w:sz w:val="18"/>
              </w:rPr>
              <w:t>与沉箱方案相近</w:t>
            </w:r>
          </w:p>
        </w:tc>
      </w:tr>
    </w:tbl>
    <w:p/>
    <w:p>
      <w:pPr>
        <w:spacing w:lineRule="auto" w:line="360" w:before="0" w:after="0"/>
        <w:ind w:firstLine="480"/>
      </w:pPr>
      <w:r>
        <w:rPr>
          <w:rFonts w:ascii="Times New Roman" w:hAnsi="Times New Roman" w:eastAsia="宋体"/>
          <w:sz w:val="24"/>
        </w:rPr>
        <w:t>沉箱方案的预制混凝土和钢筋工程量明显大于大圆筒方案，但施工控制较成熟，水下接缝少，整体稳定储备较高。大圆筒方案预制混凝土量较小，但筒内回填量较大，吊装设备、坐床整平和筒间防漏需要投入更多施工控制工作。</w:t>
      </w:r>
    </w:p>
    <w:p>
      <w:pPr>
        <w:spacing w:lineRule="auto" w:line="360" w:before="0" w:after="0"/>
        <w:ind w:firstLine="480"/>
      </w:pPr>
      <w:r>
        <w:rPr>
          <w:rFonts w:ascii="Times New Roman" w:hAnsi="Times New Roman" w:eastAsia="宋体"/>
          <w:sz w:val="24"/>
        </w:rPr>
        <w:t>从施工工作量看，沉箱方案主要工作包括基槽开挖、基床抛石整平、沉箱预制、浮运沉放、箱内回填、胸墙浇筑、倒滤层施工和附属设施安装。大圆筒方案主要工作包括基床精平、圆筒预制、吊装安放、筒内回填、筒间防漏、胸墙连接和附属设施安装。两种方案都需要测量监控和沉降观测，但大圆筒对单个构件坐床精度更敏感。</w:t>
      </w:r>
    </w:p>
    <w:p>
      <w:pPr>
        <w:spacing w:lineRule="auto" w:line="360" w:before="0" w:after="0"/>
        <w:ind w:firstLine="480"/>
      </w:pPr>
      <w:r>
        <w:rPr>
          <w:rFonts w:ascii="Times New Roman" w:hAnsi="Times New Roman" w:eastAsia="宋体"/>
          <w:sz w:val="24"/>
        </w:rPr>
        <w:t>工程量估算还应服务于施工组织判断。沉箱方案虽然预制混凝土量较大，但构件数量少，分段清晰，预制、出运、沉放和回填可按10个结构段流水组织；大圆筒方案构件数量增加到20个，单件重量较小但吊装次数增多，对测量定位、临时固定和筒间处理提出更高要求。</w:t>
      </w:r>
    </w:p>
    <w:p>
      <w:pPr>
        <w:spacing w:lineRule="auto" w:line="360" w:before="0" w:after="0"/>
        <w:ind w:firstLine="480"/>
      </w:pPr>
      <w:r>
        <w:rPr>
          <w:rFonts w:ascii="Times New Roman" w:hAnsi="Times New Roman" w:eastAsia="宋体"/>
          <w:sz w:val="24"/>
        </w:rPr>
        <w:t>材料供应方面，块石基床、开山土石回填和混凝土浇筑是两种方案共同的主要资源需求。沉箱方案应优先保证预制场钢筋、模板和混凝土供应连续；大圆筒方案应优先保证大型起重设备、吊装窗口和基床精平能力。工程量比较不能只看单项材料数量，还应结合设备占用、施工风险和质量控制工作量综合判断。</w:t>
      </w:r>
    </w:p>
    <w:p>
      <w:pPr>
        <w:pStyle w:val="2"/>
        <w:jc w:val="left"/>
      </w:pPr>
      <w:r>
        <w:rPr>
          <w:rFonts w:ascii="Times New Roman" w:hAnsi="Times New Roman" w:eastAsia="宋体"/>
          <w:b/>
          <w:sz w:val="24"/>
        </w:rPr>
        <w:t xml:space="preserve"> 计算过程与设计工作量补充说明</w:t>
      </w:r>
    </w:p>
    <w:p>
      <w:pPr>
        <w:spacing w:lineRule="auto" w:line="360" w:before="0" w:after="0"/>
        <w:ind w:firstLine="480"/>
      </w:pPr>
      <w:r>
        <w:rPr>
          <w:rFonts w:ascii="Times New Roman" w:hAnsi="Times New Roman" w:eastAsia="宋体"/>
          <w:sz w:val="24"/>
        </w:rPr>
        <w:t>为了使计算过程完整，本设计除给出最终安全系数外，还把主要中间量列入正文。竖向力计算列出混凝土、回填、胸墙和附属设施；水平力计算列出主动土压力、堆载附加土压力和系缆力；稳定计算列出抗滑力、倾覆力矩、稳定力矩、偏心距和基床应力。这些中间量能帮助判断结果来源，避免只给公式和结论。</w:t>
      </w:r>
    </w:p>
    <w:p>
      <w:pPr>
        <w:keepNext/>
        <w:spacing w:lineRule="auto" w:line="300" w:before="0" w:after="120"/>
        <w:jc w:val="center"/>
      </w:pPr>
      <w:r>
        <w:rPr>
          <w:rFonts w:ascii="Times New Roman" w:hAnsi="Times New Roman" w:eastAsia="宋体"/>
          <w:b w:val="0"/>
          <w:sz w:val="20"/>
        </w:rPr>
        <w:t>表7-13 计算过程工作量清单</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800"/>
        <w:gridCol w:w="2232"/>
        <w:gridCol w:w="2232"/>
        <w:gridCol w:w="2808"/>
      </w:tblGrid>
      <w:tr>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计算类别</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沉箱方案</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大圆筒方案</w:t>
            </w:r>
          </w:p>
        </w:tc>
        <w:tc>
          <w:tcPr>
            <w:tcW w:type="dxa" w:w="2078"/>
            <w:tcBorders>
              <w:bottom w:val="single" w:sz="6" w:space="0" w:color="000000"/>
            </w:tcBorders>
            <w:vAlign w:val="center"/>
          </w:tcPr>
          <w:p>
            <w:pPr>
              <w:spacing w:lineRule="auto" w:line="276"/>
              <w:jc w:val="center"/>
            </w:pPr>
            <w:r>
              <w:rPr>
                <w:rFonts w:ascii="Times New Roman" w:hAnsi="Times New Roman" w:eastAsia="宋体"/>
                <w:b/>
                <w:sz w:val="18"/>
              </w:rPr>
              <w:t>设计意义</w:t>
            </w:r>
          </w:p>
        </w:tc>
      </w:tr>
      <w:tr>
        <w:tc>
          <w:tcPr>
            <w:tcW w:type="dxa" w:w="1800"/>
            <w:vAlign w:val="center"/>
          </w:tcPr>
          <w:p>
            <w:pPr>
              <w:spacing w:lineRule="auto" w:line="276"/>
              <w:jc w:val="center"/>
            </w:pPr>
            <w:r>
              <w:rPr>
                <w:rFonts w:ascii="Times New Roman" w:hAnsi="Times New Roman" w:eastAsia="宋体"/>
                <w:b w:val="0"/>
                <w:sz w:val="18"/>
              </w:rPr>
              <w:t>几何参数</w:t>
            </w:r>
          </w:p>
        </w:tc>
        <w:tc>
          <w:tcPr>
            <w:tcW w:type="dxa" w:w="2232"/>
            <w:vAlign w:val="center"/>
          </w:tcPr>
          <w:p>
            <w:pPr>
              <w:spacing w:lineRule="auto" w:line="276"/>
              <w:jc w:val="center"/>
            </w:pPr>
            <w:r>
              <w:rPr>
                <w:rFonts w:ascii="Times New Roman" w:hAnsi="Times New Roman" w:eastAsia="宋体"/>
                <w:b w:val="0"/>
                <w:sz w:val="18"/>
              </w:rPr>
              <w:t>外廓、底宽、高度、舱格和胸墙</w:t>
            </w:r>
          </w:p>
        </w:tc>
        <w:tc>
          <w:tcPr>
            <w:tcW w:type="dxa" w:w="2232"/>
            <w:vAlign w:val="center"/>
          </w:tcPr>
          <w:p>
            <w:pPr>
              <w:spacing w:lineRule="auto" w:line="276"/>
              <w:jc w:val="center"/>
            </w:pPr>
            <w:r>
              <w:rPr>
                <w:rFonts w:ascii="Times New Roman" w:hAnsi="Times New Roman" w:eastAsia="宋体"/>
                <w:b w:val="0"/>
                <w:sz w:val="18"/>
              </w:rPr>
              <w:t>外径、壁厚、高度、中心距和胸墙</w:t>
            </w:r>
          </w:p>
        </w:tc>
        <w:tc>
          <w:tcPr>
            <w:tcW w:type="dxa" w:w="2808"/>
            <w:vAlign w:val="center"/>
          </w:tcPr>
          <w:p>
            <w:pPr>
              <w:spacing w:lineRule="auto" w:line="276"/>
              <w:jc w:val="center"/>
            </w:pPr>
            <w:r>
              <w:rPr>
                <w:rFonts w:ascii="Times New Roman" w:hAnsi="Times New Roman" w:eastAsia="宋体"/>
                <w:b w:val="0"/>
                <w:sz w:val="18"/>
              </w:rPr>
              <w:t>明确计算模型</w:t>
            </w:r>
          </w:p>
        </w:tc>
      </w:tr>
      <w:tr>
        <w:tc>
          <w:tcPr>
            <w:tcW w:type="dxa" w:w="1800"/>
            <w:vAlign w:val="center"/>
          </w:tcPr>
          <w:p>
            <w:pPr>
              <w:spacing w:lineRule="auto" w:line="276"/>
              <w:jc w:val="center"/>
            </w:pPr>
            <w:r>
              <w:rPr>
                <w:rFonts w:ascii="Times New Roman" w:hAnsi="Times New Roman" w:eastAsia="宋体"/>
                <w:b w:val="0"/>
                <w:sz w:val="18"/>
              </w:rPr>
              <w:t>竖向力</w:t>
            </w:r>
          </w:p>
        </w:tc>
        <w:tc>
          <w:tcPr>
            <w:tcW w:type="dxa" w:w="2232"/>
            <w:vAlign w:val="center"/>
          </w:tcPr>
          <w:p>
            <w:pPr>
              <w:spacing w:lineRule="auto" w:line="276"/>
              <w:jc w:val="center"/>
            </w:pPr>
            <w:r>
              <w:rPr>
                <w:rFonts w:ascii="Times New Roman" w:hAnsi="Times New Roman" w:eastAsia="宋体"/>
                <w:b w:val="0"/>
                <w:sz w:val="18"/>
              </w:rPr>
              <w:t>沉箱自重、箱内回填、胸墙、附属设施</w:t>
            </w:r>
          </w:p>
        </w:tc>
        <w:tc>
          <w:tcPr>
            <w:tcW w:type="dxa" w:w="2232"/>
            <w:vAlign w:val="center"/>
          </w:tcPr>
          <w:p>
            <w:pPr>
              <w:spacing w:lineRule="auto" w:line="276"/>
              <w:jc w:val="center"/>
            </w:pPr>
            <w:r>
              <w:rPr>
                <w:rFonts w:ascii="Times New Roman" w:hAnsi="Times New Roman" w:eastAsia="宋体"/>
                <w:b w:val="0"/>
                <w:sz w:val="18"/>
              </w:rPr>
              <w:t>筒壁自重、筒内回填、胸墙、附属设施</w:t>
            </w:r>
          </w:p>
        </w:tc>
        <w:tc>
          <w:tcPr>
            <w:tcW w:type="dxa" w:w="2808"/>
            <w:vAlign w:val="center"/>
          </w:tcPr>
          <w:p>
            <w:pPr>
              <w:spacing w:lineRule="auto" w:line="276"/>
              <w:jc w:val="center"/>
            </w:pPr>
            <w:r>
              <w:rPr>
                <w:rFonts w:ascii="Times New Roman" w:hAnsi="Times New Roman" w:eastAsia="宋体"/>
                <w:b w:val="0"/>
                <w:sz w:val="18"/>
              </w:rPr>
              <w:t>形成稳定重量</w:t>
            </w:r>
          </w:p>
        </w:tc>
      </w:tr>
      <w:tr>
        <w:tc>
          <w:tcPr>
            <w:tcW w:type="dxa" w:w="1800"/>
            <w:vAlign w:val="center"/>
          </w:tcPr>
          <w:p>
            <w:pPr>
              <w:spacing w:lineRule="auto" w:line="276"/>
              <w:jc w:val="center"/>
            </w:pPr>
            <w:r>
              <w:rPr>
                <w:rFonts w:ascii="Times New Roman" w:hAnsi="Times New Roman" w:eastAsia="宋体"/>
                <w:b w:val="0"/>
                <w:sz w:val="18"/>
              </w:rPr>
              <w:t>水平力</w:t>
            </w:r>
          </w:p>
        </w:tc>
        <w:tc>
          <w:tcPr>
            <w:tcW w:type="dxa" w:w="2232"/>
            <w:vAlign w:val="center"/>
          </w:tcPr>
          <w:p>
            <w:pPr>
              <w:spacing w:lineRule="auto" w:line="276"/>
              <w:jc w:val="center"/>
            </w:pPr>
            <w:r>
              <w:rPr>
                <w:rFonts w:ascii="Times New Roman" w:hAnsi="Times New Roman" w:eastAsia="宋体"/>
                <w:b w:val="0"/>
                <w:sz w:val="18"/>
              </w:rPr>
              <w:t>主动土压力、堆载、系缆力</w:t>
            </w:r>
          </w:p>
        </w:tc>
        <w:tc>
          <w:tcPr>
            <w:tcW w:type="dxa" w:w="2232"/>
            <w:vAlign w:val="center"/>
          </w:tcPr>
          <w:p>
            <w:pPr>
              <w:spacing w:lineRule="auto" w:line="276"/>
              <w:jc w:val="center"/>
            </w:pPr>
            <w:r>
              <w:rPr>
                <w:rFonts w:ascii="Times New Roman" w:hAnsi="Times New Roman" w:eastAsia="宋体"/>
                <w:b w:val="0"/>
                <w:sz w:val="18"/>
              </w:rPr>
              <w:t>主动土压力、堆载、系缆力</w:t>
            </w:r>
          </w:p>
        </w:tc>
        <w:tc>
          <w:tcPr>
            <w:tcW w:type="dxa" w:w="2808"/>
            <w:vAlign w:val="center"/>
          </w:tcPr>
          <w:p>
            <w:pPr>
              <w:spacing w:lineRule="auto" w:line="276"/>
              <w:jc w:val="center"/>
            </w:pPr>
            <w:r>
              <w:rPr>
                <w:rFonts w:ascii="Times New Roman" w:hAnsi="Times New Roman" w:eastAsia="宋体"/>
                <w:b w:val="0"/>
                <w:sz w:val="18"/>
              </w:rPr>
              <w:t>确定滑动力和倾覆力矩</w:t>
            </w:r>
          </w:p>
        </w:tc>
      </w:tr>
      <w:tr>
        <w:tc>
          <w:tcPr>
            <w:tcW w:type="dxa" w:w="1800"/>
            <w:vAlign w:val="center"/>
          </w:tcPr>
          <w:p>
            <w:pPr>
              <w:spacing w:lineRule="auto" w:line="276"/>
              <w:jc w:val="center"/>
            </w:pPr>
            <w:r>
              <w:rPr>
                <w:rFonts w:ascii="Times New Roman" w:hAnsi="Times New Roman" w:eastAsia="宋体"/>
                <w:b w:val="0"/>
                <w:sz w:val="18"/>
              </w:rPr>
              <w:t>整体稳定</w:t>
            </w:r>
          </w:p>
        </w:tc>
        <w:tc>
          <w:tcPr>
            <w:tcW w:type="dxa" w:w="2232"/>
            <w:vAlign w:val="center"/>
          </w:tcPr>
          <w:p>
            <w:pPr>
              <w:spacing w:lineRule="auto" w:line="276"/>
              <w:jc w:val="center"/>
            </w:pPr>
            <w:r>
              <w:rPr>
                <w:rFonts w:ascii="Times New Roman" w:hAnsi="Times New Roman" w:eastAsia="宋体"/>
                <w:b w:val="0"/>
                <w:sz w:val="18"/>
              </w:rPr>
              <w:t>抗滑、抗倾覆、偏心距、基床应力</w:t>
            </w:r>
          </w:p>
        </w:tc>
        <w:tc>
          <w:tcPr>
            <w:tcW w:type="dxa" w:w="2232"/>
            <w:vAlign w:val="center"/>
          </w:tcPr>
          <w:p>
            <w:pPr>
              <w:spacing w:lineRule="auto" w:line="276"/>
              <w:jc w:val="center"/>
            </w:pPr>
            <w:r>
              <w:rPr>
                <w:rFonts w:ascii="Times New Roman" w:hAnsi="Times New Roman" w:eastAsia="宋体"/>
                <w:b w:val="0"/>
                <w:sz w:val="18"/>
              </w:rPr>
              <w:t>抗滑、抗倾覆、偏心距、基床应力</w:t>
            </w:r>
          </w:p>
        </w:tc>
        <w:tc>
          <w:tcPr>
            <w:tcW w:type="dxa" w:w="2808"/>
            <w:vAlign w:val="center"/>
          </w:tcPr>
          <w:p>
            <w:pPr>
              <w:spacing w:lineRule="auto" w:line="276"/>
              <w:jc w:val="center"/>
            </w:pPr>
            <w:r>
              <w:rPr>
                <w:rFonts w:ascii="Times New Roman" w:hAnsi="Times New Roman" w:eastAsia="宋体"/>
                <w:b w:val="0"/>
                <w:sz w:val="18"/>
              </w:rPr>
              <w:t>判断方案可行性</w:t>
            </w:r>
          </w:p>
        </w:tc>
      </w:tr>
      <w:tr>
        <w:tc>
          <w:tcPr>
            <w:tcW w:type="dxa" w:w="1800"/>
            <w:vAlign w:val="center"/>
          </w:tcPr>
          <w:p>
            <w:pPr>
              <w:spacing w:lineRule="auto" w:line="276"/>
              <w:jc w:val="center"/>
            </w:pPr>
            <w:r>
              <w:rPr>
                <w:rFonts w:ascii="Times New Roman" w:hAnsi="Times New Roman" w:eastAsia="宋体"/>
                <w:b w:val="0"/>
                <w:sz w:val="18"/>
              </w:rPr>
              <w:t>施工控制</w:t>
            </w:r>
          </w:p>
        </w:tc>
        <w:tc>
          <w:tcPr>
            <w:tcW w:type="dxa" w:w="2232"/>
            <w:vAlign w:val="center"/>
          </w:tcPr>
          <w:p>
            <w:pPr>
              <w:spacing w:lineRule="auto" w:line="276"/>
              <w:jc w:val="center"/>
            </w:pPr>
            <w:r>
              <w:rPr>
                <w:rFonts w:ascii="Times New Roman" w:hAnsi="Times New Roman" w:eastAsia="宋体"/>
                <w:b w:val="0"/>
                <w:sz w:val="18"/>
              </w:rPr>
              <w:t>浮运、沉放、分舱回填、沉降观测</w:t>
            </w:r>
          </w:p>
        </w:tc>
        <w:tc>
          <w:tcPr>
            <w:tcW w:type="dxa" w:w="2232"/>
            <w:vAlign w:val="center"/>
          </w:tcPr>
          <w:p>
            <w:pPr>
              <w:spacing w:lineRule="auto" w:line="276"/>
              <w:jc w:val="center"/>
            </w:pPr>
            <w:r>
              <w:rPr>
                <w:rFonts w:ascii="Times New Roman" w:hAnsi="Times New Roman" w:eastAsia="宋体"/>
                <w:b w:val="0"/>
                <w:sz w:val="18"/>
              </w:rPr>
              <w:t>吊装、坐床、筒间防漏、回填密实</w:t>
            </w:r>
          </w:p>
        </w:tc>
        <w:tc>
          <w:tcPr>
            <w:tcW w:type="dxa" w:w="2808"/>
            <w:vAlign w:val="center"/>
          </w:tcPr>
          <w:p>
            <w:pPr>
              <w:spacing w:lineRule="auto" w:line="276"/>
              <w:jc w:val="center"/>
            </w:pPr>
            <w:r>
              <w:rPr>
                <w:rFonts w:ascii="Times New Roman" w:hAnsi="Times New Roman" w:eastAsia="宋体"/>
                <w:b w:val="0"/>
                <w:sz w:val="18"/>
              </w:rPr>
              <w:t>识别实施风险</w:t>
            </w:r>
          </w:p>
        </w:tc>
      </w:tr>
      <w:tr>
        <w:tc>
          <w:tcPr>
            <w:tcW w:type="dxa" w:w="1800"/>
            <w:vAlign w:val="center"/>
          </w:tcPr>
          <w:p>
            <w:pPr>
              <w:spacing w:lineRule="auto" w:line="276"/>
              <w:jc w:val="center"/>
            </w:pPr>
            <w:r>
              <w:rPr>
                <w:rFonts w:ascii="Times New Roman" w:hAnsi="Times New Roman" w:eastAsia="宋体"/>
                <w:b w:val="0"/>
                <w:sz w:val="18"/>
              </w:rPr>
              <w:t>工程量</w:t>
            </w:r>
          </w:p>
        </w:tc>
        <w:tc>
          <w:tcPr>
            <w:tcW w:type="dxa" w:w="2232"/>
            <w:vAlign w:val="center"/>
          </w:tcPr>
          <w:p>
            <w:pPr>
              <w:spacing w:lineRule="auto" w:line="276"/>
              <w:jc w:val="center"/>
            </w:pPr>
            <w:r>
              <w:rPr>
                <w:rFonts w:ascii="Times New Roman" w:hAnsi="Times New Roman" w:eastAsia="宋体"/>
                <w:b w:val="0"/>
                <w:sz w:val="18"/>
              </w:rPr>
              <w:t>混凝土、钢筋、回填、基床、附属设施</w:t>
            </w:r>
          </w:p>
        </w:tc>
        <w:tc>
          <w:tcPr>
            <w:tcW w:type="dxa" w:w="2232"/>
            <w:vAlign w:val="center"/>
          </w:tcPr>
          <w:p>
            <w:pPr>
              <w:spacing w:lineRule="auto" w:line="276"/>
              <w:jc w:val="center"/>
            </w:pPr>
            <w:r>
              <w:rPr>
                <w:rFonts w:ascii="Times New Roman" w:hAnsi="Times New Roman" w:eastAsia="宋体"/>
                <w:b w:val="0"/>
                <w:sz w:val="18"/>
              </w:rPr>
              <w:t>混凝土、钢筋、回填、基床、接缝处理</w:t>
            </w:r>
          </w:p>
        </w:tc>
        <w:tc>
          <w:tcPr>
            <w:tcW w:type="dxa" w:w="2808"/>
            <w:vAlign w:val="center"/>
          </w:tcPr>
          <w:p>
            <w:pPr>
              <w:spacing w:lineRule="auto" w:line="276"/>
              <w:jc w:val="center"/>
            </w:pPr>
            <w:r>
              <w:rPr>
                <w:rFonts w:ascii="Times New Roman" w:hAnsi="Times New Roman" w:eastAsia="宋体"/>
                <w:b w:val="0"/>
                <w:sz w:val="18"/>
              </w:rPr>
              <w:t>支撑方案比较</w:t>
            </w:r>
          </w:p>
        </w:tc>
      </w:tr>
    </w:tbl>
    <w:p/>
    <w:p>
      <w:pPr>
        <w:spacing w:lineRule="auto" w:line="360" w:before="0" w:after="0"/>
        <w:ind w:firstLine="480"/>
      </w:pPr>
      <w:r>
        <w:rPr>
          <w:rFonts w:ascii="Times New Roman" w:hAnsi="Times New Roman" w:eastAsia="宋体"/>
          <w:sz w:val="24"/>
        </w:rPr>
        <w:t>计算工作量还体现在两种结构的对照复核。沉箱方案和大圆筒方案均按30m段计算，均列出竖向力、水平力和稳定指标，能够说明推荐方案并非凭经验确定。大圆筒方案虽然不是最终推荐结构，但保留完整计算有助于体现方案比选深度。</w:t>
      </w:r>
    </w:p>
    <w:p>
      <w:pPr>
        <w:spacing w:lineRule="auto" w:line="360" w:before="0" w:after="0"/>
        <w:ind w:firstLine="480"/>
      </w:pPr>
      <w:r>
        <w:rPr>
          <w:rFonts w:ascii="Times New Roman" w:hAnsi="Times New Roman" w:eastAsia="宋体"/>
          <w:sz w:val="24"/>
        </w:rPr>
        <w:t>背景条件、总平面、工艺和结构计算之间存在连续关系。第二章确定50万TEU/年和3万吨级船型，第四章据此确定水域和堆场尺度，第五章配置岸桥、集卡和场桥，第六章落实结构图纸，第七章再把图纸尺寸转化为稳定计算参数。该链条完整后，说明书的工作量不只体现在文字字数，也体现在设计逻辑闭合。</w:t>
      </w:r>
    </w:p>
    <w:p>
      <w:pPr>
        <w:spacing w:lineRule="auto" w:line="360" w:before="0" w:after="0"/>
        <w:ind w:firstLine="480"/>
      </w:pPr>
      <w:r>
        <w:rPr>
          <w:rFonts w:ascii="Times New Roman" w:hAnsi="Times New Roman" w:eastAsia="宋体"/>
          <w:sz w:val="24"/>
        </w:rPr>
        <w:t>在毕业设计评审中，计算章节通常关注三点：是否有明确条件，是否有完整过程，是否能支撑最终方案。本章已把计算条件、公式、代入值、表格结果和方案选择依次展开，能够说明沉箱方案作为推荐方案的理由，也能解释大圆筒方案虽然可行但不优先采用的原因。</w:t>
      </w:r>
    </w:p>
    <w:p>
      <w:pPr>
        <w:pStyle w:val="2"/>
        <w:jc w:val="left"/>
      </w:pPr>
      <w:r>
        <w:rPr>
          <w:rFonts w:ascii="Times New Roman" w:hAnsi="Times New Roman" w:eastAsia="宋体"/>
          <w:b/>
          <w:sz w:val="24"/>
        </w:rPr>
        <w:t xml:space="preserve"> 施工图阶段复核内容</w:t>
      </w:r>
    </w:p>
    <w:p>
      <w:pPr>
        <w:spacing w:lineRule="auto" w:line="360" w:before="0" w:after="0"/>
        <w:ind w:firstLine="480"/>
      </w:pPr>
      <w:r>
        <w:rPr>
          <w:rFonts w:ascii="Times New Roman" w:hAnsi="Times New Roman" w:eastAsia="宋体"/>
          <w:sz w:val="24"/>
        </w:rPr>
        <w:t>初步设计计算完成后，施工图阶段仍需进一步复核。首先，应根据详勘资料重新确定地层参数、基床承载力、整体滑动面和沉降量，必要时进行地基处理方案比较。其次，应结合最终堆场荷载、岸桥轨道荷载、车辆荷载和管沟布置复核胸墙、轨道梁和前沿结构局部受力。</w:t>
      </w:r>
    </w:p>
    <w:p>
      <w:pPr>
        <w:spacing w:lineRule="auto" w:line="360" w:before="0" w:after="0"/>
        <w:ind w:firstLine="480"/>
      </w:pPr>
      <w:r>
        <w:rPr>
          <w:rFonts w:ascii="Times New Roman" w:hAnsi="Times New Roman" w:eastAsia="宋体"/>
          <w:sz w:val="24"/>
        </w:rPr>
        <w:t>沉箱方案应补充沉箱浮运稳性、吊点或滑道出运、底板局部应力、隔墙配筋、施工缝止水和回填阶段位移控制。大圆筒方案应补充圆筒吊装验算、筒壁局部稳定、吊点加强、筒间接缝防漏、筒底局部压应力和胸墙整体连接。</w:t>
      </w:r>
    </w:p>
    <w:p>
      <w:pPr>
        <w:spacing w:lineRule="auto" w:line="360" w:before="0" w:after="0"/>
        <w:ind w:firstLine="480"/>
      </w:pPr>
      <w:r>
        <w:rPr>
          <w:rFonts w:ascii="Times New Roman" w:hAnsi="Times New Roman" w:eastAsia="宋体"/>
          <w:sz w:val="24"/>
        </w:rPr>
        <w:t>运营期还应复核护舷吸能、系船柱基础、靠泊撞击、地震作用、耐久性和排水构造。若后续设计船型、堆场荷载或港池水深发生变化，稳定计算中的水平作用、竖向力和基床应力均需重新计算。</w:t>
      </w:r>
    </w:p>
    <w:p>
      <w:pPr>
        <w:spacing w:lineRule="auto" w:line="360" w:before="0" w:after="0"/>
        <w:ind w:firstLine="480"/>
      </w:pPr>
      <w:r>
        <w:rPr>
          <w:rFonts w:ascii="Times New Roman" w:hAnsi="Times New Roman" w:eastAsia="宋体"/>
          <w:sz w:val="24"/>
        </w:rPr>
        <w:t>施工图阶段的稳定复核应把初步设计中的集中参数拆解为更精细的计算模型。例如，墙后土压力可根据填料分层、地下水位和施工回填顺序分阶段计算；基床应力可结合实际基槽宽度、块石级配和地基土层参数进行局部复核；胸墙和轨道梁应考虑岸桥轮压、温度收缩、施工缝和设备基础共同作用。</w:t>
      </w:r>
    </w:p>
    <w:p>
      <w:pPr>
        <w:spacing w:lineRule="auto" w:line="360" w:before="0" w:after="0"/>
        <w:ind w:firstLine="480"/>
      </w:pPr>
      <w:r>
        <w:rPr>
          <w:rFonts w:ascii="Times New Roman" w:hAnsi="Times New Roman" w:eastAsia="宋体"/>
          <w:sz w:val="24"/>
        </w:rPr>
        <w:t>对沉箱方案，后续应补充沉箱预制阶段裂缝控制、浮运吃水、压载水调节、沉放姿态、相邻沉箱错台、止水缝和箱内回填质量检测。沉箱尺寸较大，单个构件一旦沉放偏位，后续纠偏代价较高，因此测量控制和施工窗口选择是保证设计落地的关键。</w:t>
      </w:r>
    </w:p>
    <w:p>
      <w:pPr>
        <w:spacing w:lineRule="auto" w:line="360" w:before="0" w:after="0"/>
        <w:ind w:firstLine="480"/>
      </w:pPr>
      <w:r>
        <w:rPr>
          <w:rFonts w:ascii="Times New Roman" w:hAnsi="Times New Roman" w:eastAsia="宋体"/>
          <w:sz w:val="24"/>
        </w:rPr>
        <w:t>对大圆筒方案，后续应重点复核吊装船能力、吊点构造、筒壁局部应力、筒底接触应力、筒间接缝防漏和胸墙整体连接。大圆筒方案整体稳定满足要求，并不能替代这些局部构造验算；若局部节点处理不足，运营期仍可能出现接缝渗漏或局部沉陷。</w:t>
      </w:r>
    </w:p>
    <w:p>
      <w:pPr>
        <w:spacing w:lineRule="auto" w:line="360" w:before="0" w:after="0"/>
        <w:ind w:firstLine="480"/>
      </w:pPr>
      <w:r>
        <w:rPr>
          <w:rFonts w:ascii="Times New Roman" w:hAnsi="Times New Roman" w:eastAsia="宋体"/>
          <w:sz w:val="24"/>
        </w:rPr>
        <w:t>运营期监测建议包括码头前沿沉降、胸墙水平位移、护舷螺栓状态、系船柱基础裂缝、堆场地面沉陷和排水系统运行情况。监测结果可用于判断基床和后方回填是否稳定，也能为后续泊位改造和维护提供依据。</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按照计算书思路扩展了两种重力式结构的主要计算过程。计算内容包括计算参数、工况组合、沉箱竖向力、沉箱水平作用、抗滑、抗倾覆、基床应力、施工阶段控制、大圆筒竖向力、大圆筒稳定复核、两方案比较和工程量估算。</w:t>
      </w:r>
    </w:p>
    <w:p>
      <w:pPr>
        <w:spacing w:lineRule="auto" w:line="360" w:before="0" w:after="0"/>
        <w:ind w:firstLine="480"/>
      </w:pPr>
      <w:r>
        <w:rPr>
          <w:rFonts w:ascii="Times New Roman" w:hAnsi="Times New Roman" w:eastAsia="宋体"/>
          <w:sz w:val="24"/>
        </w:rPr>
        <w:t>计算结果表明，沉箱方案抗滑安全系数2.91、抗倾覆安全系数4.74、最大基床应力约361kPa，满足初步设计要求；大圆筒方案抗滑安全系数2.19、抗倾覆安全系数3.96、最大基床应力约273kPa，也满足整体稳定要求。综合结构整体性、施工控制、接缝防漏和后期维护，本设计继续推荐沉箱重力式码头作为实施方案。</w:t>
      </w:r>
    </w:p>
    <w:p>
      <w:pPr>
        <w:spacing w:lineRule="auto" w:line="360" w:before="0" w:after="0"/>
        <w:ind w:firstLine="480"/>
      </w:pPr>
      <w:r>
        <w:rPr>
          <w:rFonts w:ascii="Times New Roman" w:hAnsi="Times New Roman" w:eastAsia="宋体"/>
          <w:sz w:val="24"/>
        </w:rPr>
        <w:t>本章扩充后，计算内容覆盖推荐结构和比选结构，且每项结果均能对应到前文的设计条件和第六章图纸尺寸。整体上，说明书从“给出公式”扩展为“列明条件、代入参数、比较结果、说明施工控制”的完整表达，更能体现毕业设计的计算工作量。</w:t>
      </w:r>
    </w:p>
    <w:p>
      <w:pPr>
        <w:spacing w:lineRule="auto" w:line="360" w:before="0" w:after="0"/>
        <w:ind w:firstLine="480"/>
      </w:pPr>
      <w:r>
        <w:rPr>
          <w:rFonts w:ascii="Times New Roman" w:hAnsi="Times New Roman" w:eastAsia="宋体"/>
          <w:sz w:val="24"/>
        </w:rPr>
        <w:t>从工作量角度看，本章同时完成了主方案计算、比选方案计算、工程量估算和施工复核说明。沉箱方案的计算过程能够支撑最终推荐结论，大圆筒方案的计算过程能够说明其可行性与局限性，工程量估算则把结构选择与施工资源联系起来。这样的组织方式比单独罗列公式更完整，也便于教师检查设计条件、参数代入和结论之间是否一致。</w:t>
      </w:r>
    </w:p>
    <w:p>
      <w:pPr>
        <w:spacing w:lineRule="auto" w:line="360" w:before="0" w:after="0"/>
        <w:ind w:firstLine="480"/>
      </w:pPr>
      <w:r>
        <w:rPr>
          <w:rFonts w:ascii="Times New Roman" w:hAnsi="Times New Roman" w:eastAsia="宋体"/>
          <w:sz w:val="24"/>
        </w:rPr>
        <w:t>后续若需要继续提高设计深度，可在本章基础上补充有限元或条分法稳定复核，但现阶段的内容已经能够覆盖初步设计说明书对主体结构计算和方案比选的基本要求。</w:t>
      </w:r>
    </w:p>
    <w:p>
      <w:pPr>
        <w:spacing w:lineRule="auto" w:line="360" w:before="0" w:after="0"/>
        <w:ind w:firstLine="480"/>
      </w:pPr>
      <w:r>
        <w:rPr>
          <w:rFonts w:ascii="Times New Roman" w:hAnsi="Times New Roman" w:eastAsia="宋体"/>
          <w:sz w:val="24"/>
        </w:rPr>
        <w:t>本章形成的参数表、计算表和工程量表，可作为后续施工图复核的基础资料。后续深化时，只需用详勘参数、最终设备荷载和施工组织数据替换本阶段估算值，即可沿用本章的计算框架继续完善。</w:t>
      </w:r>
    </w:p>
    <w:p>
      <w:pPr>
        <w:pStyle w:val="1"/>
        <w:pageBreakBefore/>
        <w:jc w:val="center"/>
      </w:pPr>
      <w:r>
        <w:rPr>
          <w:rFonts w:ascii="Times New Roman" w:hAnsi="Times New Roman" w:eastAsia="宋体"/>
          <w:b/>
          <w:sz w:val="30"/>
        </w:rPr>
        <w:t xml:space="preserve"> 结论与建议</w:t>
      </w:r>
    </w:p>
    <w:p>
      <w:pPr>
        <w:pStyle w:val="2"/>
        <w:jc w:val="left"/>
      </w:pPr>
      <w:r>
        <w:rPr>
          <w:rFonts w:ascii="Times New Roman" w:hAnsi="Times New Roman" w:eastAsia="宋体"/>
          <w:b/>
          <w:sz w:val="24"/>
        </w:rPr>
        <w:t xml:space="preserve"> 设计结论</w:t>
      </w:r>
    </w:p>
    <w:p>
      <w:pPr>
        <w:spacing w:lineRule="auto" w:line="360" w:before="0" w:after="0"/>
        <w:ind w:firstLine="480"/>
      </w:pPr>
      <w:r>
        <w:rPr>
          <w:rFonts w:ascii="Times New Roman" w:hAnsi="Times New Roman" w:eastAsia="宋体"/>
          <w:sz w:val="24"/>
        </w:rPr>
        <w:t>本设计以防城港9号泊位3万吨级集装箱进口码头为对象，完成了自然条件分析、货运量与船型确定、结构方案比选、水域及陆域布置、装卸工艺设计、图纸成果说明、沉箱方案稳定计算、大圆筒方案稳定计算和工程量估算。</w:t>
      </w:r>
    </w:p>
    <w:p>
      <w:pPr>
        <w:spacing w:lineRule="auto" w:line="360" w:before="0" w:after="0"/>
        <w:ind w:firstLine="480"/>
      </w:pPr>
      <w:r>
        <w:rPr>
          <w:rFonts w:ascii="Times New Roman" w:hAnsi="Times New Roman" w:eastAsia="宋体"/>
          <w:sz w:val="24"/>
        </w:rPr>
        <w:t>设计船型为3万吨级集装箱船，泊位长度取300m，码头前停泊水域宽度取65m，回旋水域按500m×400m布置，航道有效宽度取150m，码头前沿设计水深取13.50m。陆域堆场按50万TEU/年通过能力配置，堆场面积约20万m²，陆域纵深取850m。</w:t>
      </w:r>
    </w:p>
    <w:p>
      <w:pPr>
        <w:spacing w:lineRule="auto" w:line="360" w:before="0" w:after="0"/>
        <w:ind w:firstLine="480"/>
      </w:pPr>
      <w:r>
        <w:rPr>
          <w:rFonts w:ascii="Times New Roman" w:hAnsi="Times New Roman" w:eastAsia="宋体"/>
          <w:sz w:val="24"/>
        </w:rPr>
        <w:t>装卸工艺采用岸桥、集装箱牵引车和轮胎式场桥配套的三级式作业流程，配置5台岸桥、20台牵引车、26台半挂车、8台RTG和1台正面吊。经船时效率校核，该配置能够满足设计通过能力要求。</w:t>
      </w:r>
    </w:p>
    <w:p>
      <w:pPr>
        <w:spacing w:lineRule="auto" w:line="360" w:before="0" w:after="0"/>
        <w:ind w:firstLine="480"/>
      </w:pPr>
      <w:r>
        <w:rPr>
          <w:rFonts w:ascii="Times New Roman" w:hAnsi="Times New Roman" w:eastAsia="宋体"/>
          <w:sz w:val="24"/>
        </w:rPr>
        <w:t>结构方案经比较后推荐沉箱重力式码头，大圆筒方案作为比选方案保留。计算结果表明，两种结构的抗滑、抗倾覆和基床应力均满足初步设计控制要求，其中沉箱方案整体稳定储备较高、接缝较少、后期维护更便利。五张A1图纸从总平面、沉箱结构、大圆筒结构和典型断面等方面表达了本次设计成果。</w:t>
      </w:r>
    </w:p>
    <w:p>
      <w:pPr>
        <w:spacing w:lineRule="auto" w:line="360" w:before="0" w:after="0"/>
        <w:ind w:firstLine="480"/>
      </w:pPr>
      <w:r>
        <w:rPr>
          <w:rFonts w:ascii="Times New Roman" w:hAnsi="Times New Roman" w:eastAsia="宋体"/>
          <w:sz w:val="24"/>
        </w:rPr>
        <w:t>通过本次扩充，说明书从工程背景、设计条件、方案比较、平面布置、装卸工艺、结构构造到稳定计算形成了较完整的设计链条。沉箱方案和大圆筒方案均给出了图纸和计算依据，其中沉箱方案作为推荐结构展开更详细，符合初步设计阶段对主方案深度的要求。</w:t>
      </w:r>
    </w:p>
    <w:p>
      <w:pPr>
        <w:spacing w:lineRule="auto" w:line="360" w:before="0" w:after="0"/>
        <w:ind w:firstLine="480"/>
      </w:pPr>
      <w:r>
        <w:rPr>
          <w:rFonts w:ascii="Times New Roman" w:hAnsi="Times New Roman" w:eastAsia="宋体"/>
          <w:sz w:val="24"/>
        </w:rPr>
        <w:t>计算章节显示，沉箱方案在抗滑、抗倾覆和基床应力方面均有较高安全储备，且施工和维护风险相对可控；大圆筒方案整体稳定满足要求，但对吊装、坐床和筒间防漏的依赖更强，因此作为比选方案保留。</w:t>
      </w:r>
    </w:p>
    <w:p>
      <w:pPr>
        <w:pStyle w:val="2"/>
        <w:jc w:val="left"/>
      </w:pPr>
      <w:r>
        <w:rPr>
          <w:rFonts w:ascii="Times New Roman" w:hAnsi="Times New Roman" w:eastAsia="宋体"/>
          <w:b/>
          <w:sz w:val="24"/>
        </w:rPr>
        <w:t xml:space="preserve"> 后续深化建议</w:t>
      </w:r>
    </w:p>
    <w:p>
      <w:pPr>
        <w:spacing w:lineRule="auto" w:line="360" w:before="0" w:after="0"/>
        <w:ind w:firstLine="480"/>
      </w:pPr>
      <w:r>
        <w:rPr>
          <w:rFonts w:ascii="Times New Roman" w:hAnsi="Times New Roman" w:eastAsia="宋体"/>
          <w:sz w:val="24"/>
        </w:rPr>
        <w:t>后续设计应补充更完整的工程地质勘察资料，对沉箱基床承载力、地基沉降和差异沉降进行数值复核。对于大圆筒方案，应重点复核坐床应力、筒间接缝防漏和吊装阶段构件受力。</w:t>
      </w:r>
    </w:p>
    <w:p>
      <w:pPr>
        <w:spacing w:lineRule="auto" w:line="360" w:before="0" w:after="0"/>
        <w:ind w:firstLine="480"/>
      </w:pPr>
      <w:r>
        <w:rPr>
          <w:rFonts w:ascii="Times New Roman" w:hAnsi="Times New Roman" w:eastAsia="宋体"/>
          <w:sz w:val="24"/>
        </w:rPr>
        <w:t>在结构深化方面，沉箱预制、浮运、安装和接缝处理应结合类似重力式沉箱工程施工经验进一步细化。</w:t>
      </w:r>
      <w:r>
        <w:rPr>
          <w:rFonts w:ascii="Times New Roman" w:hAnsi="Times New Roman" w:eastAsia="宋体"/>
          <w:sz w:val="24"/>
          <w:vertAlign w:val="superscript"/>
        </w:rPr>
        <w:t>[16]</w:t>
      </w:r>
      <w:r>
        <w:rPr>
          <w:rFonts w:ascii="Times New Roman" w:hAnsi="Times New Roman" w:eastAsia="宋体"/>
          <w:sz w:val="24"/>
        </w:rPr>
        <w:t>结构尺寸和断面形式可结合已有码头结构优化比选研究进行复核。</w:t>
      </w:r>
      <w:r>
        <w:rPr>
          <w:rFonts w:ascii="Times New Roman" w:hAnsi="Times New Roman" w:eastAsia="宋体"/>
          <w:sz w:val="24"/>
          <w:vertAlign w:val="superscript"/>
        </w:rPr>
        <w:t>[17]</w:t>
      </w:r>
      <w:r>
        <w:rPr>
          <w:rFonts w:ascii="Times New Roman" w:hAnsi="Times New Roman" w:eastAsia="宋体"/>
          <w:sz w:val="24"/>
        </w:rPr>
        <w:t>基床处理应重点关注块石规格、整平质量、密实度和施工后沉降控制。</w:t>
      </w:r>
      <w:r>
        <w:rPr>
          <w:rFonts w:ascii="Times New Roman" w:hAnsi="Times New Roman" w:eastAsia="宋体"/>
          <w:sz w:val="24"/>
          <w:vertAlign w:val="superscript"/>
        </w:rPr>
        <w:t>[18]</w:t>
      </w:r>
      <w:r>
        <w:rPr>
          <w:rFonts w:ascii="Times New Roman" w:hAnsi="Times New Roman" w:eastAsia="宋体"/>
          <w:sz w:val="24"/>
        </w:rPr>
        <w:t>后续运维阶段还需关注重力式码头常见的沉降、裂缝、冲刷和接缝渗漏问题。</w:t>
      </w:r>
      <w:r>
        <w:rPr>
          <w:rFonts w:ascii="Times New Roman" w:hAnsi="Times New Roman" w:eastAsia="宋体"/>
          <w:sz w:val="24"/>
          <w:vertAlign w:val="superscript"/>
        </w:rPr>
        <w:t>[19]</w:t>
      </w:r>
      <w:r>
        <w:rPr>
          <w:rFonts w:ascii="Times New Roman" w:hAnsi="Times New Roman" w:eastAsia="宋体"/>
          <w:sz w:val="24"/>
        </w:rPr>
        <w:t>施工组织设计应同步建立沉箱码头施工安全风险识别和分级控制措施。</w:t>
      </w:r>
      <w:r>
        <w:rPr>
          <w:rFonts w:ascii="Times New Roman" w:hAnsi="Times New Roman" w:eastAsia="宋体"/>
          <w:sz w:val="24"/>
          <w:vertAlign w:val="superscript"/>
        </w:rPr>
        <w:t>[20]</w:t>
      </w:r>
    </w:p>
    <w:p>
      <w:pPr>
        <w:spacing w:lineRule="auto" w:line="360" w:before="0" w:after="0"/>
        <w:ind w:firstLine="480"/>
      </w:pPr>
      <w:r>
        <w:rPr>
          <w:rFonts w:ascii="Times New Roman" w:hAnsi="Times New Roman" w:eastAsia="宋体"/>
          <w:sz w:val="24"/>
        </w:rPr>
        <w:t>施工图阶段应进一步深化胸墙、护舷、系船柱、电缆槽、排水沟、倒滤层和变形缝节点，并根据结构内力计算确定钢筋直径、间距和锚固长度。</w:t>
      </w:r>
    </w:p>
    <w:p>
      <w:pPr>
        <w:spacing w:lineRule="auto" w:line="360" w:before="0" w:after="0"/>
        <w:ind w:firstLine="480"/>
      </w:pPr>
      <w:r>
        <w:rPr>
          <w:rFonts w:ascii="Times New Roman" w:hAnsi="Times New Roman" w:eastAsia="宋体"/>
          <w:sz w:val="24"/>
        </w:rPr>
        <w:t>运营阶段应结合港区实际航线、到港不均衡和闸口效率优化堆场分区。若远期吞吐量继续增长，可预留自动化堆场、铁路装卸能力提升和智能调度系统改造条件。</w:t>
      </w:r>
    </w:p>
    <w:p>
      <w:pPr>
        <w:spacing w:lineRule="auto" w:line="360" w:before="0" w:after="0"/>
        <w:ind w:firstLine="480"/>
      </w:pPr>
      <w:r>
        <w:rPr>
          <w:rFonts w:ascii="Times New Roman" w:hAnsi="Times New Roman" w:eastAsia="宋体"/>
          <w:sz w:val="24"/>
        </w:rPr>
        <w:t>装卸工艺深化时，可结合装卸同步工艺与堆场平面布置研究复核船边作业和后方堆存的匹配关系。</w:t>
      </w:r>
      <w:r>
        <w:rPr>
          <w:rFonts w:ascii="Times New Roman" w:hAnsi="Times New Roman" w:eastAsia="宋体"/>
          <w:sz w:val="24"/>
          <w:vertAlign w:val="superscript"/>
        </w:rPr>
        <w:t>[21]</w:t>
      </w:r>
      <w:r>
        <w:rPr>
          <w:rFonts w:ascii="Times New Roman" w:hAnsi="Times New Roman" w:eastAsia="宋体"/>
          <w:sz w:val="24"/>
        </w:rPr>
        <w:t>装卸资源分配模拟研究可为岸桥、集卡和堆场设备的高峰配置提供参考。</w:t>
      </w:r>
      <w:r>
        <w:rPr>
          <w:rFonts w:ascii="Times New Roman" w:hAnsi="Times New Roman" w:eastAsia="宋体"/>
          <w:sz w:val="24"/>
          <w:vertAlign w:val="superscript"/>
        </w:rPr>
        <w:t>[22]</w:t>
      </w:r>
      <w:r>
        <w:rPr>
          <w:rFonts w:ascii="Times New Roman" w:hAnsi="Times New Roman" w:eastAsia="宋体"/>
          <w:sz w:val="24"/>
        </w:rPr>
        <w:t>岸桥与集卡协作优化研究提示应减少岸桥等待和集卡排队时间。</w:t>
      </w:r>
      <w:r>
        <w:rPr>
          <w:rFonts w:ascii="Times New Roman" w:hAnsi="Times New Roman" w:eastAsia="宋体"/>
          <w:sz w:val="24"/>
          <w:vertAlign w:val="superscript"/>
        </w:rPr>
        <w:t>[23]</w:t>
      </w:r>
      <w:r>
        <w:rPr>
          <w:rFonts w:ascii="Times New Roman" w:hAnsi="Times New Roman" w:eastAsia="宋体"/>
          <w:sz w:val="24"/>
        </w:rPr>
        <w:t>集卡路径选择研究可用于校核主次道路组织和堆场内部绕行距离。</w:t>
      </w:r>
      <w:r>
        <w:rPr>
          <w:rFonts w:ascii="Times New Roman" w:hAnsi="Times New Roman" w:eastAsia="宋体"/>
          <w:sz w:val="24"/>
          <w:vertAlign w:val="superscript"/>
        </w:rPr>
        <w:t>[24]</w:t>
      </w:r>
      <w:r>
        <w:rPr>
          <w:rFonts w:ascii="Times New Roman" w:hAnsi="Times New Roman" w:eastAsia="宋体"/>
          <w:sz w:val="24"/>
        </w:rPr>
        <w:t>装卸机械配置仿真成果可作为设备数量和利用率复核的补充依据。</w:t>
      </w:r>
      <w:r>
        <w:rPr>
          <w:rFonts w:ascii="Times New Roman" w:hAnsi="Times New Roman" w:eastAsia="宋体"/>
          <w:sz w:val="24"/>
          <w:vertAlign w:val="superscript"/>
        </w:rPr>
        <w:t>[25]</w:t>
      </w:r>
    </w:p>
    <w:p>
      <w:pPr>
        <w:spacing w:lineRule="auto" w:line="360" w:before="0" w:after="0"/>
        <w:ind w:firstLine="480"/>
      </w:pPr>
      <w:r>
        <w:rPr>
          <w:rFonts w:ascii="Times New Roman" w:hAnsi="Times New Roman" w:eastAsia="宋体"/>
          <w:sz w:val="24"/>
        </w:rPr>
        <w:t>铁路装卸线和集装箱堆场衔接应在施工图阶段进一步核对到发线、装卸线和道路交叉组织。</w:t>
      </w:r>
      <w:r>
        <w:rPr>
          <w:rFonts w:ascii="Times New Roman" w:hAnsi="Times New Roman" w:eastAsia="宋体"/>
          <w:sz w:val="24"/>
          <w:vertAlign w:val="superscript"/>
        </w:rPr>
        <w:t>[26]</w:t>
      </w:r>
      <w:r>
        <w:rPr>
          <w:rFonts w:ascii="Times New Roman" w:hAnsi="Times New Roman" w:eastAsia="宋体"/>
          <w:sz w:val="24"/>
        </w:rPr>
        <w:t>远期自动化改造可结合自动化集装箱码头装卸工艺和设备配置经验预留接口。</w:t>
      </w:r>
      <w:r>
        <w:rPr>
          <w:rFonts w:ascii="Times New Roman" w:hAnsi="Times New Roman" w:eastAsia="宋体"/>
          <w:sz w:val="24"/>
          <w:vertAlign w:val="superscript"/>
        </w:rPr>
        <w:t>[27]</w:t>
      </w:r>
      <w:r>
        <w:rPr>
          <w:rFonts w:ascii="Times New Roman" w:hAnsi="Times New Roman" w:eastAsia="宋体"/>
          <w:sz w:val="24"/>
        </w:rPr>
        <w:t>堆场布局优化研究可为重箱区、空箱区和预留发展区的空间比例调整提供依据。</w:t>
      </w:r>
      <w:r>
        <w:rPr>
          <w:rFonts w:ascii="Times New Roman" w:hAnsi="Times New Roman" w:eastAsia="宋体"/>
          <w:sz w:val="24"/>
          <w:vertAlign w:val="superscript"/>
        </w:rPr>
        <w:t>[28]</w:t>
      </w:r>
      <w:r>
        <w:rPr>
          <w:rFonts w:ascii="Times New Roman" w:hAnsi="Times New Roman" w:eastAsia="宋体"/>
          <w:sz w:val="24"/>
        </w:rPr>
        <w:t>堆场车道工艺仿真可用于验证集卡循环、交叉口通行和箱区出入口组织。</w:t>
      </w:r>
      <w:r>
        <w:rPr>
          <w:rFonts w:ascii="Times New Roman" w:hAnsi="Times New Roman" w:eastAsia="宋体"/>
          <w:sz w:val="24"/>
          <w:vertAlign w:val="superscript"/>
        </w:rPr>
        <w:t>[29]</w:t>
      </w:r>
      <w:r>
        <w:rPr>
          <w:rFonts w:ascii="Times New Roman" w:hAnsi="Times New Roman" w:eastAsia="宋体"/>
          <w:sz w:val="24"/>
        </w:rPr>
        <w:t>国外小型集装箱码头垂直堆场布局效率研究可为中型泊位堆场组织提供对比。</w:t>
      </w:r>
      <w:r>
        <w:rPr>
          <w:rFonts w:ascii="Times New Roman" w:hAnsi="Times New Roman" w:eastAsia="宋体"/>
          <w:sz w:val="24"/>
          <w:vertAlign w:val="superscript"/>
        </w:rPr>
        <w:t>[30]</w:t>
      </w:r>
      <w:r>
        <w:rPr>
          <w:rFonts w:ascii="Times New Roman" w:hAnsi="Times New Roman" w:eastAsia="宋体"/>
          <w:sz w:val="24"/>
        </w:rPr>
        <w:t>集装箱码头布局设计的演化研究也提示后续应兼顾传统工艺与自动化升级的衔接。</w:t>
      </w:r>
      <w:r>
        <w:rPr>
          <w:rFonts w:ascii="Times New Roman" w:hAnsi="Times New Roman" w:eastAsia="宋体"/>
          <w:sz w:val="24"/>
          <w:vertAlign w:val="superscript"/>
        </w:rPr>
        <w:t>[31]</w:t>
      </w:r>
    </w:p>
    <w:p>
      <w:pPr>
        <w:spacing w:lineRule="auto" w:line="360" w:before="0" w:after="0"/>
        <w:ind w:firstLine="480"/>
      </w:pPr>
      <w:r>
        <w:rPr>
          <w:rFonts w:ascii="Times New Roman" w:hAnsi="Times New Roman" w:eastAsia="宋体"/>
          <w:sz w:val="24"/>
        </w:rPr>
        <w:t>后续若继续深化，应优先补充三类资料：第一，完整工程地质勘察资料，用于精确复核基床承载、沉降和整体滑动；第二，施工设备和预制场条件，用于确定沉箱出运或大圆筒吊装可行性；第三，运营组织数据，用于优化堆场周转、闸口能力和铁路换装比例。</w:t>
      </w:r>
    </w:p>
    <w:p>
      <w:pPr>
        <w:spacing w:lineRule="auto" w:line="360" w:before="0" w:after="0"/>
        <w:ind w:firstLine="480"/>
      </w:pPr>
      <w:r>
        <w:rPr>
          <w:rFonts w:ascii="Times New Roman" w:hAnsi="Times New Roman" w:eastAsia="宋体"/>
          <w:sz w:val="24"/>
        </w:rPr>
        <w:t>施工图阶段还应把本说明书中的估算参数转化为可实施的设计文件，包括沉箱配筋详图、胸墙和轨道梁构造、护舷与系船柱基础、基床整平标准、倒滤层节点、监测方案和工程量清单。</w:t>
      </w:r>
    </w:p>
    <w:p>
      <w:pPr>
        <w:pageBreakBefore/>
        <w:jc w:val="center"/>
      </w:pPr>
      <w:r>
        <w:rPr>
          <w:rFonts w:ascii="Times New Roman" w:hAnsi="Times New Roman" w:eastAsia="宋体"/>
          <w:b/>
          <w:sz w:val="30"/>
        </w:rPr>
        <w:t>参考文献</w:t>
      </w:r>
    </w:p>
    <w:p>
      <w:pPr>
        <w:keepLines/>
        <w:spacing w:lineRule="auto" w:line="300" w:before="0" w:after="0"/>
        <w:ind w:hanging="360" w:left="360"/>
      </w:pPr>
      <w:r>
        <w:rPr>
          <w:rFonts w:ascii="Times New Roman" w:hAnsi="Times New Roman" w:eastAsia="宋体"/>
          <w:sz w:val="20"/>
        </w:rPr>
        <w:t>[1] 中华人民共和国交通运输部. 港口工程初步设计文件编制规定: JTS/T 110-4-2025[S]. 北京: 人民交通出版社股份有限公司, 2025.</w:t>
      </w:r>
    </w:p>
    <w:p>
      <w:pPr>
        <w:keepLines/>
        <w:spacing w:lineRule="auto" w:line="300" w:before="0" w:after="0"/>
        <w:ind w:hanging="360" w:left="360"/>
      </w:pPr>
      <w:r>
        <w:rPr>
          <w:rFonts w:ascii="Times New Roman" w:hAnsi="Times New Roman" w:eastAsia="宋体"/>
          <w:sz w:val="20"/>
        </w:rPr>
        <w:t>[2] 中华人民共和国交通运输部. 海港总体设计规范: JTS 165-2013[S]. 北京: 人民交通出版社股份有限公司, 2013.</w:t>
      </w:r>
    </w:p>
    <w:p>
      <w:pPr>
        <w:keepLines/>
        <w:spacing w:lineRule="auto" w:line="300" w:before="0" w:after="0"/>
        <w:ind w:hanging="360" w:left="360"/>
      </w:pPr>
      <w:r>
        <w:rPr>
          <w:rFonts w:ascii="Times New Roman" w:hAnsi="Times New Roman" w:eastAsia="宋体"/>
          <w:sz w:val="20"/>
        </w:rPr>
        <w:t>[3] 中华人民共和国交通运输部. 海港集装箱码头设计规范: JTS 165-4-2011[S]. 北京: 人民交通出版社股份有限公司, 2011.</w:t>
      </w:r>
    </w:p>
    <w:p>
      <w:pPr>
        <w:keepLines/>
        <w:spacing w:lineRule="auto" w:line="300" w:before="0" w:after="0"/>
        <w:ind w:hanging="360" w:left="360"/>
      </w:pPr>
      <w:r>
        <w:rPr>
          <w:rFonts w:ascii="Times New Roman" w:hAnsi="Times New Roman" w:eastAsia="宋体"/>
          <w:sz w:val="20"/>
        </w:rPr>
        <w:t>[4] 中华人民共和国交通运输部. 码头结构设计规范: JTS 167-2018[S]. 北京: 人民交通出版社股份有限公司, 2018.</w:t>
      </w:r>
    </w:p>
    <w:p>
      <w:pPr>
        <w:keepLines/>
        <w:spacing w:lineRule="auto" w:line="300" w:before="0" w:after="0"/>
        <w:ind w:hanging="360" w:left="360"/>
      </w:pPr>
      <w:r>
        <w:rPr>
          <w:rFonts w:ascii="Times New Roman" w:hAnsi="Times New Roman" w:eastAsia="宋体"/>
          <w:sz w:val="20"/>
        </w:rPr>
        <w:t>[5] 中华人民共和国交通运输部. 水运工程地基设计规范: JTS 147-2017[S]. 北京: 人民交通出版社股份有限公司, 2017.</w:t>
      </w:r>
    </w:p>
    <w:p>
      <w:pPr>
        <w:keepLines/>
        <w:spacing w:lineRule="auto" w:line="300" w:before="0" w:after="0"/>
        <w:ind w:hanging="360" w:left="360"/>
      </w:pPr>
      <w:r>
        <w:rPr>
          <w:rFonts w:ascii="Times New Roman" w:hAnsi="Times New Roman" w:eastAsia="宋体"/>
          <w:sz w:val="20"/>
        </w:rPr>
        <w:t>[6] 中华人民共和国交通运输部. 水运工程混凝土结构设计规范: JTS 151-2011[S]. 北京: 人民交通出版社股份有限公司, 2011.</w:t>
      </w:r>
    </w:p>
    <w:p>
      <w:pPr>
        <w:keepLines/>
        <w:spacing w:lineRule="auto" w:line="300" w:before="0" w:after="0"/>
        <w:ind w:hanging="360" w:left="360"/>
      </w:pPr>
      <w:r>
        <w:rPr>
          <w:rFonts w:ascii="Times New Roman" w:hAnsi="Times New Roman" w:eastAsia="宋体"/>
          <w:sz w:val="20"/>
        </w:rPr>
        <w:t>[7] 王元战. 港工建筑物[M]. 天津: 天津大学出版社, 2009.</w:t>
      </w:r>
    </w:p>
    <w:p>
      <w:pPr>
        <w:keepLines/>
        <w:spacing w:lineRule="auto" w:line="300" w:before="0" w:after="0"/>
        <w:ind w:hanging="360" w:left="360"/>
      </w:pPr>
      <w:r>
        <w:rPr>
          <w:rFonts w:ascii="Times New Roman" w:hAnsi="Times New Roman" w:eastAsia="宋体"/>
          <w:sz w:val="20"/>
        </w:rPr>
        <w:t>[8] 交通运输部规划研究院. 北部湾港总体规划（2021—2035年）[R]. 北京: 交通运输部规划研究院, 2021.</w:t>
      </w:r>
    </w:p>
    <w:p>
      <w:pPr>
        <w:keepLines/>
        <w:spacing w:lineRule="auto" w:line="300" w:before="0" w:after="0"/>
        <w:ind w:hanging="360" w:left="360"/>
      </w:pPr>
      <w:r>
        <w:rPr>
          <w:rFonts w:ascii="Times New Roman" w:hAnsi="Times New Roman" w:eastAsia="宋体"/>
          <w:sz w:val="20"/>
        </w:rPr>
        <w:t>[9] 防城港市统计局. 防城港市国民经济和社会发展统计公报[R]. 防城港: 防城港市统计局, 2025.</w:t>
      </w:r>
    </w:p>
    <w:p>
      <w:pPr>
        <w:keepLines/>
        <w:spacing w:lineRule="auto" w:line="300" w:before="0" w:after="0"/>
        <w:ind w:hanging="360" w:left="360"/>
      </w:pPr>
      <w:r>
        <w:rPr>
          <w:rFonts w:ascii="Times New Roman" w:hAnsi="Times New Roman" w:eastAsia="宋体"/>
          <w:sz w:val="20"/>
        </w:rPr>
        <w:t>[10] 孙熙平,张宝华,张强.重力式码头基床遭水流冲刷后的稳定性分析[J].岩土力学,2010:165-171.</w:t>
      </w:r>
    </w:p>
    <w:p>
      <w:pPr>
        <w:keepLines/>
        <w:spacing w:lineRule="auto" w:line="300" w:before="0" w:after="0"/>
        <w:ind w:hanging="360" w:left="360"/>
      </w:pPr>
      <w:r>
        <w:rPr>
          <w:rFonts w:ascii="Times New Roman" w:hAnsi="Times New Roman" w:eastAsia="宋体"/>
          <w:sz w:val="20"/>
        </w:rPr>
        <w:t>[11] 张立斌;王沈元;林奎;苏君利;刘春泽.集装箱码头自动化堆场布置及设备方案选择[J].水运工程,2021:7.</w:t>
      </w:r>
    </w:p>
    <w:p>
      <w:pPr>
        <w:keepLines/>
        <w:spacing w:lineRule="auto" w:line="300" w:before="0" w:after="0"/>
        <w:ind w:hanging="360" w:left="360"/>
      </w:pPr>
      <w:r>
        <w:rPr>
          <w:rFonts w:ascii="Times New Roman" w:hAnsi="Times New Roman" w:eastAsia="宋体"/>
          <w:sz w:val="20"/>
        </w:rPr>
        <w:t>[12] Jachimowski R., Kłodawski M.. The impact of container yard layout on the cargo handling time of external transport vehicles in an intermodal terminal[J]. Archives of Transport, 2025, 73(1): 179-193. DOI: 10.61089/aot2025.4f22k916.</w:t>
      </w:r>
    </w:p>
    <w:p>
      <w:pPr>
        <w:keepLines/>
        <w:spacing w:lineRule="auto" w:line="300" w:before="0" w:after="0"/>
        <w:ind w:hanging="360" w:left="360"/>
      </w:pPr>
      <w:r>
        <w:rPr>
          <w:rFonts w:ascii="Times New Roman" w:hAnsi="Times New Roman" w:eastAsia="宋体"/>
          <w:sz w:val="20"/>
        </w:rPr>
        <w:t>[13] Nossack J., Briskorn D., Pesch E.. Container Dispatching and Conflict-Free Yard Crane Routing in an Automated Container Terminal[J]. Transportation Science, 2018, 52(5): 1059-1076. DOI: 10.1287/trsc.2017.0811.</w:t>
      </w:r>
    </w:p>
    <w:p>
      <w:pPr>
        <w:keepLines/>
        <w:spacing w:lineRule="auto" w:line="300" w:before="0" w:after="0"/>
        <w:ind w:hanging="360" w:left="360"/>
      </w:pPr>
      <w:r>
        <w:rPr>
          <w:rFonts w:ascii="Times New Roman" w:hAnsi="Times New Roman" w:eastAsia="宋体"/>
          <w:sz w:val="20"/>
        </w:rPr>
        <w:t>[14] 王利欢,贡金鑫,李荣庆.重力式码头稳定性可靠指标简化计算方法[J].水运工程,2011:163-169.</w:t>
      </w:r>
    </w:p>
    <w:p>
      <w:pPr>
        <w:keepLines/>
        <w:spacing w:lineRule="auto" w:line="300" w:before="0" w:after="0"/>
        <w:ind w:hanging="360" w:left="360"/>
      </w:pPr>
      <w:r>
        <w:rPr>
          <w:rFonts w:ascii="Times New Roman" w:hAnsi="Times New Roman" w:eastAsia="宋体"/>
          <w:sz w:val="20"/>
        </w:rPr>
        <w:t>[15] 王元战. 港口与海岸水工建筑物：港口航道与海岸工程专业[M]. 北京: 人民交通出版社, 2015.</w:t>
      </w:r>
    </w:p>
    <w:p>
      <w:pPr>
        <w:keepLines/>
        <w:spacing w:lineRule="auto" w:line="300" w:before="0" w:after="0"/>
        <w:ind w:hanging="360" w:left="360"/>
      </w:pPr>
      <w:r>
        <w:rPr>
          <w:rFonts w:ascii="Times New Roman" w:hAnsi="Times New Roman" w:eastAsia="宋体"/>
          <w:sz w:val="20"/>
        </w:rPr>
        <w:t>[16] 陈钧颐,赵春潮,孙彬.超大型码头重力式沉箱结构施工技术[J].建筑技术,2011:50-53.</w:t>
      </w:r>
    </w:p>
    <w:p>
      <w:pPr>
        <w:keepLines/>
        <w:spacing w:lineRule="auto" w:line="300" w:before="0" w:after="0"/>
        <w:ind w:hanging="360" w:left="360"/>
      </w:pPr>
      <w:r>
        <w:rPr>
          <w:rFonts w:ascii="Times New Roman" w:hAnsi="Times New Roman" w:eastAsia="宋体"/>
          <w:sz w:val="20"/>
        </w:rPr>
        <w:t>[17] 吴信,谢安丰.某港重力式码头结构优化比选分析[J].西部交通科技,2015:112-115.</w:t>
      </w:r>
    </w:p>
    <w:p>
      <w:pPr>
        <w:keepLines/>
        <w:spacing w:lineRule="auto" w:line="300" w:before="0" w:after="0"/>
        <w:ind w:hanging="360" w:left="360"/>
      </w:pPr>
      <w:r>
        <w:rPr>
          <w:rFonts w:ascii="Times New Roman" w:hAnsi="Times New Roman" w:eastAsia="宋体"/>
          <w:sz w:val="20"/>
        </w:rPr>
        <w:t>[18] 姜利清.重力式沉箱结构码头基床处理技术研究[J].中国水运(下半月),2015:273-274.</w:t>
      </w:r>
    </w:p>
    <w:p>
      <w:pPr>
        <w:keepLines/>
        <w:spacing w:lineRule="auto" w:line="300" w:before="0" w:after="0"/>
        <w:ind w:hanging="360" w:left="360"/>
      </w:pPr>
      <w:r>
        <w:rPr>
          <w:rFonts w:ascii="Times New Roman" w:hAnsi="Times New Roman" w:eastAsia="宋体"/>
          <w:sz w:val="20"/>
        </w:rPr>
        <w:t>[19] 符家英,林燕婷,黄松涛.重力式码头通病的应对措施[J].水运工程,2016:178-180+185.</w:t>
      </w:r>
    </w:p>
    <w:p>
      <w:pPr>
        <w:keepLines/>
        <w:spacing w:lineRule="auto" w:line="300" w:before="0" w:after="0"/>
        <w:ind w:hanging="360" w:left="360"/>
      </w:pPr>
      <w:r>
        <w:rPr>
          <w:rFonts w:ascii="Times New Roman" w:hAnsi="Times New Roman" w:eastAsia="宋体"/>
          <w:sz w:val="20"/>
        </w:rPr>
        <w:t>[20] 王学军,张治敏.沿海沉箱码头施工安全风险评估体系研究[J].重庆交通大学学报(自然科学版),2012:151-155.</w:t>
      </w:r>
    </w:p>
    <w:p>
      <w:pPr>
        <w:keepLines/>
        <w:spacing w:lineRule="auto" w:line="300" w:before="0" w:after="0"/>
        <w:ind w:hanging="360" w:left="360"/>
      </w:pPr>
      <w:r>
        <w:rPr>
          <w:rFonts w:ascii="Times New Roman" w:hAnsi="Times New Roman" w:eastAsia="宋体"/>
          <w:sz w:val="20"/>
        </w:rPr>
        <w:t>[21] 刘琴,周强,张艳伟.同贝位同步装卸的集装箱码头装卸工艺与堆场平面布置[J].水运工程,2011:86-89.</w:t>
      </w:r>
    </w:p>
    <w:p>
      <w:pPr>
        <w:keepLines/>
        <w:spacing w:lineRule="auto" w:line="300" w:before="0" w:after="0"/>
        <w:ind w:hanging="360" w:left="360"/>
      </w:pPr>
      <w:r>
        <w:rPr>
          <w:rFonts w:ascii="Times New Roman" w:hAnsi="Times New Roman" w:eastAsia="宋体"/>
          <w:sz w:val="20"/>
        </w:rPr>
        <w:t>[22] 金鑫,丁以中.新工艺下集装箱码头装卸资源分配模拟[J].上海海事大学学报,2010:31-35.</w:t>
      </w:r>
    </w:p>
    <w:p>
      <w:pPr>
        <w:keepLines/>
        <w:spacing w:lineRule="auto" w:line="300" w:before="0" w:after="0"/>
        <w:ind w:hanging="360" w:left="360"/>
      </w:pPr>
      <w:r>
        <w:rPr>
          <w:rFonts w:ascii="Times New Roman" w:hAnsi="Times New Roman" w:eastAsia="宋体"/>
          <w:sz w:val="20"/>
        </w:rPr>
        <w:t>[23] 张笑,韩晓龙.集装箱码头岸桥与集卡装卸协作优化[J].水运工程,2013:146-150.</w:t>
      </w:r>
    </w:p>
    <w:p>
      <w:pPr>
        <w:keepLines/>
        <w:spacing w:lineRule="auto" w:line="300" w:before="0" w:after="0"/>
        <w:ind w:hanging="360" w:left="360"/>
      </w:pPr>
      <w:r>
        <w:rPr>
          <w:rFonts w:ascii="Times New Roman" w:hAnsi="Times New Roman" w:eastAsia="宋体"/>
          <w:sz w:val="20"/>
        </w:rPr>
        <w:t>[24] 王军,许晓雷.集装箱码头集卡作业的路径选择[J].大连海事大学学报,2011:28-30+37.</w:t>
      </w:r>
    </w:p>
    <w:p>
      <w:pPr>
        <w:keepLines/>
        <w:spacing w:lineRule="auto" w:line="300" w:before="0" w:after="0"/>
        <w:ind w:hanging="360" w:left="360"/>
      </w:pPr>
      <w:r>
        <w:rPr>
          <w:rFonts w:ascii="Times New Roman" w:hAnsi="Times New Roman" w:eastAsia="宋体"/>
          <w:sz w:val="20"/>
        </w:rPr>
        <w:t>[25] 郭姝娟,何凤云,赵丹.集装箱码头装卸机械配置优化仿真[J].中国航海,2014:100-104.</w:t>
      </w:r>
    </w:p>
    <w:p>
      <w:pPr>
        <w:keepLines/>
        <w:spacing w:lineRule="auto" w:line="300" w:before="0" w:after="0"/>
        <w:ind w:hanging="360" w:left="360"/>
      </w:pPr>
      <w:r>
        <w:rPr>
          <w:rFonts w:ascii="Times New Roman" w:hAnsi="Times New Roman" w:eastAsia="宋体"/>
          <w:sz w:val="20"/>
        </w:rPr>
        <w:t>[26] 刘学武,魏恒州.集装箱码头铁路装卸线/场总体布置浅析[J].港工技术,2015:24-26+33.</w:t>
      </w:r>
    </w:p>
    <w:p>
      <w:pPr>
        <w:keepLines/>
        <w:spacing w:lineRule="auto" w:line="300" w:before="0" w:after="0"/>
        <w:ind w:hanging="360" w:left="360"/>
      </w:pPr>
      <w:r>
        <w:rPr>
          <w:rFonts w:ascii="Times New Roman" w:hAnsi="Times New Roman" w:eastAsia="宋体"/>
          <w:sz w:val="20"/>
        </w:rPr>
        <w:t>[27] 杨瑞,谢文宁.自动化集装箱码头的装卸工艺及设备[J].集装箱化,2010:7-9.</w:t>
      </w:r>
    </w:p>
    <w:p>
      <w:pPr>
        <w:keepLines/>
        <w:spacing w:lineRule="auto" w:line="300" w:before="0" w:after="0"/>
        <w:ind w:hanging="360" w:left="360"/>
      </w:pPr>
      <w:r>
        <w:rPr>
          <w:rFonts w:ascii="Times New Roman" w:hAnsi="Times New Roman" w:eastAsia="宋体"/>
          <w:sz w:val="20"/>
        </w:rPr>
        <w:t>[28] 沙梅,周鑫,秦天保.集装箱码头堆场布局优化与仿真研究[J].工业工程与管理,2013:28-34.</w:t>
      </w:r>
    </w:p>
    <w:p>
      <w:pPr>
        <w:keepLines/>
        <w:spacing w:lineRule="auto" w:line="300" w:before="0" w:after="0"/>
        <w:ind w:hanging="360" w:left="360"/>
      </w:pPr>
      <w:r>
        <w:rPr>
          <w:rFonts w:ascii="Times New Roman" w:hAnsi="Times New Roman" w:eastAsia="宋体"/>
          <w:sz w:val="20"/>
        </w:rPr>
        <w:t>[29] 张清波;柴佳祺;张雨婷.集装箱码头堆场车道工艺仿真分析[J].起重运输机械,2021:5.</w:t>
      </w:r>
    </w:p>
    <w:p>
      <w:pPr>
        <w:keepLines/>
        <w:spacing w:lineRule="auto" w:line="300" w:before="0" w:after="0"/>
        <w:ind w:hanging="360" w:left="360"/>
      </w:pPr>
      <w:r>
        <w:rPr>
          <w:rFonts w:ascii="Times New Roman" w:hAnsi="Times New Roman" w:eastAsia="宋体"/>
          <w:sz w:val="20"/>
        </w:rPr>
        <w:t>[30] Stojaković M., Twrdy E.. Efficiency Evaluation of a Small Container Terminal with Perpendicular Yard Layout Using Shuttle Carriers[J]. Journal of Marine Science and Engineering, 2023, 11(2): 449. DOI: 10.3390/jmse11020449.</w:t>
      </w:r>
    </w:p>
    <w:p>
      <w:pPr>
        <w:keepLines/>
        <w:spacing w:lineRule="auto" w:line="300" w:before="0" w:after="0"/>
        <w:ind w:hanging="360" w:left="360"/>
      </w:pPr>
      <w:r>
        <w:rPr>
          <w:rFonts w:ascii="Times New Roman" w:hAnsi="Times New Roman" w:eastAsia="宋体"/>
          <w:sz w:val="20"/>
        </w:rPr>
        <w:t>[31] Gharehgozli A., Zaerpour N., de Koster R.. Container terminal layout design: transition and future[J]. Maritime Economics &amp; Logistics, 2020, 22(4): 610-639. DOI: 10.1057/s41278-019-00131-9.</w:t>
      </w:r>
    </w:p>
    <w:p>
      <w:pPr>
        <w:pageBreakBefore/>
        <w:jc w:val="center"/>
      </w:pPr>
      <w:r>
        <w:rPr>
          <w:rFonts w:ascii="Times New Roman" w:hAnsi="Times New Roman" w:eastAsia="宋体"/>
          <w:b/>
          <w:sz w:val="30"/>
        </w:rPr>
        <w:t>致 谢</w:t>
      </w:r>
    </w:p>
    <w:p>
      <w:pPr>
        <w:spacing w:lineRule="auto" w:line="360" w:before="0" w:after="0"/>
        <w:ind w:firstLine="480"/>
      </w:pPr>
      <w:r>
        <w:rPr>
          <w:rFonts w:ascii="Times New Roman" w:hAnsi="Times New Roman" w:eastAsia="宋体"/>
          <w:sz w:val="24"/>
        </w:rPr>
        <w:t>本毕业设计在资料整理、规范查阅、图纸深化和说明书编写过程中，得到了老师和同学的帮助。通过本次设计，我进一步熟悉了港口工程初步设计的基本流程，对总平面布置、装卸工艺、重力式码头结构和工程图纸表达之间的关系有了更系统的认识。</w:t>
      </w:r>
    </w:p>
    <w:p>
      <w:pPr>
        <w:spacing w:lineRule="auto" w:line="360" w:before="0" w:after="0"/>
        <w:ind w:firstLine="480"/>
      </w:pPr>
      <w:r>
        <w:rPr>
          <w:rFonts w:ascii="Times New Roman" w:hAnsi="Times New Roman" w:eastAsia="宋体"/>
          <w:sz w:val="24"/>
        </w:rPr>
        <w:t>感谢指导教师在选题、设计思路、图纸表达和说明书修改方面提出的意见。老师对比例、标注、图框、制图栏和设计说明完整性的要求，使本设计成果更加接近工程设计文件的表达习惯。</w:t>
      </w:r>
    </w:p>
    <w:p>
      <w:pPr>
        <w:spacing w:lineRule="auto" w:line="360" w:before="0" w:after="0"/>
        <w:ind w:firstLine="480"/>
      </w:pPr>
      <w:r>
        <w:rPr>
          <w:rFonts w:ascii="Times New Roman" w:hAnsi="Times New Roman" w:eastAsia="宋体"/>
          <w:sz w:val="24"/>
        </w:rPr>
        <w:t>由于本人专业能力和设计经验有限，文中计算和图纸仍有需要进一步复核之处，恳请各位老师批评指正。</w:t>
      </w:r>
    </w:p>
    <w:sectPr w:rsidR="00773978">
      <w:footerReference w:type="default" r:id="rId26"/>
      <w:pgSz w:w="11906" w:h="16838"/>
      <w:pgMar w:top="1559" w:right="1571" w:bottom="1440" w:left="2024" w:header="851" w:footer="992" w:gutter="0"/>
      <w:cols w:space="425"/>
      <w:docGrid w:linePitch="312"/>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A6754" w14:textId="77777777" w:rsidR="004631C8" w:rsidRDefault="004631C8">
      <w:pPr>
        <w:spacing w:before="48" w:line="240" w:lineRule="auto"/>
        <w:ind w:firstLine="480"/>
      </w:pPr>
      <w:r>
        <w:separator/>
      </w:r>
    </w:p>
  </w:endnote>
  <w:endnote w:type="continuationSeparator" w:id="0">
    <w:p w14:paraId="45DB38AA" w14:textId="77777777" w:rsidR="004631C8" w:rsidRDefault="004631C8">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9D8E" w14:textId="77777777" w:rsidR="00773978" w:rsidRDefault="007105B6">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end"/>
    </w:r>
  </w:p>
  <w:p w14:paraId="4D4418D1" w14:textId="77777777" w:rsidR="00773978" w:rsidRDefault="00773978">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2126" w14:textId="77777777" w:rsidR="00773978" w:rsidRDefault="00773978">
    <w:pPr>
      <w:pStyle w:val="aa"/>
      <w:spacing w:before="48"/>
      <w:ind w:firstLine="360"/>
      <w:jc w:val="center"/>
    </w:pPr>
  </w:p>
  <w:p w14:paraId="26709815" w14:textId="77777777" w:rsidR="00773978" w:rsidRDefault="00773978">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8E6B" w14:textId="77777777" w:rsidR="00773978" w:rsidRDefault="00773978">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2C89" w14:textId="77777777" w:rsidR="00773978" w:rsidRDefault="00773978">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0E407CF5" w14:textId="77777777" w:rsidR="00773978" w:rsidRDefault="007105B6">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5B066CAA" w14:textId="77777777" w:rsidR="00773978" w:rsidRDefault="00773978">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C5" w14:textId="12826E31" w:rsidR="00773978" w:rsidRDefault="007105B6">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6C4BF1">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50DA" w14:textId="77777777" w:rsidR="00773978" w:rsidRDefault="007105B6">
    <w:pPr>
      <w:pStyle w:val="aa"/>
      <w:spacing w:before="48"/>
      <w:ind w:firstLineChars="0" w:firstLine="0"/>
      <w:jc w:val="center"/>
      <w:rPr>
        <w:color w:val="000000"/>
      </w:rPr>
    </w:pPr>
    <w:r>
      <w:rPr>
        <w:color w:val="000000"/>
      </w:rPr>
      <w:fldChar w:fldCharType="begin"/>
    </w:r>
    <w:r>
      <w:rPr>
        <w:color w:val="000000"/>
      </w:rPr>
      <w:instrText>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249" w14:textId="77777777" w:rsidR="00773978" w:rsidRDefault="007105B6">
    <w:pPr>
      <w:pStyle w:val="aa"/>
      <w:framePr w:wrap="around" w:vAnchor="text" w:hAnchor="margin" w:xAlign="center" w:y="1"/>
      <w:spacing w:before="48"/>
      <w:ind w:firstLineChars="0" w:firstLine="0"/>
      <w:rPr>
        <w:rStyle w:val="af6"/>
        <w:rFonts w:asciiTheme="minorEastAsia" w:eastAsiaTheme="minorEastAsia" w:hAnsiTheme="minorEastAsia" w:hint="eastAsia"/>
      </w:rPr>
    </w:pPr>
    <w:r>
      <w:rPr>
        <w:rStyle w:val="af6"/>
        <w:rFonts w:asciiTheme="minorEastAsia" w:eastAsiaTheme="minorEastAsia" w:hAnsiTheme="minorEastAsia"/>
      </w:rPr>
      <w:fldChar w:fldCharType="begin"/>
    </w:r>
    <w:r>
      <w:rPr>
        <w:rStyle w:val="af6"/>
        <w:rFonts w:asciiTheme="minorEastAsia" w:eastAsiaTheme="minorEastAsia" w:hAnsiTheme="minorEastAsia"/>
      </w:rPr>
      <w:instrText xml:space="preserve">PAGE  </w:instrText>
    </w:r>
    <w:r>
      <w:rPr>
        <w:rStyle w:val="af6"/>
        <w:rFonts w:asciiTheme="minorEastAsia" w:eastAsiaTheme="minorEastAsia" w:hAnsiTheme="minorEastAsia"/>
      </w:rPr>
      <w:fldChar w:fldCharType="separate"/>
    </w:r>
    <w:r>
      <w:rPr>
        <w:rStyle w:val="af6"/>
        <w:rFonts w:asciiTheme="minorEastAsia" w:eastAsiaTheme="minorEastAsia" w:hAnsiTheme="minorEastAsia"/>
      </w:rPr>
      <w:t>8</w:t>
    </w:r>
    <w:r>
      <w:rPr>
        <w:rStyle w:val="af6"/>
        <w:rFonts w:asciiTheme="minorEastAsia" w:eastAsiaTheme="minorEastAsia" w:hAnsiTheme="minorEastAsia"/>
      </w:rPr>
      <w:fldChar w:fldCharType="end"/>
    </w:r>
  </w:p>
  <w:p w14:paraId="76FABA48" w14:textId="77777777" w:rsidR="00773978" w:rsidRDefault="00773978">
    <w:pPr>
      <w:pStyle w:val="aa"/>
      <w:spacing w:before="48"/>
      <w:ind w:firstLineChars="0" w:firstLine="0"/>
      <w:rPr>
        <w:rFonts w:asciiTheme="minorEastAsia" w:eastAsiaTheme="minorEastAsia" w:hAnsiTheme="minorEastAsia" w:hint="eastAsia"/>
      </w:rP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02F6" w14:textId="77777777" w:rsidR="004631C8" w:rsidRDefault="004631C8">
      <w:pPr>
        <w:spacing w:before="48"/>
        <w:ind w:firstLine="480"/>
      </w:pPr>
      <w:r>
        <w:separator/>
      </w:r>
    </w:p>
  </w:footnote>
  <w:footnote w:type="continuationSeparator" w:id="0">
    <w:p w14:paraId="0854DA38" w14:textId="77777777" w:rsidR="004631C8" w:rsidRDefault="004631C8">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2E1E" w14:textId="77777777" w:rsidR="00773978" w:rsidRDefault="00773978">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154B" w14:textId="77777777" w:rsidR="00773978" w:rsidRDefault="00773978">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DCE8" w14:textId="77777777" w:rsidR="00773978" w:rsidRDefault="00773978">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434F" w14:textId="77777777" w:rsidR="00773978" w:rsidRDefault="007105B6">
    <w:pPr>
      <w:pStyle w:val="ac"/>
      <w:pBdr>
        <w:bottom w:val="single" w:sz="4" w:space="1" w:color="auto"/>
      </w:pBdr>
      <w:spacing w:before="48"/>
      <w:ind w:firstLine="480"/>
    </w:pPr>
    <w:r>
      <w:rPr>
        <w:rFonts w:hint="eastAsia"/>
        <w:szCs w:val="21"/>
      </w:rPr>
      <w:t>天津大学硕士学位论文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C12D" w14:textId="77777777" w:rsidR="00773978" w:rsidRDefault="007105B6">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2BB"/>
    <w:multiLevelType w:val="hybridMultilevel"/>
    <w:tmpl w:val="B9E29C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B955530"/>
    <w:multiLevelType w:val="hybridMultilevel"/>
    <w:tmpl w:val="97145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591D13"/>
    <w:multiLevelType w:val="hybridMultilevel"/>
    <w:tmpl w:val="065EB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EA1748"/>
    <w:multiLevelType w:val="hybridMultilevel"/>
    <w:tmpl w:val="3A5AF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CA2683"/>
    <w:multiLevelType w:val="hybridMultilevel"/>
    <w:tmpl w:val="7362F3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DA2F7C"/>
    <w:multiLevelType w:val="hybridMultilevel"/>
    <w:tmpl w:val="D18A3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52F4D"/>
    <w:multiLevelType w:val="multilevel"/>
    <w:tmpl w:val="40F52F4D"/>
    <w:lvl w:ilvl="0">
      <w:start w:val="1"/>
      <w:numFmt w:val="chineseCountingThousand"/>
      <w:pStyle w:val="1"/>
      <w:suff w:val="nothing"/>
      <w:lvlText w:val="第%1章"/>
      <w:lvlJc w:val="center"/>
      <w:pPr>
        <w:ind w:left="2264"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67883476">
    <w:abstractNumId w:val="7"/>
  </w:num>
  <w:num w:numId="2" w16cid:durableId="224727747">
    <w:abstractNumId w:val="1"/>
  </w:num>
  <w:num w:numId="3" w16cid:durableId="515995357">
    <w:abstractNumId w:val="8"/>
  </w:num>
  <w:num w:numId="4" w16cid:durableId="1175615005">
    <w:abstractNumId w:val="0"/>
  </w:num>
  <w:num w:numId="5" w16cid:durableId="1935164427">
    <w:abstractNumId w:val="5"/>
  </w:num>
  <w:num w:numId="6" w16cid:durableId="899250317">
    <w:abstractNumId w:val="2"/>
  </w:num>
  <w:num w:numId="7" w16cid:durableId="298342189">
    <w:abstractNumId w:val="4"/>
  </w:num>
  <w:num w:numId="8" w16cid:durableId="1349137381">
    <w:abstractNumId w:val="3"/>
  </w:num>
  <w:num w:numId="9" w16cid:durableId="108670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C8C"/>
    <w:rsid w:val="000036D1"/>
    <w:rsid w:val="00005582"/>
    <w:rsid w:val="00005F59"/>
    <w:rsid w:val="00010485"/>
    <w:rsid w:val="0002136E"/>
    <w:rsid w:val="000232B7"/>
    <w:rsid w:val="0002603F"/>
    <w:rsid w:val="000263D5"/>
    <w:rsid w:val="00026E07"/>
    <w:rsid w:val="0004407E"/>
    <w:rsid w:val="000451D1"/>
    <w:rsid w:val="00045C48"/>
    <w:rsid w:val="00050E8A"/>
    <w:rsid w:val="00051E7E"/>
    <w:rsid w:val="00053485"/>
    <w:rsid w:val="0006112D"/>
    <w:rsid w:val="0006359B"/>
    <w:rsid w:val="00065973"/>
    <w:rsid w:val="00072B4C"/>
    <w:rsid w:val="000774CD"/>
    <w:rsid w:val="00084775"/>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907"/>
    <w:rsid w:val="00107E24"/>
    <w:rsid w:val="00110B74"/>
    <w:rsid w:val="00114FAA"/>
    <w:rsid w:val="001247A4"/>
    <w:rsid w:val="00124F8C"/>
    <w:rsid w:val="00127955"/>
    <w:rsid w:val="0016652F"/>
    <w:rsid w:val="001747B9"/>
    <w:rsid w:val="00182670"/>
    <w:rsid w:val="00185EE0"/>
    <w:rsid w:val="00185FE3"/>
    <w:rsid w:val="001945D5"/>
    <w:rsid w:val="001B3731"/>
    <w:rsid w:val="001B3D4C"/>
    <w:rsid w:val="001B6B03"/>
    <w:rsid w:val="001B7F76"/>
    <w:rsid w:val="001C4B93"/>
    <w:rsid w:val="001C6CA8"/>
    <w:rsid w:val="001D3037"/>
    <w:rsid w:val="001D363A"/>
    <w:rsid w:val="001D7052"/>
    <w:rsid w:val="001E45F5"/>
    <w:rsid w:val="001E56FC"/>
    <w:rsid w:val="001E5D1E"/>
    <w:rsid w:val="001E6A84"/>
    <w:rsid w:val="001F25CD"/>
    <w:rsid w:val="001F2A54"/>
    <w:rsid w:val="0020443A"/>
    <w:rsid w:val="00217778"/>
    <w:rsid w:val="00222DC5"/>
    <w:rsid w:val="002231F2"/>
    <w:rsid w:val="002272CA"/>
    <w:rsid w:val="00230166"/>
    <w:rsid w:val="00232BEC"/>
    <w:rsid w:val="0024607F"/>
    <w:rsid w:val="00261835"/>
    <w:rsid w:val="0026251E"/>
    <w:rsid w:val="00266DCA"/>
    <w:rsid w:val="00267C40"/>
    <w:rsid w:val="00270B5C"/>
    <w:rsid w:val="00273D57"/>
    <w:rsid w:val="0028074C"/>
    <w:rsid w:val="00282035"/>
    <w:rsid w:val="00293B68"/>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04F5C"/>
    <w:rsid w:val="00310027"/>
    <w:rsid w:val="0031784C"/>
    <w:rsid w:val="00326858"/>
    <w:rsid w:val="00326DB5"/>
    <w:rsid w:val="00326DEB"/>
    <w:rsid w:val="00333446"/>
    <w:rsid w:val="00335802"/>
    <w:rsid w:val="00341BD1"/>
    <w:rsid w:val="00341F0F"/>
    <w:rsid w:val="00344B3E"/>
    <w:rsid w:val="00347CC0"/>
    <w:rsid w:val="003501CC"/>
    <w:rsid w:val="00350287"/>
    <w:rsid w:val="00352431"/>
    <w:rsid w:val="00355665"/>
    <w:rsid w:val="00360842"/>
    <w:rsid w:val="0037231A"/>
    <w:rsid w:val="00381FDF"/>
    <w:rsid w:val="00384CA4"/>
    <w:rsid w:val="0038562E"/>
    <w:rsid w:val="00385881"/>
    <w:rsid w:val="00395AD4"/>
    <w:rsid w:val="003B2E76"/>
    <w:rsid w:val="003C00F3"/>
    <w:rsid w:val="003D1B6D"/>
    <w:rsid w:val="003D2EE7"/>
    <w:rsid w:val="003D763C"/>
    <w:rsid w:val="003E02F2"/>
    <w:rsid w:val="003E3D52"/>
    <w:rsid w:val="003E3F4D"/>
    <w:rsid w:val="003E4095"/>
    <w:rsid w:val="003F3C7B"/>
    <w:rsid w:val="003F654F"/>
    <w:rsid w:val="0040091F"/>
    <w:rsid w:val="004039A5"/>
    <w:rsid w:val="00411F2D"/>
    <w:rsid w:val="0041484E"/>
    <w:rsid w:val="0042164B"/>
    <w:rsid w:val="00421841"/>
    <w:rsid w:val="00421C49"/>
    <w:rsid w:val="004223B6"/>
    <w:rsid w:val="00424174"/>
    <w:rsid w:val="00440AAC"/>
    <w:rsid w:val="00442343"/>
    <w:rsid w:val="00454177"/>
    <w:rsid w:val="0045759A"/>
    <w:rsid w:val="004631C8"/>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157A"/>
    <w:rsid w:val="00552BFB"/>
    <w:rsid w:val="00556DC3"/>
    <w:rsid w:val="00561228"/>
    <w:rsid w:val="0056422F"/>
    <w:rsid w:val="00565C48"/>
    <w:rsid w:val="00566EC2"/>
    <w:rsid w:val="00574860"/>
    <w:rsid w:val="00576942"/>
    <w:rsid w:val="00576DB0"/>
    <w:rsid w:val="00582BE3"/>
    <w:rsid w:val="0059086A"/>
    <w:rsid w:val="00597003"/>
    <w:rsid w:val="005A3037"/>
    <w:rsid w:val="005A4D16"/>
    <w:rsid w:val="005B2412"/>
    <w:rsid w:val="005B3BB7"/>
    <w:rsid w:val="005C1516"/>
    <w:rsid w:val="005C6F9A"/>
    <w:rsid w:val="005D32F8"/>
    <w:rsid w:val="005E19FE"/>
    <w:rsid w:val="005E2F78"/>
    <w:rsid w:val="005E7C5B"/>
    <w:rsid w:val="005F15F4"/>
    <w:rsid w:val="005F1DB2"/>
    <w:rsid w:val="00624F9C"/>
    <w:rsid w:val="0063620F"/>
    <w:rsid w:val="00636A2B"/>
    <w:rsid w:val="006512E0"/>
    <w:rsid w:val="006542E9"/>
    <w:rsid w:val="00656003"/>
    <w:rsid w:val="00664B07"/>
    <w:rsid w:val="006729F8"/>
    <w:rsid w:val="0067578D"/>
    <w:rsid w:val="00677D96"/>
    <w:rsid w:val="00682F8B"/>
    <w:rsid w:val="0068528E"/>
    <w:rsid w:val="006913B0"/>
    <w:rsid w:val="00693948"/>
    <w:rsid w:val="00694971"/>
    <w:rsid w:val="00694AC8"/>
    <w:rsid w:val="006965BC"/>
    <w:rsid w:val="00696FF7"/>
    <w:rsid w:val="006A3810"/>
    <w:rsid w:val="006A3C41"/>
    <w:rsid w:val="006B57E2"/>
    <w:rsid w:val="006C4BF1"/>
    <w:rsid w:val="006C6A22"/>
    <w:rsid w:val="006D246D"/>
    <w:rsid w:val="006D578B"/>
    <w:rsid w:val="006E1DBA"/>
    <w:rsid w:val="006E5CE4"/>
    <w:rsid w:val="006F2B06"/>
    <w:rsid w:val="006F3B34"/>
    <w:rsid w:val="006F7C8C"/>
    <w:rsid w:val="006F7D3A"/>
    <w:rsid w:val="00702D2A"/>
    <w:rsid w:val="007105B6"/>
    <w:rsid w:val="00712140"/>
    <w:rsid w:val="007148A7"/>
    <w:rsid w:val="007152F3"/>
    <w:rsid w:val="00724FC8"/>
    <w:rsid w:val="00725B9F"/>
    <w:rsid w:val="007271F3"/>
    <w:rsid w:val="00730558"/>
    <w:rsid w:val="00732777"/>
    <w:rsid w:val="00736F5F"/>
    <w:rsid w:val="00737A94"/>
    <w:rsid w:val="00747534"/>
    <w:rsid w:val="007552E9"/>
    <w:rsid w:val="007610EC"/>
    <w:rsid w:val="00773616"/>
    <w:rsid w:val="00773978"/>
    <w:rsid w:val="00774CF3"/>
    <w:rsid w:val="00781245"/>
    <w:rsid w:val="0078271A"/>
    <w:rsid w:val="00783716"/>
    <w:rsid w:val="00783F6D"/>
    <w:rsid w:val="00787B8C"/>
    <w:rsid w:val="00793053"/>
    <w:rsid w:val="00794A34"/>
    <w:rsid w:val="007A22EC"/>
    <w:rsid w:val="007A37A1"/>
    <w:rsid w:val="007A7331"/>
    <w:rsid w:val="007A7721"/>
    <w:rsid w:val="007B170C"/>
    <w:rsid w:val="007B4E31"/>
    <w:rsid w:val="007C3CBB"/>
    <w:rsid w:val="007C46F1"/>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1A45"/>
    <w:rsid w:val="00897347"/>
    <w:rsid w:val="008B443C"/>
    <w:rsid w:val="008C4E98"/>
    <w:rsid w:val="008D1370"/>
    <w:rsid w:val="008D30DF"/>
    <w:rsid w:val="008D35BD"/>
    <w:rsid w:val="008D4718"/>
    <w:rsid w:val="008E0C95"/>
    <w:rsid w:val="008E43E5"/>
    <w:rsid w:val="008E4D5A"/>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83B"/>
    <w:rsid w:val="009F5921"/>
    <w:rsid w:val="00A0024B"/>
    <w:rsid w:val="00A01D00"/>
    <w:rsid w:val="00A0407C"/>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86654"/>
    <w:rsid w:val="00A90027"/>
    <w:rsid w:val="00A92907"/>
    <w:rsid w:val="00A94BB4"/>
    <w:rsid w:val="00A96604"/>
    <w:rsid w:val="00A97386"/>
    <w:rsid w:val="00AA13D5"/>
    <w:rsid w:val="00AA4056"/>
    <w:rsid w:val="00AB0AF5"/>
    <w:rsid w:val="00AB717C"/>
    <w:rsid w:val="00AC05CE"/>
    <w:rsid w:val="00AC4A45"/>
    <w:rsid w:val="00AC5373"/>
    <w:rsid w:val="00AC6030"/>
    <w:rsid w:val="00AC676F"/>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A4"/>
    <w:rsid w:val="00B309DE"/>
    <w:rsid w:val="00B40C8C"/>
    <w:rsid w:val="00B4177E"/>
    <w:rsid w:val="00B4719D"/>
    <w:rsid w:val="00B47B79"/>
    <w:rsid w:val="00B47EA8"/>
    <w:rsid w:val="00B53350"/>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54A8"/>
    <w:rsid w:val="00BD6284"/>
    <w:rsid w:val="00BE4CBC"/>
    <w:rsid w:val="00BE7BE7"/>
    <w:rsid w:val="00BE7C8A"/>
    <w:rsid w:val="00C021AB"/>
    <w:rsid w:val="00C02A47"/>
    <w:rsid w:val="00C05C57"/>
    <w:rsid w:val="00C10C3E"/>
    <w:rsid w:val="00C14F89"/>
    <w:rsid w:val="00C15896"/>
    <w:rsid w:val="00C17600"/>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1FB5"/>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CF6750"/>
    <w:rsid w:val="00D1413C"/>
    <w:rsid w:val="00D1526F"/>
    <w:rsid w:val="00D257DD"/>
    <w:rsid w:val="00D27CD9"/>
    <w:rsid w:val="00D33F65"/>
    <w:rsid w:val="00D34F91"/>
    <w:rsid w:val="00D41A7B"/>
    <w:rsid w:val="00D5158E"/>
    <w:rsid w:val="00D634B6"/>
    <w:rsid w:val="00D72275"/>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8BB"/>
    <w:rsid w:val="00E03984"/>
    <w:rsid w:val="00E061F5"/>
    <w:rsid w:val="00E07EEB"/>
    <w:rsid w:val="00E215E6"/>
    <w:rsid w:val="00E22D18"/>
    <w:rsid w:val="00E23BD2"/>
    <w:rsid w:val="00E338F7"/>
    <w:rsid w:val="00E45031"/>
    <w:rsid w:val="00E452C2"/>
    <w:rsid w:val="00E50415"/>
    <w:rsid w:val="00E51089"/>
    <w:rsid w:val="00E54F6E"/>
    <w:rsid w:val="00E65381"/>
    <w:rsid w:val="00E67F4F"/>
    <w:rsid w:val="00E71A43"/>
    <w:rsid w:val="00E81E76"/>
    <w:rsid w:val="00E84898"/>
    <w:rsid w:val="00E940DA"/>
    <w:rsid w:val="00E96122"/>
    <w:rsid w:val="00EA0AD7"/>
    <w:rsid w:val="00EA322C"/>
    <w:rsid w:val="00EA4F41"/>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06FF"/>
    <w:rsid w:val="00FB1685"/>
    <w:rsid w:val="00FC1EAC"/>
    <w:rsid w:val="00FD47E3"/>
    <w:rsid w:val="00FD5061"/>
    <w:rsid w:val="00FD6383"/>
    <w:rsid w:val="00FD6900"/>
    <w:rsid w:val="00FE1F6E"/>
    <w:rsid w:val="00FE41E0"/>
    <w:rsid w:val="00FF22D4"/>
    <w:rsid w:val="00FF54DF"/>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C28F9"/>
  <w15:docId w15:val="{F52504C5-B8D8-43BE-9593-66EA0164AB3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character" w:styleId="aff7">
    <w:name w:val="Strong"/>
    <w:basedOn w:val="a1"/>
    <w:uiPriority w:val="22"/>
    <w:qFormat/>
    <w:rsid w:val="0056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5.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1</Pages>
  <Words>7840</Words>
  <Characters>8624</Characters>
  <Application>Microsoft Office Word</Application>
  <DocSecurity>0</DocSecurity>
  <Lines>392</Lines>
  <Paragraphs>365</Paragraphs>
  <ScaleCrop>false</ScaleCrop>
  <Company>TJU</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subject/>
  <dc:creator>lenovo</dc:creator>
  <cp:keywords/>
  <dc:description/>
  <cp:lastModifiedBy>欣 潘</cp:lastModifiedBy>
  <cp:revision>13</cp:revision>
  <cp:lastPrinted>2020-10-27T03:48:00Z</cp:lastPrinted>
  <dcterms:created xsi:type="dcterms:W3CDTF">2020-10-15T13:41:00Z</dcterms:created>
  <dcterms:modified xsi:type="dcterms:W3CDTF">2026-05-07T14:03:00Z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