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22DE19" w14:textId="2385DE14" w:rsidR="008F07D7" w:rsidRPr="0097621C" w:rsidRDefault="0097621C" w:rsidP="0097621C">
      <w:pPr>
        <w:ind w:left="-142" w:hanging="708"/>
        <w:rPr>
          <w:rFonts w:asciiTheme="majorHAnsi" w:hAnsiTheme="majorHAnsi" w:cstheme="majorHAnsi"/>
          <w:b/>
          <w:bCs/>
          <w:color w:val="2E74B5" w:themeColor="accent1" w:themeShade="BF"/>
        </w:rPr>
      </w:pPr>
      <w:r w:rsidRPr="0097621C">
        <w:rPr>
          <w:color w:val="2E74B5" w:themeColor="accent1" w:themeShade="BF"/>
        </w:rPr>
        <w:br/>
      </w:r>
      <w:r w:rsidRPr="0097621C">
        <w:rPr>
          <w:color w:val="2E74B5" w:themeColor="accent1" w:themeShade="BF"/>
        </w:rPr>
        <w:br/>
      </w:r>
      <w:r w:rsidR="008F07D7" w:rsidRPr="0097621C">
        <w:rPr>
          <w:rFonts w:asciiTheme="majorHAnsi" w:hAnsiTheme="majorHAnsi" w:cstheme="majorHAnsi"/>
          <w:b/>
          <w:bCs/>
          <w:noProof/>
          <w:color w:val="2E74B5" w:themeColor="accent1" w:themeShade="BF"/>
          <w:sz w:val="36"/>
          <w:szCs w:val="36"/>
          <w:lang w:eastAsia="es-MX"/>
        </w:rPr>
        <w:drawing>
          <wp:anchor distT="0" distB="0" distL="114300" distR="114300" simplePos="0" relativeHeight="251659264" behindDoc="1" locked="0" layoutInCell="1" allowOverlap="1" wp14:anchorId="76EADC76" wp14:editId="2B18942D">
            <wp:simplePos x="0" y="0"/>
            <wp:positionH relativeFrom="margin">
              <wp:align>left</wp:align>
            </wp:positionH>
            <wp:positionV relativeFrom="paragraph">
              <wp:posOffset>-418112</wp:posOffset>
            </wp:positionV>
            <wp:extent cx="1761067" cy="49596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TotalGas Ho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067" cy="4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21C">
        <w:rPr>
          <w:rFonts w:asciiTheme="majorHAnsi" w:hAnsiTheme="majorHAnsi" w:cstheme="majorHAnsi"/>
          <w:b/>
          <w:bCs/>
          <w:color w:val="2E74B5" w:themeColor="accent1" w:themeShade="BF"/>
          <w:sz w:val="36"/>
          <w:szCs w:val="36"/>
        </w:rPr>
        <w:t>FORMATO DE ARQUITECTURA DE SOFTWARE</w:t>
      </w:r>
    </w:p>
    <w:tbl>
      <w:tblPr>
        <w:tblStyle w:val="Tablaconcuadrcula"/>
        <w:tblW w:w="0" w:type="auto"/>
        <w:tblBorders>
          <w:top w:val="double" w:sz="4" w:space="0" w:color="5B9BD5" w:themeColor="accent1"/>
          <w:left w:val="double" w:sz="4" w:space="0" w:color="5B9BD5" w:themeColor="accent1"/>
          <w:bottom w:val="double" w:sz="4" w:space="0" w:color="5B9BD5" w:themeColor="accent1"/>
          <w:right w:val="double" w:sz="4" w:space="0" w:color="5B9BD5" w:themeColor="accent1"/>
          <w:insideH w:val="double" w:sz="4" w:space="0" w:color="5B9BD5" w:themeColor="accent1"/>
          <w:insideV w:val="double" w:sz="4" w:space="0" w:color="5B9BD5" w:themeColor="accent1"/>
        </w:tblBorders>
        <w:tblLook w:val="04A0" w:firstRow="1" w:lastRow="0" w:firstColumn="1" w:lastColumn="0" w:noHBand="0" w:noVBand="1"/>
      </w:tblPr>
      <w:tblGrid>
        <w:gridCol w:w="1701"/>
        <w:gridCol w:w="2713"/>
        <w:gridCol w:w="2207"/>
        <w:gridCol w:w="2207"/>
      </w:tblGrid>
      <w:tr w:rsidR="00F33B4A" w14:paraId="6C9F2E8F" w14:textId="77777777" w:rsidTr="00F33B4A">
        <w:tc>
          <w:tcPr>
            <w:tcW w:w="441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30407A" w14:textId="03B14B7D" w:rsidR="0097621C" w:rsidRPr="00F33B4A" w:rsidRDefault="0097621C" w:rsidP="00F33B4A">
            <w:pPr>
              <w:tabs>
                <w:tab w:val="left" w:pos="2745"/>
              </w:tabs>
              <w:rPr>
                <w:b/>
                <w:bCs/>
                <w:color w:val="FFFFFF" w:themeColor="background1"/>
              </w:rPr>
            </w:pP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65AF7" w14:textId="4E225E16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Fecha: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C9CFB" w14:textId="060A9D7F" w:rsidR="00F33B4A" w:rsidRPr="00F33B4A" w:rsidRDefault="009809BF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  <w:bookmarkStart w:id="0" w:name="_GoBack"/>
            <w:bookmarkEnd w:id="0"/>
            <w:r w:rsidR="0093089C">
              <w:rPr>
                <w:b/>
                <w:bCs/>
              </w:rPr>
              <w:t>/10/2026</w:t>
            </w:r>
          </w:p>
        </w:tc>
      </w:tr>
      <w:tr w:rsidR="00F33B4A" w14:paraId="2C000927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1AF0" w14:textId="7AF72027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Proyecto:</w:t>
            </w:r>
          </w:p>
        </w:tc>
        <w:tc>
          <w:tcPr>
            <w:tcW w:w="71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DF6C" w14:textId="079AA472" w:rsidR="00F33B4A" w:rsidRPr="00F33B4A" w:rsidRDefault="0093089C" w:rsidP="00F33B4A">
            <w:pPr>
              <w:jc w:val="center"/>
              <w:rPr>
                <w:b/>
                <w:bCs/>
              </w:rPr>
            </w:pPr>
            <w:r w:rsidRPr="0093089C">
              <w:rPr>
                <w:b/>
                <w:bCs/>
                <w:sz w:val="20"/>
                <w:szCs w:val="20"/>
              </w:rPr>
              <w:t>Conciliaciones de efectivo (ControlGas, banco y papeletas REGIO)</w:t>
            </w:r>
          </w:p>
        </w:tc>
      </w:tr>
      <w:tr w:rsidR="00F33B4A" w14:paraId="229DC51E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BEB9F" w14:textId="689918ED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Solicitante:</w:t>
            </w:r>
          </w:p>
        </w:tc>
        <w:tc>
          <w:tcPr>
            <w:tcW w:w="2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ED0D" w14:textId="4500B10D" w:rsidR="00F33B4A" w:rsidRPr="00F33B4A" w:rsidRDefault="004F4047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Yolanda Limas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1811" w14:textId="054C90FA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Departamento: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8FFE4" w14:textId="35F619E8" w:rsidR="00F33B4A" w:rsidRPr="00F33B4A" w:rsidRDefault="004F4047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Ingresos</w:t>
            </w:r>
          </w:p>
        </w:tc>
      </w:tr>
    </w:tbl>
    <w:p w14:paraId="1AF41A34" w14:textId="77777777" w:rsidR="008F07D7" w:rsidRDefault="008F07D7" w:rsidP="008F07D7"/>
    <w:bookmarkStart w:id="1" w:name="_Toc17798499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265965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B72C8D" w14:textId="09FE0707" w:rsidR="00644000" w:rsidRDefault="00644000">
          <w:pPr>
            <w:pStyle w:val="TtuloTDC"/>
            <w:rPr>
              <w:lang w:val="es-ES"/>
            </w:rPr>
          </w:pPr>
          <w:r>
            <w:rPr>
              <w:lang w:val="es-ES"/>
            </w:rPr>
            <w:t>INDICE</w:t>
          </w:r>
        </w:p>
        <w:p w14:paraId="76C15BCF" w14:textId="77777777" w:rsidR="00644000" w:rsidRPr="00644000" w:rsidRDefault="00644000" w:rsidP="00644000">
          <w:pPr>
            <w:rPr>
              <w:lang w:val="es-ES" w:eastAsia="es-MX"/>
            </w:rPr>
          </w:pPr>
        </w:p>
        <w:p w14:paraId="0986BA7D" w14:textId="0D1F9882" w:rsidR="00053E77" w:rsidRDefault="00644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61945" w:history="1">
            <w:r w:rsidR="00053E77" w:rsidRPr="00347A4D">
              <w:rPr>
                <w:rStyle w:val="Hipervnculo"/>
                <w:noProof/>
              </w:rPr>
              <w:t>Descripción General del Sistema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_Toc212461945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10AD1292" w14:textId="5502C500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6" w:history="1">
            <w:r w:rsidR="00053E77" w:rsidRPr="00347A4D">
              <w:rPr>
                <w:rStyle w:val="Hipervnculo"/>
                <w:noProof/>
              </w:rPr>
              <w:t>Casos de Uso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_Toc212461946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5AAE379D" w14:textId="475329F4" w:rsidR="00053E77" w:rsidRDefault="00B26AF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7" w:history="1">
            <w:r w:rsidR="00053E77" w:rsidRPr="00347A4D">
              <w:rPr>
                <w:rStyle w:val="Hipervnculo"/>
                <w:rFonts w:cstheme="minorHAnsi"/>
                <w:noProof/>
              </w:rPr>
              <w:t>Caso de Uso 1: Consulta y revisión de conciliaciones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_Toc212461947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6898744C" w14:textId="0F85F828" w:rsidR="00053E77" w:rsidRDefault="00B26AF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8" w:history="1">
            <w:r w:rsidR="00053E77" w:rsidRPr="00347A4D">
              <w:rPr>
                <w:rStyle w:val="Hipervnculo"/>
                <w:rFonts w:cstheme="minorHAnsi"/>
                <w:noProof/>
              </w:rPr>
              <w:t>2.2 Caso de Uso 2: Importación y vínculo de papeletas REGIO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_Toc212461948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3BB287E3" w14:textId="5FD99AE6" w:rsidR="00053E77" w:rsidRDefault="00B26AF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9" w:history="1">
            <w:r w:rsidR="00053E77" w:rsidRPr="00347A4D">
              <w:rPr>
                <w:rStyle w:val="Hipervnculo"/>
                <w:rFonts w:cstheme="minorHAnsi"/>
                <w:noProof/>
              </w:rPr>
              <w:t>2.3 Caso de Uso 3: Conciliación bancaria automática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_Toc212461949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2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4B13E81B" w14:textId="77B2A9E1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0" w:history="1">
            <w:r w:rsidR="00053E77" w:rsidRPr="00347A4D">
              <w:rPr>
                <w:rStyle w:val="Hipervnculo"/>
                <w:noProof/>
              </w:rPr>
              <w:t>Diagramas de flujo del proceso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_Toc212461950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3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55BC2913" w14:textId="11079FDB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1" w:history="1">
            <w:r w:rsidR="00053E77" w:rsidRPr="00347A4D">
              <w:rPr>
                <w:rStyle w:val="Hipervnculo"/>
                <w:noProof/>
              </w:rPr>
              <w:t>Componentes Principales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_Toc212461951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4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2E80B2DE" w14:textId="7243A0C8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2" w:history="1">
            <w:r w:rsidR="00053E77" w:rsidRPr="00347A4D">
              <w:rPr>
                <w:rStyle w:val="Hipervnculo"/>
                <w:noProof/>
              </w:rPr>
              <w:t>Arquitectura de software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_Toc212461952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5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1A5AB6E2" w14:textId="0A647ECA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3" w:history="1">
            <w:r w:rsidR="00053E77" w:rsidRPr="00347A4D">
              <w:rPr>
                <w:rStyle w:val="Hipervnculo"/>
                <w:noProof/>
              </w:rPr>
              <w:t>Diagrama de la arquitectura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_Toc212461953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5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2526B37A" w14:textId="70AED529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4" w:history="1">
            <w:r w:rsidR="00053E77" w:rsidRPr="00347A4D">
              <w:rPr>
                <w:rStyle w:val="Hipervnculo"/>
                <w:noProof/>
              </w:rPr>
              <w:t>Flujo de Información: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_Toc212461954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6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58C00BB6" w14:textId="109C5BCF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5" w:history="1">
            <w:r w:rsidR="00053E77" w:rsidRPr="00347A4D">
              <w:rPr>
                <w:rStyle w:val="Hipervnculo"/>
                <w:noProof/>
              </w:rPr>
              <w:t>Modelo de datos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_Toc212461955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7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5A8E2E64" w14:textId="4E3D1613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6" w:history="1">
            <w:r w:rsidR="00053E77" w:rsidRPr="00347A4D">
              <w:rPr>
                <w:rStyle w:val="Hipervnculo"/>
                <w:noProof/>
              </w:rPr>
              <w:t>Diseño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_Toc212461956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8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1B96940A" w14:textId="56C51BC5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7" w:history="1">
            <w:r w:rsidR="00053E77" w:rsidRPr="00347A4D">
              <w:rPr>
                <w:rStyle w:val="Hipervnculo"/>
                <w:noProof/>
              </w:rPr>
              <w:t>Documentación de los servicios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_Toc212461957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8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7AB9F1B6" w14:textId="3F42BD52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8" w:history="1">
            <w:r w:rsidR="00053E77" w:rsidRPr="00347A4D">
              <w:rPr>
                <w:rStyle w:val="Hipervnculo"/>
                <w:rFonts w:ascii="Calibri" w:hAnsi="Calibri" w:cs="Calibri"/>
                <w:noProof/>
              </w:rPr>
              <w:t>Servicio #1: Conciliación bancaria automática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_Toc212461958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8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4A7AC828" w14:textId="0C2A712F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9" w:history="1">
            <w:r w:rsidR="00053E77" w:rsidRPr="00347A4D">
              <w:rPr>
                <w:rStyle w:val="Hipervnculo"/>
                <w:rFonts w:ascii="Calibri" w:hAnsi="Calibri" w:cs="Calibri"/>
                <w:noProof/>
              </w:rPr>
              <w:t>Servicio #2: Importación y cruce de papeletas REGIO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_Toc212461959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635D75E1" w14:textId="3621D19E" w:rsidR="00053E77" w:rsidRDefault="00B26AF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0" w:history="1">
            <w:r w:rsidR="00053E77" w:rsidRPr="00347A4D">
              <w:rPr>
                <w:rStyle w:val="Hipervnculo"/>
                <w:rFonts w:ascii="Calibri" w:hAnsi="Calibri" w:cs="Calibri"/>
                <w:noProof/>
              </w:rPr>
              <w:t>Consideraciones adicionales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_Toc212461960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13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1380204B" w14:textId="474BA2D6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1" w:history="1">
            <w:r w:rsidR="00053E77" w:rsidRPr="00347A4D">
              <w:rPr>
                <w:rStyle w:val="Hipervnculo"/>
                <w:noProof/>
              </w:rPr>
              <w:t>Pruebas de usuario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_Toc212461961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13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356391C6" w14:textId="056D6B36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2" w:history="1">
            <w:r w:rsidR="00053E77" w:rsidRPr="00347A4D">
              <w:rPr>
                <w:rStyle w:val="Hipervnculo"/>
                <w:noProof/>
              </w:rPr>
              <w:t>Pruebas de usuario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_Toc212461962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13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47DC1911" w14:textId="283D41F9" w:rsidR="00053E77" w:rsidRDefault="00B26AF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3" w:history="1">
            <w:r w:rsidR="00053E77" w:rsidRPr="00347A4D">
              <w:rPr>
                <w:rStyle w:val="Hipervnculo"/>
                <w:noProof/>
              </w:rPr>
              <w:t>Escalabilidad y Mantenimiento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_Toc212461963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14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4ECECDA0" w14:textId="61BA8D98" w:rsidR="00644000" w:rsidRPr="00644000" w:rsidRDefault="00644000" w:rsidP="00644000">
          <w:pPr>
            <w:sectPr w:rsidR="00644000" w:rsidRPr="00644000">
              <w:headerReference w:type="default" r:id="rId9"/>
              <w:footerReference w:type="default" r:id="rId10"/>
              <w:pgSz w:w="12240" w:h="15840"/>
              <w:pgMar w:top="1417" w:right="1701" w:bottom="1417" w:left="1701" w:header="708" w:footer="708" w:gutter="0"/>
              <w:cols w:space="708"/>
              <w:docGrid w:linePitch="360"/>
            </w:sect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2BC3C17" w14:textId="1F3E66C4" w:rsidR="00B66DD6" w:rsidRDefault="00F33B4A" w:rsidP="0097621C">
      <w:pPr>
        <w:pStyle w:val="Ttulo1"/>
      </w:pPr>
      <w:bookmarkStart w:id="2" w:name="_Toc212461945"/>
      <w:r w:rsidRPr="00F33B4A">
        <w:lastRenderedPageBreak/>
        <w:t>Descripción General del Sistema</w:t>
      </w:r>
      <w:bookmarkEnd w:id="1"/>
      <w:bookmarkEnd w:id="2"/>
    </w:p>
    <w:p w14:paraId="7A0F260E" w14:textId="77777777" w:rsidR="00F33B4A" w:rsidRDefault="00F33B4A" w:rsidP="00F33B4A"/>
    <w:p w14:paraId="473F718C" w14:textId="77777777" w:rsidR="0093089C" w:rsidRDefault="0093089C" w:rsidP="0093089C">
      <w:r>
        <w:t>El módulo Conciliaciones de efectivo es una funcionalidad web para relacionar turnos de ControlGas, movimientos bancarios y papeletas analíticas de REGIO, con procesos automáticos y revisión de excepciones.</w:t>
      </w:r>
    </w:p>
    <w:p w14:paraId="67F3F541" w14:textId="77777777" w:rsidR="0093089C" w:rsidRDefault="0093089C" w:rsidP="0093089C">
      <w:r>
        <w:t>Permite:</w:t>
      </w:r>
    </w:p>
    <w:p w14:paraId="15149FF3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Consultar conciliaciones, faltantes, diferencias, movimientos bancarios y papeletas.</w:t>
      </w:r>
    </w:p>
    <w:p w14:paraId="5348DEE1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Importar analíticos REGIO desde archivos recibidos por correo y vincularlos con turnos.</w:t>
      </w:r>
    </w:p>
    <w:p w14:paraId="2D9B4105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Ejecutar periódicamente la conciliación bancaria y registrar sus resultados.</w:t>
      </w:r>
    </w:p>
    <w:p w14:paraId="381A2A25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Corregir asociaciones ambiguas y revisar pendientes antes de los cierres.</w:t>
      </w:r>
    </w:p>
    <w:p w14:paraId="1825A2FF" w14:textId="6BCAB498" w:rsidR="0089656A" w:rsidRDefault="0093089C" w:rsidP="00157F15">
      <w:pPr>
        <w:pStyle w:val="Prrafodelista"/>
        <w:numPr>
          <w:ilvl w:val="0"/>
          <w:numId w:val="4"/>
        </w:numPr>
      </w:pPr>
      <w:r>
        <w:t>Conservar grupos, partidas, correcciones, tránsitos, cierres y bitácora en TG.</w:t>
      </w:r>
    </w:p>
    <w:p w14:paraId="0120F1F3" w14:textId="77777777" w:rsidR="0097621C" w:rsidRPr="00CF472C" w:rsidRDefault="0097621C" w:rsidP="0097621C">
      <w:pPr>
        <w:pStyle w:val="Ttulo1"/>
      </w:pPr>
      <w:bookmarkStart w:id="3" w:name="_Toc177984992"/>
      <w:bookmarkStart w:id="4" w:name="_Toc212461946"/>
      <w:r>
        <w:t>Casos de Uso</w:t>
      </w:r>
      <w:bookmarkEnd w:id="3"/>
      <w:bookmarkEnd w:id="4"/>
    </w:p>
    <w:p w14:paraId="67EEBB03" w14:textId="77777777" w:rsidR="0097621C" w:rsidRPr="0093089C" w:rsidRDefault="0097621C" w:rsidP="0097621C">
      <w:pPr>
        <w:rPr>
          <w:rFonts w:cstheme="minorHAnsi"/>
          <w:b/>
          <w:bCs/>
        </w:rPr>
      </w:pPr>
    </w:p>
    <w:p w14:paraId="403321D0" w14:textId="01BC51D2" w:rsidR="0093089C" w:rsidRPr="0093089C" w:rsidRDefault="0093089C" w:rsidP="0093089C">
      <w:pPr>
        <w:pStyle w:val="Ttulo3"/>
        <w:rPr>
          <w:rFonts w:asciiTheme="minorHAnsi" w:hAnsiTheme="minorHAnsi" w:cstheme="minorHAnsi"/>
        </w:rPr>
      </w:pPr>
      <w:bookmarkStart w:id="5" w:name="_Toc212461947"/>
      <w:r w:rsidRPr="0093089C">
        <w:rPr>
          <w:rFonts w:asciiTheme="minorHAnsi" w:hAnsiTheme="minorHAnsi" w:cstheme="minorHAnsi"/>
        </w:rPr>
        <w:t>Caso de Uso 1: Consulta y revisión de conciliaciones</w:t>
      </w:r>
      <w:bookmarkEnd w:id="5"/>
    </w:p>
    <w:p w14:paraId="04A4FCB6" w14:textId="77777777" w:rsidR="0093089C" w:rsidRPr="0093089C" w:rsidRDefault="0093089C" w:rsidP="0093089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Consultar el estado de la conciliación por periodo y revisar partidas, faltantes y diferencias. Escenario básico: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487F84EB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usuario accede al aplicativo web e inicia sesión.</w:t>
      </w:r>
    </w:p>
    <w:p w14:paraId="5F1B0B0E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Abre la opción Conciliar y selecciona los filtros disponibles para la consulta.</w:t>
      </w:r>
    </w:p>
    <w:p w14:paraId="2B83F034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sistema recupera los turnos, movimientos bancarios y papeletas importadas que correspondan.</w:t>
      </w:r>
    </w:p>
    <w:p w14:paraId="7FA2C5BE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Presenta los grupos conciliados y el detalle de partidas relacionadas. Flujos alternos: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2288F579" w14:textId="77777777" w:rsidR="0093089C" w:rsidRPr="0093089C" w:rsidRDefault="0093089C" w:rsidP="00157F15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Si no hay resultados para los filtros, la vista informa que no existen registros para consultar.</w:t>
      </w:r>
    </w:p>
    <w:p w14:paraId="7B3DE8B6" w14:textId="77777777" w:rsidR="0093089C" w:rsidRPr="0093089C" w:rsidRDefault="0093089C" w:rsidP="00157F15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usuario puede cambiar filtros y volver a consultar.</w:t>
      </w:r>
    </w:p>
    <w:p w14:paraId="11159272" w14:textId="77777777" w:rsidR="0093089C" w:rsidRPr="0093089C" w:rsidRDefault="0093089C" w:rsidP="0093089C">
      <w:pPr>
        <w:pStyle w:val="Ttulo3"/>
        <w:rPr>
          <w:rFonts w:asciiTheme="minorHAnsi" w:hAnsiTheme="minorHAnsi" w:cstheme="minorHAnsi"/>
          <w:sz w:val="22"/>
          <w:szCs w:val="22"/>
        </w:rPr>
      </w:pPr>
      <w:bookmarkStart w:id="6" w:name="_Toc212461948"/>
      <w:r w:rsidRPr="0093089C">
        <w:rPr>
          <w:rFonts w:asciiTheme="minorHAnsi" w:hAnsiTheme="minorHAnsi" w:cstheme="minorHAnsi"/>
          <w:sz w:val="22"/>
          <w:szCs w:val="22"/>
        </w:rPr>
        <w:t>2.2 Caso de Uso 2: Importación y vínculo de papeletas REGIO</w:t>
      </w:r>
      <w:bookmarkEnd w:id="6"/>
    </w:p>
    <w:p w14:paraId="039FCA80" w14:textId="77777777" w:rsidR="0093089C" w:rsidRPr="0093089C" w:rsidRDefault="0093089C" w:rsidP="0093089C">
      <w:pPr>
        <w:pStyle w:val="NormalWeb"/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Traer los analíticos REGIO y relacionar las papeletas con la operación. Escenario básico: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242854FD" w14:textId="77777777" w:rsidR="0093089C" w:rsidRPr="0093089C" w:rsidRDefault="0093089C" w:rsidP="00157F15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lastRenderedPageBreak/>
        <w:t>El proceso programado lee los mensajes y adjuntos elegibles del buzón configurado en modo solo lectura.</w:t>
      </w:r>
    </w:p>
    <w:p w14:paraId="3A512223" w14:textId="77777777" w:rsidR="0093089C" w:rsidRPr="0093089C" w:rsidRDefault="0093089C" w:rsidP="00157F15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sistema importa las papeletas, identifica duplicados y registra errores de lectura o validación. Flujos alternos: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55976358" w14:textId="77777777" w:rsidR="0093089C" w:rsidRPr="0093089C" w:rsidRDefault="0093089C" w:rsidP="00157F15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Desde la bandeja se corrige la estación o fecha y se vinculan papeletas con turnos cuando la asociación automática no es única.</w:t>
      </w:r>
    </w:p>
    <w:p w14:paraId="2BCAFD83" w14:textId="77777777" w:rsidR="0093089C" w:rsidRPr="0093089C" w:rsidRDefault="0093089C" w:rsidP="0093089C">
      <w:pPr>
        <w:pStyle w:val="Ttulo3"/>
        <w:rPr>
          <w:rFonts w:asciiTheme="minorHAnsi" w:hAnsiTheme="minorHAnsi" w:cstheme="minorHAnsi"/>
          <w:sz w:val="22"/>
          <w:szCs w:val="22"/>
        </w:rPr>
      </w:pPr>
      <w:bookmarkStart w:id="7" w:name="_Toc212461949"/>
      <w:r w:rsidRPr="0093089C">
        <w:rPr>
          <w:rFonts w:asciiTheme="minorHAnsi" w:hAnsiTheme="minorHAnsi" w:cstheme="minorHAnsi"/>
          <w:sz w:val="22"/>
          <w:szCs w:val="22"/>
        </w:rPr>
        <w:t>2.3 Caso de Uso 3: Conciliación bancaria automática</w:t>
      </w:r>
      <w:bookmarkEnd w:id="7"/>
    </w:p>
    <w:p w14:paraId="256C5C90" w14:textId="77777777" w:rsidR="0093089C" w:rsidRPr="0093089C" w:rsidRDefault="0093089C" w:rsidP="0093089C">
      <w:pPr>
        <w:pStyle w:val="NormalWeb"/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Asociar automáticamente turnos de ControlGas y papeletas con movimientos bancarios. Escenario básico: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4927CF36" w14:textId="77777777" w:rsidR="0093089C" w:rsidRPr="0093089C" w:rsidRDefault="0093089C" w:rsidP="00157F1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La tarea programada ejecuta el script de conciliación cada diez minutos.</w:t>
      </w:r>
    </w:p>
    <w:p w14:paraId="17452EB9" w14:textId="77777777" w:rsidR="0093089C" w:rsidRPr="0093089C" w:rsidRDefault="0093089C" w:rsidP="00157F15">
      <w:pPr>
        <w:pStyle w:val="NormalWeb"/>
        <w:numPr>
          <w:ilvl w:val="0"/>
          <w:numId w:val="9"/>
        </w:numPr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proceso valida candidatos por estación, cuenta, moneda, fecha, turno, concepto e importe, y persiste los casos únicos.</w:t>
      </w:r>
      <w:r w:rsidRPr="0093089C">
        <w:rPr>
          <w:rFonts w:asciiTheme="minorHAnsi" w:hAnsiTheme="minorHAnsi" w:cstheme="minorHAnsi"/>
          <w:sz w:val="22"/>
          <w:szCs w:val="22"/>
        </w:rPr>
        <w:br/>
      </w:r>
    </w:p>
    <w:p w14:paraId="541E3C75" w14:textId="77777777" w:rsidR="0093089C" w:rsidRPr="0093089C" w:rsidRDefault="0093089C" w:rsidP="00157F15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Los casos ambiguos, bloqueados o incompletos quedan disponibles para revisión manual.</w:t>
      </w:r>
    </w:p>
    <w:p w14:paraId="7FB556A4" w14:textId="77777777" w:rsidR="00754D3C" w:rsidRDefault="00754D3C" w:rsidP="00754D3C">
      <w:pPr>
        <w:rPr>
          <w:sz w:val="20"/>
          <w:szCs w:val="20"/>
        </w:rPr>
      </w:pPr>
    </w:p>
    <w:p w14:paraId="170DD785" w14:textId="77777777" w:rsidR="00754D3C" w:rsidRDefault="00754D3C">
      <w:pPr>
        <w:spacing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  <w:r>
        <w:br w:type="page"/>
      </w:r>
    </w:p>
    <w:p w14:paraId="1042C13D" w14:textId="0911CEA1" w:rsidR="00754D3C" w:rsidRDefault="00754D3C" w:rsidP="00752C1B">
      <w:pPr>
        <w:pStyle w:val="Ttulo1"/>
      </w:pPr>
      <w:bookmarkStart w:id="8" w:name="_Toc177984996"/>
      <w:bookmarkStart w:id="9" w:name="_Toc212461950"/>
      <w:r>
        <w:lastRenderedPageBreak/>
        <w:t>Diagramas de flujo del proceso</w:t>
      </w:r>
      <w:bookmarkEnd w:id="8"/>
      <w:bookmarkEnd w:id="9"/>
    </w:p>
    <w:p w14:paraId="3D7470E9" w14:textId="76D18644" w:rsidR="00754D3C" w:rsidRDefault="0093089C" w:rsidP="00754D3C">
      <w:pPr>
        <w:jc w:val="center"/>
      </w:pPr>
      <w:r>
        <w:rPr>
          <w:noProof/>
          <w:lang w:eastAsia="es-MX"/>
        </w:rPr>
        <w:drawing>
          <wp:inline distT="0" distB="0" distL="0" distR="0" wp14:anchorId="5F18D636" wp14:editId="0DDBFB61">
            <wp:extent cx="5612130" cy="6846073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/>
                  </pic:blipFill>
                  <pic:spPr bwMode="auto">
                    <a:xfrm>
                      <a:off x="0" y="0"/>
                      <a:ext cx="5612130" cy="6846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821E45" w14:textId="77777777" w:rsidR="009A3041" w:rsidRDefault="009A3041" w:rsidP="00752C1B">
      <w:pPr>
        <w:pStyle w:val="Ttulo1"/>
      </w:pPr>
      <w:bookmarkStart w:id="10" w:name="_Toc177984997"/>
    </w:p>
    <w:p w14:paraId="21C23AC2" w14:textId="7C113744" w:rsidR="00F33B4A" w:rsidRPr="0097621C" w:rsidRDefault="00F33B4A" w:rsidP="00752C1B">
      <w:pPr>
        <w:pStyle w:val="Ttulo1"/>
      </w:pPr>
      <w:bookmarkStart w:id="11" w:name="_Toc212461951"/>
      <w:r w:rsidRPr="0097621C">
        <w:t>Componentes Principales</w:t>
      </w:r>
      <w:bookmarkEnd w:id="10"/>
      <w:bookmarkEnd w:id="11"/>
    </w:p>
    <w:p w14:paraId="006CF7AE" w14:textId="77777777" w:rsidR="00F33B4A" w:rsidRDefault="00F33B4A" w:rsidP="00F33B4A"/>
    <w:p w14:paraId="2B90586F" w14:textId="77777777" w:rsidR="009A3041" w:rsidRPr="009A3041" w:rsidRDefault="009A3041" w:rsidP="00157F1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proofErr w:type="spellStart"/>
      <w:r w:rsidRPr="009A3041">
        <w:rPr>
          <w:rFonts w:ascii="Calibri" w:eastAsia="Times New Roman" w:hAnsi="Calibri" w:cs="Calibri"/>
          <w:b/>
          <w:bCs/>
          <w:lang w:eastAsia="es-MX"/>
        </w:rPr>
        <w:t>Frontend</w:t>
      </w:r>
      <w:proofErr w:type="spellEnd"/>
    </w:p>
    <w:p w14:paraId="5B9D66C0" w14:textId="77777777" w:rsidR="009A3041" w:rsidRPr="009A3041" w:rsidRDefault="009A3041" w:rsidP="00157F1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Tecnologías: HTML, CSS y JavaScript con vistas Twig y componentes de interfaz del aplicativo.</w:t>
      </w:r>
    </w:p>
    <w:p w14:paraId="407BB814" w14:textId="77777777" w:rsidR="009A3041" w:rsidRPr="009A3041" w:rsidRDefault="009A3041" w:rsidP="00157F1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Funciones: consulta del estado, revisión de faltantes y diferencias, movimientos bancarios, papeletas y acciones de corrección.</w:t>
      </w:r>
    </w:p>
    <w:p w14:paraId="6551B96B" w14:textId="77777777" w:rsidR="009A3041" w:rsidRPr="009A3041" w:rsidRDefault="009A3041" w:rsidP="00157F1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proofErr w:type="spellStart"/>
      <w:r w:rsidRPr="009A3041">
        <w:rPr>
          <w:rFonts w:ascii="Calibri" w:eastAsia="Times New Roman" w:hAnsi="Calibri" w:cs="Calibri"/>
          <w:b/>
          <w:bCs/>
          <w:lang w:eastAsia="es-MX"/>
        </w:rPr>
        <w:t>Backend</w:t>
      </w:r>
      <w:proofErr w:type="spellEnd"/>
    </w:p>
    <w:p w14:paraId="0B433C21" w14:textId="77777777" w:rsidR="009A3041" w:rsidRPr="009A3041" w:rsidRDefault="009A3041" w:rsidP="00157F15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Tecnología: PHP 8.2 y procesos auxiliares Python.</w:t>
      </w:r>
    </w:p>
    <w:p w14:paraId="01F36267" w14:textId="4DF66F2A" w:rsidR="009A3041" w:rsidRPr="009A3041" w:rsidRDefault="009A3041" w:rsidP="00157F15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Funciones: controladores y modelos de conciliación, reglas de negocio, importación REGIO, validación y registro transaccional.</w:t>
      </w:r>
    </w:p>
    <w:p w14:paraId="3350903B" w14:textId="327A0C38" w:rsidR="00C216D0" w:rsidRDefault="00C216D0" w:rsidP="00C216D0">
      <w:r w:rsidRPr="00C216D0">
        <w:rPr>
          <w:noProof/>
          <w:lang w:eastAsia="es-MX"/>
        </w:rPr>
        <w:drawing>
          <wp:inline distT="0" distB="0" distL="0" distR="0" wp14:anchorId="0F338B6D" wp14:editId="5ADCD272">
            <wp:extent cx="5612130" cy="4048125"/>
            <wp:effectExtent l="19050" t="19050" r="26670" b="285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8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E315CD" w14:textId="400D0797" w:rsidR="00C216D0" w:rsidRPr="00C216D0" w:rsidRDefault="00C216D0" w:rsidP="00C216D0">
      <w:pPr>
        <w:jc w:val="center"/>
        <w:rPr>
          <w:b/>
          <w:bCs/>
          <w:sz w:val="20"/>
          <w:szCs w:val="20"/>
        </w:rPr>
      </w:pPr>
      <w:r w:rsidRPr="00C216D0">
        <w:rPr>
          <w:b/>
          <w:bCs/>
          <w:sz w:val="20"/>
          <w:szCs w:val="20"/>
        </w:rPr>
        <w:t>1.2 Diagrama MVC</w:t>
      </w:r>
    </w:p>
    <w:p w14:paraId="769E38F5" w14:textId="77777777" w:rsidR="00C216D0" w:rsidRPr="00C45C28" w:rsidRDefault="00C216D0" w:rsidP="00C216D0">
      <w:pPr>
        <w:ind w:left="360"/>
      </w:pPr>
    </w:p>
    <w:p w14:paraId="24413F0C" w14:textId="055E1ABB" w:rsidR="009A3041" w:rsidRPr="009A3041" w:rsidRDefault="009A3041" w:rsidP="00157F15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>
        <w:rPr>
          <w:rFonts w:eastAsia="Times New Roman" w:cstheme="minorHAnsi"/>
          <w:b/>
          <w:bCs/>
          <w:lang w:eastAsia="es-MX"/>
        </w:rPr>
        <w:t>Base de datos</w:t>
      </w:r>
    </w:p>
    <w:p w14:paraId="761C7FAE" w14:textId="77777777" w:rsidR="009A3041" w:rsidRPr="009A3041" w:rsidRDefault="009A3041" w:rsidP="00157F15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 w:rsidRPr="009A3041">
        <w:rPr>
          <w:rFonts w:eastAsia="Times New Roman" w:cstheme="minorHAnsi"/>
          <w:b/>
          <w:bCs/>
          <w:lang w:eastAsia="es-MX"/>
        </w:rPr>
        <w:t>ControlGas: turnos, fechas, estaciones, conceptos e importes operativos que participan en la conciliación.</w:t>
      </w:r>
    </w:p>
    <w:p w14:paraId="3E5B2BA0" w14:textId="77777777" w:rsidR="009A3041" w:rsidRPr="009A3041" w:rsidRDefault="009A3041" w:rsidP="00157F15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 w:rsidRPr="009A3041">
        <w:rPr>
          <w:rFonts w:eastAsia="Times New Roman" w:cstheme="minorHAnsi"/>
          <w:b/>
          <w:bCs/>
          <w:lang w:eastAsia="es-MX"/>
        </w:rPr>
        <w:t>TG: movimientos bancarios y tablas efc_conc_* para grupos, partidas, analíticos REGIO, correcciones, cierres, tránsitos y auditoría.</w:t>
      </w:r>
    </w:p>
    <w:p w14:paraId="5A6F6828" w14:textId="4D5C1E88" w:rsidR="00F33B4A" w:rsidRDefault="00F33B4A" w:rsidP="00157F15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Servidor Web:</w:t>
      </w:r>
    </w:p>
    <w:p w14:paraId="744539C1" w14:textId="77777777" w:rsidR="00C45C28" w:rsidRPr="00C45C28" w:rsidRDefault="00C45C28" w:rsidP="00157F15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Tecnología: IIS (Internet Information Services)</w:t>
      </w:r>
    </w:p>
    <w:p w14:paraId="09949AD5" w14:textId="1EC5A344" w:rsidR="00C45C28" w:rsidRDefault="00C45C28" w:rsidP="00157F15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Responsabilidad: sirve la aplicación web y gestiona solicitudes HTTP; las tareas Python se ejecutan por el Programador de tareas de Windows.</w:t>
      </w:r>
    </w:p>
    <w:p w14:paraId="5CD76678" w14:textId="77777777" w:rsidR="0097621C" w:rsidRDefault="0097621C" w:rsidP="0097621C"/>
    <w:p w14:paraId="6CF33221" w14:textId="330D85E9" w:rsidR="0097621C" w:rsidRDefault="0097621C" w:rsidP="0097621C">
      <w:pPr>
        <w:pStyle w:val="Ttulo2"/>
      </w:pPr>
      <w:bookmarkStart w:id="12" w:name="_Toc177984998"/>
      <w:bookmarkStart w:id="13" w:name="_Toc212461952"/>
      <w:r>
        <w:t>Arquitectura de software</w:t>
      </w:r>
      <w:bookmarkEnd w:id="12"/>
      <w:bookmarkEnd w:id="13"/>
    </w:p>
    <w:p w14:paraId="070158F8" w14:textId="77777777" w:rsidR="00C45C28" w:rsidRDefault="00C45C28" w:rsidP="00C45C28"/>
    <w:p w14:paraId="3F5449FC" w14:textId="77777777" w:rsidR="00B41F65" w:rsidRDefault="00C45C28" w:rsidP="0097621C">
      <w:pPr>
        <w:pStyle w:val="Ttulo2"/>
      </w:pPr>
      <w:bookmarkStart w:id="14" w:name="_Toc177984999"/>
      <w:bookmarkStart w:id="15" w:name="_Toc212461953"/>
      <w:r>
        <w:t>Diagrama de la arquitectura</w:t>
      </w:r>
      <w:bookmarkEnd w:id="14"/>
      <w:bookmarkEnd w:id="15"/>
    </w:p>
    <w:p w14:paraId="21DF7D82" w14:textId="77777777" w:rsidR="00B41F65" w:rsidRDefault="00B41F65" w:rsidP="00B41F65"/>
    <w:p w14:paraId="5784A922" w14:textId="34FAE8DC" w:rsidR="00EC480D" w:rsidRDefault="00EC480D" w:rsidP="00B41F65">
      <w:r>
        <w:t>La arquitectura combina vistas web, modelos PHP, fuentes operativas, procesos programados y persistencia en SQL Server:</w:t>
      </w:r>
    </w:p>
    <w:p w14:paraId="4CA3F1B5" w14:textId="77777777" w:rsidR="00EC480D" w:rsidRDefault="00EC480D" w:rsidP="00157F15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Frontend a Backend: las vistas envían solicitudes al controlador; el backend valida filtros y devuelve resultados y excepciones a la interfaz.</w:t>
      </w:r>
    </w:p>
    <w:p w14:paraId="326E49EF" w14:textId="487C865E" w:rsidR="00EC480D" w:rsidRDefault="00EC480D" w:rsidP="00157F15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Backend a Base de Datos: los modelos consultan o escriben en TG; los procesos Python leen fuentes configuradas y persisten resultados validados.</w:t>
      </w:r>
    </w:p>
    <w:p w14:paraId="4346E53B" w14:textId="7C8462D9" w:rsidR="00C45C28" w:rsidRDefault="00EC480D" w:rsidP="00C45C28">
      <w:r>
        <w:rPr>
          <w:noProof/>
          <w:lang w:eastAsia="es-MX"/>
        </w:rPr>
        <w:drawing>
          <wp:inline distT="0" distB="0" distL="0" distR="0" wp14:anchorId="180DE43E" wp14:editId="06C42EB5">
            <wp:extent cx="5612130" cy="1102995"/>
            <wp:effectExtent l="0" t="0" r="762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D0338" w14:textId="3BA05780" w:rsidR="00EC480D" w:rsidRPr="009A3041" w:rsidRDefault="00EC480D" w:rsidP="00157F15">
      <w:pPr>
        <w:pStyle w:val="Prrafodelista"/>
        <w:numPr>
          <w:ilvl w:val="1"/>
          <w:numId w:val="17"/>
        </w:numPr>
        <w:jc w:val="center"/>
        <w:rPr>
          <w:b/>
          <w:bCs/>
          <w:sz w:val="20"/>
          <w:szCs w:val="20"/>
        </w:rPr>
      </w:pPr>
      <w:r w:rsidRPr="009A3041">
        <w:rPr>
          <w:b/>
          <w:bCs/>
          <w:sz w:val="20"/>
          <w:szCs w:val="20"/>
        </w:rPr>
        <w:t>Interacción de componentes</w:t>
      </w:r>
    </w:p>
    <w:p w14:paraId="79CF1520" w14:textId="77777777" w:rsidR="00EC480D" w:rsidRDefault="00EC480D" w:rsidP="00EC480D">
      <w:pPr>
        <w:jc w:val="center"/>
        <w:rPr>
          <w:b/>
          <w:bCs/>
          <w:sz w:val="20"/>
          <w:szCs w:val="20"/>
        </w:rPr>
      </w:pPr>
    </w:p>
    <w:p w14:paraId="737D1581" w14:textId="21FFA279" w:rsidR="00EC480D" w:rsidRPr="0097621C" w:rsidRDefault="008D4121" w:rsidP="0097621C">
      <w:pPr>
        <w:pStyle w:val="Ttulo2"/>
      </w:pPr>
      <w:bookmarkStart w:id="16" w:name="_Toc177985000"/>
      <w:bookmarkStart w:id="17" w:name="_Toc212461954"/>
      <w:r w:rsidRPr="0097621C">
        <w:lastRenderedPageBreak/>
        <w:t>Flujo de Información:</w:t>
      </w:r>
      <w:bookmarkEnd w:id="16"/>
      <w:bookmarkEnd w:id="17"/>
    </w:p>
    <w:p w14:paraId="1946E4AA" w14:textId="77777777" w:rsidR="008D4121" w:rsidRDefault="008D4121" w:rsidP="008D4121">
      <w:pPr>
        <w:rPr>
          <w:lang w:eastAsia="es-MX"/>
        </w:rPr>
      </w:pPr>
    </w:p>
    <w:p w14:paraId="3167E5AE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El proceso REGIO consulta el buzón en modo de solo lectura y obtiene los adjuntos analíticos elegibles.</w:t>
      </w:r>
    </w:p>
    <w:p w14:paraId="79E31B20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El importador interpreta los archivos, evita duplicados y registra papeletas y errores en las tablas analíticas.</w:t>
      </w:r>
    </w:p>
    <w:p w14:paraId="18948F71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Los usuarios revisan bandejas, faltantes y diferencias; corrigen datos cuando la coincidencia no es única.</w:t>
      </w:r>
    </w:p>
    <w:p w14:paraId="164F9C6C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La conciliación automática evalúa los candidatos de ControlGas, banco y REGIO y persiste las asociaciones válidas.</w:t>
      </w:r>
    </w:p>
    <w:p w14:paraId="0730A1D2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La aplicación muestra grupos, partidas, estado de los cierres y trazabilidad disponible.</w:t>
      </w:r>
    </w:p>
    <w:p w14:paraId="074807A8" w14:textId="77777777" w:rsidR="008D4121" w:rsidRPr="008D4121" w:rsidRDefault="008D4121" w:rsidP="008D4121">
      <w:pPr>
        <w:pStyle w:val="Prrafodelista"/>
        <w:ind w:left="1440"/>
        <w:rPr>
          <w:lang w:eastAsia="es-MX"/>
        </w:rPr>
      </w:pPr>
    </w:p>
    <w:p w14:paraId="50ACB6DB" w14:textId="4F22DC58" w:rsidR="00EC480D" w:rsidRDefault="00386A95" w:rsidP="00EC480D">
      <w:r>
        <w:rPr>
          <w:noProof/>
          <w:lang w:eastAsia="es-MX"/>
        </w:rPr>
        <w:drawing>
          <wp:inline distT="0" distB="0" distL="0" distR="0" wp14:anchorId="3FA6B832" wp14:editId="6876C026">
            <wp:extent cx="5612130" cy="1123950"/>
            <wp:effectExtent l="19050" t="19050" r="2667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23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826F5" w14:textId="3A1C807E" w:rsidR="008D4121" w:rsidRPr="009A3041" w:rsidRDefault="008D4121" w:rsidP="00157F15">
      <w:pPr>
        <w:pStyle w:val="Prrafodelista"/>
        <w:numPr>
          <w:ilvl w:val="1"/>
          <w:numId w:val="17"/>
        </w:numPr>
        <w:jc w:val="center"/>
        <w:rPr>
          <w:b/>
          <w:bCs/>
          <w:sz w:val="20"/>
          <w:szCs w:val="20"/>
        </w:rPr>
      </w:pPr>
      <w:r w:rsidRPr="009A3041">
        <w:rPr>
          <w:b/>
          <w:bCs/>
          <w:sz w:val="20"/>
          <w:szCs w:val="20"/>
        </w:rPr>
        <w:t>Flujo de información</w:t>
      </w:r>
    </w:p>
    <w:p w14:paraId="0275178D" w14:textId="77777777" w:rsidR="00CF472C" w:rsidRDefault="00CF472C" w:rsidP="00CF472C">
      <w:pPr>
        <w:jc w:val="center"/>
        <w:rPr>
          <w:b/>
          <w:bCs/>
          <w:sz w:val="20"/>
          <w:szCs w:val="20"/>
        </w:rPr>
      </w:pPr>
    </w:p>
    <w:p w14:paraId="287A05D0" w14:textId="77777777" w:rsidR="00386A95" w:rsidRDefault="00386A95">
      <w:pPr>
        <w:spacing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  <w:r>
        <w:br w:type="page"/>
      </w:r>
    </w:p>
    <w:p w14:paraId="7A42E216" w14:textId="2EB67382" w:rsidR="00563B37" w:rsidRDefault="00563B37" w:rsidP="00563B37">
      <w:pPr>
        <w:pStyle w:val="Ttulo2"/>
      </w:pPr>
      <w:bookmarkStart w:id="18" w:name="_Toc177985001"/>
      <w:bookmarkStart w:id="19" w:name="_Toc212461955"/>
      <w:r>
        <w:lastRenderedPageBreak/>
        <w:t>Modelo de datos</w:t>
      </w:r>
      <w:bookmarkEnd w:id="18"/>
      <w:bookmarkEnd w:id="19"/>
    </w:p>
    <w:p w14:paraId="6C42D814" w14:textId="0DE0E3C6" w:rsidR="00563B37" w:rsidRPr="00563B37" w:rsidRDefault="003960A6" w:rsidP="00247796">
      <w:pPr>
        <w:tabs>
          <w:tab w:val="left" w:pos="2205"/>
        </w:tabs>
      </w:pPr>
      <w:r>
        <w:rPr>
          <w:noProof/>
          <w:lang w:eastAsia="es-MX"/>
        </w:rPr>
        <w:drawing>
          <wp:inline distT="0" distB="0" distL="0" distR="0" wp14:anchorId="078EE326" wp14:editId="5356E697">
            <wp:extent cx="5612130" cy="3618230"/>
            <wp:effectExtent l="0" t="0" r="762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0E4E3" w14:textId="4D7FD6AA" w:rsidR="00752C1B" w:rsidRDefault="00752C1B" w:rsidP="00006CE9">
      <w:pPr>
        <w:pStyle w:val="Ttulo1"/>
      </w:pPr>
      <w:bookmarkStart w:id="20" w:name="_Toc212461956"/>
      <w:bookmarkStart w:id="21" w:name="_Toc177985002"/>
      <w:r>
        <w:lastRenderedPageBreak/>
        <w:t>Diseño</w:t>
      </w:r>
      <w:bookmarkEnd w:id="20"/>
    </w:p>
    <w:p w14:paraId="5FBD907B" w14:textId="4E3B76B2" w:rsidR="007E6679" w:rsidRDefault="00247796" w:rsidP="00752C1B">
      <w:r w:rsidRPr="00247796">
        <w:drawing>
          <wp:inline distT="0" distB="0" distL="0" distR="0" wp14:anchorId="5A456E18" wp14:editId="7776F23E">
            <wp:extent cx="5612130" cy="333946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90A">
        <w:br/>
        <w:t>La pantalla del módulo presenta el menú de Conciliaciones efectivo y sus opciones para conciliar, revisar excepciones, consultar movimientos y administrar papeletas.</w:t>
      </w:r>
    </w:p>
    <w:p w14:paraId="36B69DD6" w14:textId="7635061A" w:rsidR="007E6679" w:rsidRDefault="007E6679" w:rsidP="00752C1B">
      <w:r>
        <w:t>La captura muestra las opciones visibles del módulo; cada vista presenta sus datos y acciones de acuerdo con el flujo operativo correspondiente.</w:t>
      </w:r>
    </w:p>
    <w:p w14:paraId="252EFAE2" w14:textId="77777777" w:rsidR="009A3041" w:rsidRDefault="009A3041" w:rsidP="00752C1B"/>
    <w:p w14:paraId="17BF4BB9" w14:textId="15642E18" w:rsidR="00243646" w:rsidRDefault="00FD590A" w:rsidP="00247796">
      <w:pPr>
        <w:pStyle w:val="Ttulo1"/>
        <w:jc w:val="left"/>
      </w:pPr>
      <w:r>
        <w:t>Documentación de los servicios</w:t>
      </w:r>
      <w:r w:rsidR="00752C1B">
        <w:br/>
      </w:r>
      <w:bookmarkStart w:id="22" w:name="_Toc212461957"/>
      <w:bookmarkEnd w:id="21"/>
      <w:bookmarkEnd w:id="22"/>
    </w:p>
    <w:p w14:paraId="3F49032B" w14:textId="77777777" w:rsidR="00053E77" w:rsidRPr="00053E77" w:rsidRDefault="00053E77" w:rsidP="00053E77"/>
    <w:p w14:paraId="6EC8F557" w14:textId="02C25F64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3" w:name="_Toc212461958"/>
      <w:r w:rsidRPr="007E6679">
        <w:rPr>
          <w:rFonts w:ascii="Calibri" w:hAnsi="Calibri" w:cs="Calibri"/>
        </w:rPr>
        <w:t>Servicio #1: Conciliación bancaria automática</w:t>
      </w:r>
      <w:bookmarkEnd w:id="23"/>
    </w:p>
    <w:p w14:paraId="2E78FED2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Descripción / Proceso programado que localiza candidatos de conciliación, valida las reglas operativas y guarda los grupos mediante procedimientos transaccionales.</w:t>
      </w:r>
      <w:r w:rsidRPr="007E6679">
        <w:rPr>
          <w:rFonts w:ascii="Calibri" w:hAnsi="Calibri" w:cs="Calibri"/>
        </w:rPr>
        <w:br/>
      </w:r>
    </w:p>
    <w:p w14:paraId="72D48DA3" w14:textId="04A928AE" w:rsidR="007E6679" w:rsidRPr="007E6679" w:rsidRDefault="007E6679" w:rsidP="00247796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Proceso / cron/efc_conc_bancaria_automatica.py</w:t>
      </w:r>
      <w:r w:rsidRPr="007E6679">
        <w:rPr>
          <w:rFonts w:ascii="Calibri" w:hAnsi="Calibri" w:cs="Calibri"/>
        </w:rPr>
        <w:br/>
      </w:r>
    </w:p>
    <w:p w14:paraId="5F4A8DC4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Configuración de ejecución</w:t>
      </w:r>
    </w:p>
    <w:tbl>
      <w:tblPr>
        <w:tblStyle w:val="Tabladecuadrcula1clara"/>
        <w:tblW w:w="0" w:type="auto"/>
        <w:tblLook w:val="04A0" w:firstRow="1" w:lastRow="0" w:firstColumn="1" w:lastColumn="0" w:noHBand="0" w:noVBand="1"/>
      </w:tblPr>
      <w:tblGrid>
        <w:gridCol w:w="1390"/>
        <w:gridCol w:w="950"/>
        <w:gridCol w:w="738"/>
        <w:gridCol w:w="1396"/>
        <w:gridCol w:w="4354"/>
      </w:tblGrid>
      <w:tr w:rsidR="007E6679" w:rsidRPr="007E6679" w14:paraId="3E0CCBB2" w14:textId="77777777" w:rsidTr="007E6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D733E" w14:textId="77777777" w:rsidR="007E6679" w:rsidRPr="007E6679" w:rsidRDefault="007E6679">
            <w:pPr>
              <w:jc w:val="center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Parámetro</w:t>
            </w:r>
          </w:p>
        </w:tc>
        <w:tc>
          <w:tcPr>
            <w:tcW w:w="0" w:type="auto"/>
            <w:hideMark/>
          </w:tcPr>
          <w:p w14:paraId="4CAADF99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Tipo</w:t>
            </w:r>
          </w:p>
        </w:tc>
        <w:tc>
          <w:tcPr>
            <w:tcW w:w="0" w:type="auto"/>
            <w:hideMark/>
          </w:tcPr>
          <w:p w14:paraId="5250D4C3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Fonts w:ascii="Calibri" w:hAnsi="Calibri" w:cs="Calibri"/>
                <w:b w:val="0"/>
                <w:bCs w:val="0"/>
              </w:rPr>
              <w:t>Oblig</w:t>
            </w:r>
            <w:proofErr w:type="spellEnd"/>
            <w:r w:rsidRPr="007E6679">
              <w:rPr>
                <w:rFonts w:ascii="Calibri" w:hAnsi="Calibri" w:cs="Calibri"/>
                <w:b w:val="0"/>
                <w:bCs w:val="0"/>
              </w:rPr>
              <w:t>.</w:t>
            </w:r>
          </w:p>
        </w:tc>
        <w:tc>
          <w:tcPr>
            <w:tcW w:w="0" w:type="auto"/>
            <w:hideMark/>
          </w:tcPr>
          <w:p w14:paraId="01FF1110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Valor por defecto</w:t>
            </w:r>
          </w:p>
        </w:tc>
        <w:tc>
          <w:tcPr>
            <w:tcW w:w="0" w:type="auto"/>
            <w:hideMark/>
          </w:tcPr>
          <w:p w14:paraId="313E4C95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Descripción</w:t>
            </w:r>
          </w:p>
        </w:tc>
      </w:tr>
      <w:tr w:rsidR="007E6679" w:rsidRPr="007E6679" w14:paraId="6B109539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F34CC" w14:textId="77777777" w:rsidR="007E6679" w:rsidRPr="007E6679" w:rsidRDefault="007E6679">
            <w:pPr>
              <w:jc w:val="left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Frecuencia</w:t>
            </w:r>
          </w:p>
        </w:tc>
        <w:tc>
          <w:tcPr>
            <w:tcW w:w="0" w:type="auto"/>
            <w:hideMark/>
          </w:tcPr>
          <w:p w14:paraId="72C9345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minutos</w:t>
            </w:r>
          </w:p>
        </w:tc>
        <w:tc>
          <w:tcPr>
            <w:tcW w:w="0" w:type="auto"/>
            <w:hideMark/>
          </w:tcPr>
          <w:p w14:paraId="2BEB1E8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75FF820D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662D187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Intervalo de ejecución de la tarea programada.</w:t>
            </w:r>
          </w:p>
        </w:tc>
      </w:tr>
      <w:tr w:rsidR="007E6679" w:rsidRPr="007E6679" w14:paraId="1307D6D6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99F8B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Rango de turnos</w:t>
            </w:r>
          </w:p>
        </w:tc>
        <w:tc>
          <w:tcPr>
            <w:tcW w:w="0" w:type="auto"/>
            <w:hideMark/>
          </w:tcPr>
          <w:p w14:paraId="1BAA90C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fechas</w:t>
            </w:r>
          </w:p>
        </w:tc>
        <w:tc>
          <w:tcPr>
            <w:tcW w:w="0" w:type="auto"/>
            <w:hideMark/>
          </w:tcPr>
          <w:p w14:paraId="79820BA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0D06A15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ventana móvil</w:t>
            </w:r>
          </w:p>
        </w:tc>
        <w:tc>
          <w:tcPr>
            <w:tcW w:w="0" w:type="auto"/>
            <w:hideMark/>
          </w:tcPr>
          <w:p w14:paraId="5268A17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Desde siete días antes del mes actual hasta la fecha de ejecución.</w:t>
            </w:r>
          </w:p>
        </w:tc>
      </w:tr>
      <w:tr w:rsidR="007E6679" w:rsidRPr="007E6679" w14:paraId="51DC0E4F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9797B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Rango bancario</w:t>
            </w:r>
          </w:p>
        </w:tc>
        <w:tc>
          <w:tcPr>
            <w:tcW w:w="0" w:type="auto"/>
            <w:hideMark/>
          </w:tcPr>
          <w:p w14:paraId="02461DD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fechas</w:t>
            </w:r>
          </w:p>
        </w:tc>
        <w:tc>
          <w:tcPr>
            <w:tcW w:w="0" w:type="auto"/>
            <w:hideMark/>
          </w:tcPr>
          <w:p w14:paraId="56F3260E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907D15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ventana móvil</w:t>
            </w:r>
          </w:p>
        </w:tc>
        <w:tc>
          <w:tcPr>
            <w:tcW w:w="0" w:type="auto"/>
            <w:hideMark/>
          </w:tcPr>
          <w:p w14:paraId="4BF6B073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Ventana de búsqueda de depósitos, con extensión para depósitos tardíos.</w:t>
            </w:r>
          </w:p>
        </w:tc>
      </w:tr>
      <w:tr w:rsidR="007E6679" w:rsidRPr="007E6679" w14:paraId="45CE0307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DC113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Conexión</w:t>
            </w:r>
          </w:p>
        </w:tc>
        <w:tc>
          <w:tcPr>
            <w:tcW w:w="0" w:type="auto"/>
            <w:hideMark/>
          </w:tcPr>
          <w:p w14:paraId="4A84973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entorno</w:t>
            </w:r>
          </w:p>
        </w:tc>
        <w:tc>
          <w:tcPr>
            <w:tcW w:w="0" w:type="auto"/>
            <w:hideMark/>
          </w:tcPr>
          <w:p w14:paraId="5BAB1F3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ED9247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nfasis"/>
                <w:rFonts w:ascii="Calibri" w:hAnsi="Calibri" w:cs="Calibri"/>
              </w:rPr>
              <w:t>.env / entorno</w:t>
            </w:r>
          </w:p>
        </w:tc>
        <w:tc>
          <w:tcPr>
            <w:tcW w:w="0" w:type="auto"/>
            <w:hideMark/>
          </w:tcPr>
          <w:p w14:paraId="7B59F9B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Configuración externa; no se documentan secretos.</w:t>
            </w:r>
          </w:p>
        </w:tc>
      </w:tr>
    </w:tbl>
    <w:p w14:paraId="0B56EEB3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Frecuencia y ventana de consulta</w:t>
      </w:r>
    </w:p>
    <w:p w14:paraId="211003A0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Ejecución programada cada 10 minutos mediante el Programador de tareas de Windows.</w:t>
      </w:r>
    </w:p>
    <w:p w14:paraId="7E67C63F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El proceso obtiene la configuración de conexión desde el entorno o archivo .env.</w:t>
      </w:r>
    </w:p>
    <w:p w14:paraId="6E2D56C5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Rangos temporales</w:t>
      </w:r>
    </w:p>
    <w:p w14:paraId="5C66B562" w14:textId="77777777" w:rsidR="007E6679" w:rsidRPr="007E6679" w:rsidRDefault="007E6679" w:rsidP="00157F15">
      <w:pPr>
        <w:pStyle w:val="NormalWeb"/>
        <w:numPr>
          <w:ilvl w:val="1"/>
          <w:numId w:val="19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Se consultan turnos desde siete días antes del inicio del mes actual hasta la fecha actual.</w:t>
      </w:r>
    </w:p>
    <w:p w14:paraId="6B494724" w14:textId="77777777" w:rsidR="007E6679" w:rsidRPr="007E6679" w:rsidRDefault="007E6679" w:rsidP="00157F15">
      <w:pPr>
        <w:pStyle w:val="NormalWeb"/>
        <w:numPr>
          <w:ilvl w:val="1"/>
          <w:numId w:val="19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Los movimientos bancarios se revisan dentro de la ventana configurada, que puede incluir días posteriores para depósitos tardíos.</w:t>
      </w:r>
    </w:p>
    <w:p w14:paraId="753B2869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Control de ejecuciones</w:t>
      </w:r>
    </w:p>
    <w:p w14:paraId="798A398E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Adquiere un bloqueo de aplicación SQL para impedir que dos instancias concilien al mismo tiempo.</w:t>
      </w:r>
    </w:p>
    <w:p w14:paraId="46CEEEB4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  <w:lang w:val="en-US"/>
        </w:rPr>
      </w:pPr>
      <w:r w:rsidRPr="007E6679">
        <w:rPr>
          <w:rFonts w:ascii="Calibri" w:hAnsi="Calibri" w:cs="Calibri"/>
          <w:lang w:val="en-US"/>
        </w:rPr>
        <w:t xml:space="preserve">Registra inicio, fin, estado, cantidad conciliada, omitida, errores y </w:t>
      </w:r>
      <w:proofErr w:type="spellStart"/>
      <w:r w:rsidRPr="007E6679">
        <w:rPr>
          <w:rFonts w:ascii="Calibri" w:hAnsi="Calibri" w:cs="Calibri"/>
          <w:lang w:val="en-US"/>
        </w:rPr>
        <w:t>detalle</w:t>
      </w:r>
      <w:proofErr w:type="spellEnd"/>
      <w:r w:rsidRPr="007E6679">
        <w:rPr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Fonts w:ascii="Calibri" w:hAnsi="Calibri" w:cs="Calibri"/>
          <w:lang w:val="en-US"/>
        </w:rPr>
        <w:t>ejecución</w:t>
      </w:r>
      <w:proofErr w:type="spellEnd"/>
      <w:r w:rsidRPr="007E6679">
        <w:rPr>
          <w:rFonts w:ascii="Calibri" w:hAnsi="Calibri" w:cs="Calibri"/>
          <w:lang w:val="en-US"/>
        </w:rPr>
        <w:t>.</w:t>
      </w:r>
    </w:p>
    <w:p w14:paraId="0BA83B72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interfaz puede mostrar la última ejecución terminada y su estado.</w:t>
      </w:r>
    </w:p>
    <w:p w14:paraId="4FFD45E7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Criterios de asociación</w:t>
      </w:r>
    </w:p>
    <w:p w14:paraId="426F7F51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Compara estación, cuenta, moneda, fecha de turno, concepto e importe.</w:t>
      </w:r>
    </w:p>
    <w:p w14:paraId="4A741C71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depósitos con estación no identificada solo se asignan cuando la coincidencia disponible es inequívoca.</w:t>
      </w:r>
    </w:p>
    <w:p w14:paraId="637408F8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candidatos múltiples o conflictivos se reservan para revisión manual.</w:t>
      </w:r>
    </w:p>
    <w:p w14:paraId="7588FDD6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Reglas especiales aplicadas</w:t>
      </w:r>
    </w:p>
    <w:p w14:paraId="237F0297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conciliaciones habituales aplican la tolerancia operativa definida para el caso.</w:t>
      </w:r>
    </w:p>
    <w:p w14:paraId="5A931A78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GASOMEX</w:t>
      </w:r>
    </w:p>
    <w:p w14:paraId="586B4F99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Agrupa secuencias continuas de turnos y separa los importes por moneda y cuenta permitida.</w:t>
      </w:r>
    </w:p>
    <w:p w14:paraId="27D990E7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lastRenderedPageBreak/>
        <w:t xml:space="preserve">La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conciliación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se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bloquea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si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hay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vínculos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REGIO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ausentes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,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turnos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duplicados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o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partidas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previamente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utilizadas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6098AC1B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t xml:space="preserve">Si un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depósito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admite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más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una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secuencia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posible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,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queda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pendiente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revisión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5C0F7EDE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Parral y tránsitos</w:t>
      </w:r>
    </w:p>
    <w:p w14:paraId="5982FC8A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Parral aplica la tolerancia específica configurada para esa operación.</w:t>
      </w:r>
    </w:p>
    <w:p w14:paraId="111F1792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depósitos de un periodo posterior pueden generar tránsitos para conservar el periodo de origen del turno.</w:t>
      </w:r>
    </w:p>
    <w:p w14:paraId="70D802EB" w14:textId="77777777" w:rsidR="007E6679" w:rsidRPr="007E6679" w:rsidRDefault="007E6679" w:rsidP="00157F15">
      <w:pPr>
        <w:pStyle w:val="NormalWeb"/>
        <w:numPr>
          <w:ilvl w:val="2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Los procedimientos SQL serializables validan cierres, turnos y depósitos antes de guardar.</w:t>
      </w:r>
    </w:p>
    <w:p w14:paraId="29F4EB22" w14:textId="77777777" w:rsidR="007E6679" w:rsidRPr="007E6679" w:rsidRDefault="007E6679" w:rsidP="00157F15">
      <w:pPr>
        <w:pStyle w:val="NormalWeb"/>
        <w:numPr>
          <w:ilvl w:val="2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Persistencia y control de duplicados</w:t>
      </w:r>
    </w:p>
    <w:p w14:paraId="33ED3146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Los procedimientos de guardado registran grupos y partidas asociadas.</w:t>
      </w:r>
    </w:p>
    <w:p w14:paraId="2D880D91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Índices únicos y validaciones transaccionales impiden utilizar dos veces la misma partida activa.</w:t>
      </w:r>
    </w:p>
    <w:p w14:paraId="577D43EC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correcciones de banco y reclasificaciones se almacenan como registros auditables.</w:t>
      </w:r>
      <w:r w:rsidRPr="007E6679">
        <w:rPr>
          <w:rFonts w:ascii="Calibri" w:hAnsi="Calibri" w:cs="Calibri"/>
        </w:rPr>
        <w:br/>
      </w:r>
    </w:p>
    <w:p w14:paraId="7BA3A32D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Salida</w:t>
      </w:r>
      <w:proofErr w:type="spellEnd"/>
    </w:p>
    <w:p w14:paraId="4FB7EB82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Grupos y partidas conciliadas, registros omitidos y errores de ejecución.</w:t>
      </w:r>
    </w:p>
    <w:p w14:paraId="5DD2C54C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t xml:space="preserve">El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estado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ejecución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queda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disponible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para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diagnóstico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en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la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aplicación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79E7E419" w14:textId="77777777" w:rsidR="007E6679" w:rsidRPr="007E6679" w:rsidRDefault="007E6679" w:rsidP="00157F15">
      <w:pPr>
        <w:pStyle w:val="NormalWeb"/>
        <w:numPr>
          <w:ilvl w:val="1"/>
          <w:numId w:val="2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pendientes continúan visibles para revisión manual.</w:t>
      </w:r>
    </w:p>
    <w:p w14:paraId="50269E13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Consideraciones</w:t>
      </w:r>
    </w:p>
    <w:p w14:paraId="748B16A4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Una segunda tarea debe compartir la misma instancia SQL y el mecanismo de bloqueo.</w:t>
      </w:r>
    </w:p>
    <w:p w14:paraId="16F08652" w14:textId="087AB39F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variables de conexión y credenciales se administran fuera de este documento.</w:t>
      </w:r>
      <w:r w:rsidRPr="007E6679">
        <w:rPr>
          <w:rFonts w:ascii="Calibri" w:hAnsi="Calibri" w:cs="Calibri"/>
        </w:rPr>
        <w:br/>
      </w:r>
    </w:p>
    <w:p w14:paraId="245DAB44" w14:textId="755B20DC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ventana de consulta y las reglas por banco o estación deben mantenerse alineadas con la configuración vigente.</w:t>
      </w:r>
      <w:r w:rsidRPr="007E6679">
        <w:rPr>
          <w:rFonts w:ascii="Calibri" w:hAnsi="Calibri" w:cs="Calibri"/>
        </w:rPr>
        <w:br/>
      </w:r>
    </w:p>
    <w:p w14:paraId="38802160" w14:textId="2EC5CD20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Textoennegrita"/>
          <w:rFonts w:ascii="Calibri" w:hAnsi="Calibri" w:cs="Calibri"/>
          <w:lang w:val="en-US"/>
        </w:rPr>
        <w:t xml:space="preserve">La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existencia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datos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origen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no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garantiza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una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conciliación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si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hay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ambigüedad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o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falta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un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vínculo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>.</w:t>
      </w:r>
      <w:r w:rsidRPr="007E6679">
        <w:rPr>
          <w:rFonts w:ascii="Calibri" w:hAnsi="Calibri" w:cs="Calibri"/>
          <w:lang w:val="en-US"/>
        </w:rPr>
        <w:br/>
      </w:r>
    </w:p>
    <w:p w14:paraId="268D3944" w14:textId="66498D7C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Textoennegrita"/>
          <w:rFonts w:ascii="Calibri" w:hAnsi="Calibri" w:cs="Calibri"/>
          <w:lang w:val="en-US"/>
        </w:rPr>
        <w:t xml:space="preserve">El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proceso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se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ejecuta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sin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intervención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del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usuario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,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pero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las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excepciones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requieren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revisión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>.</w:t>
      </w:r>
      <w:r w:rsidRPr="007E6679">
        <w:rPr>
          <w:rFonts w:ascii="Calibri" w:hAnsi="Calibri" w:cs="Calibri"/>
          <w:lang w:val="en-US"/>
        </w:rPr>
        <w:br/>
      </w:r>
    </w:p>
    <w:p w14:paraId="12DAB3EE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Errores y comportamientos esperados</w:t>
      </w:r>
    </w:p>
    <w:p w14:paraId="6B357D36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Si otra instancia tiene el bloqueo, la ejecución termina sin iniciar otra conciliación.</w:t>
      </w:r>
    </w:p>
    <w:p w14:paraId="7E1172F4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Si las fuentes no tienen candidatos, la ejecución registra el resultado sin conciliaciones nuevas.</w:t>
      </w:r>
    </w:p>
    <w:p w14:paraId="7E740208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Si ocurre un error, la ejecución queda registrada con estado de error y detalle sanitizado.</w:t>
      </w:r>
    </w:p>
    <w:p w14:paraId="437EF5CD" w14:textId="77777777" w:rsidR="007E6679" w:rsidRPr="007E6679" w:rsidRDefault="00B26AF8" w:rsidP="007E667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06123D6A">
          <v:rect id="_x0000_i1025" style="width:0;height:1.5pt" o:hralign="center" o:hrstd="t" o:hr="t" fillcolor="#a0a0a0" stroked="f"/>
        </w:pict>
      </w:r>
    </w:p>
    <w:p w14:paraId="78A88DEA" w14:textId="77777777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4" w:name="_Toc212461959"/>
      <w:r w:rsidRPr="007E6679">
        <w:rPr>
          <w:rFonts w:ascii="Calibri" w:hAnsi="Calibri" w:cs="Calibri"/>
        </w:rPr>
        <w:t>Servicio #2: Importación y cruce de papeletas REGIO</w:t>
      </w:r>
      <w:bookmarkEnd w:id="24"/>
    </w:p>
    <w:p w14:paraId="75593F0B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Descripción / Importa analíticos REGIO desde archivos Excel recibidos por correo y prepara la información para vincularse con los turnos.</w:t>
      </w:r>
      <w:r w:rsidRPr="007E6679">
        <w:rPr>
          <w:rFonts w:ascii="Calibri" w:hAnsi="Calibri" w:cs="Calibri"/>
        </w:rPr>
        <w:br/>
      </w:r>
    </w:p>
    <w:p w14:paraId="7BD47EB5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El proceso diario busca mensajes y adjuntos que cumplan los filtros configurados.</w:t>
      </w:r>
    </w:p>
    <w:p w14:paraId="220DCD62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El lector interpreta hojas, remesas, estaciones, fechas e importes y registra las papeletas importadas.</w:t>
      </w:r>
    </w:p>
    <w:p w14:paraId="068CE42C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El proceso histórico reutiliza el lector diario para cargar un intervalo definido.</w:t>
      </w:r>
    </w:p>
    <w:p w14:paraId="661A2EF8" w14:textId="3F06FAA4" w:rsidR="007E6679" w:rsidRPr="007E6679" w:rsidRDefault="007E6679" w:rsidP="007E6679">
      <w:pPr>
        <w:pStyle w:val="NormalWeb"/>
        <w:jc w:val="left"/>
        <w:rPr>
          <w:rFonts w:ascii="Calibri" w:hAnsi="Calibri" w:cs="Calibri"/>
          <w:lang w:val="en-US"/>
        </w:rPr>
      </w:pPr>
      <w:r w:rsidRPr="007E6679">
        <w:rPr>
          <w:rStyle w:val="Textoennegrita"/>
          <w:rFonts w:ascii="Calibri" w:hAnsi="Calibri" w:cs="Calibri"/>
          <w:lang w:val="en-US"/>
        </w:rPr>
        <w:t>Proceso / cron/efc_conc_analiticos_diario.py y cron/efc_conc_analiticos_historico.py</w:t>
      </w:r>
      <w:r w:rsidRPr="007E6679">
        <w:rPr>
          <w:rFonts w:ascii="Calibri" w:hAnsi="Calibri" w:cs="Calibri"/>
          <w:lang w:val="en-US"/>
        </w:rPr>
        <w:br/>
      </w:r>
    </w:p>
    <w:p w14:paraId="1588C8C6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Fuentes y configuración</w:t>
      </w:r>
    </w:p>
    <w:tbl>
      <w:tblPr>
        <w:tblStyle w:val="Tabladecuadrcula1clara"/>
        <w:tblW w:w="9977" w:type="dxa"/>
        <w:tblLook w:val="04A0" w:firstRow="1" w:lastRow="0" w:firstColumn="1" w:lastColumn="0" w:noHBand="0" w:noVBand="1"/>
      </w:tblPr>
      <w:tblGrid>
        <w:gridCol w:w="1234"/>
        <w:gridCol w:w="1294"/>
        <w:gridCol w:w="823"/>
        <w:gridCol w:w="738"/>
        <w:gridCol w:w="1275"/>
        <w:gridCol w:w="4613"/>
      </w:tblGrid>
      <w:tr w:rsidR="007E6679" w:rsidRPr="007E6679" w14:paraId="1C27EDCA" w14:textId="77777777" w:rsidTr="007E6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AFDE4" w14:textId="77777777" w:rsidR="007E6679" w:rsidRPr="007E6679" w:rsidRDefault="007E6679">
            <w:pPr>
              <w:jc w:val="center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Parámetro</w:t>
            </w:r>
          </w:p>
        </w:tc>
        <w:tc>
          <w:tcPr>
            <w:tcW w:w="0" w:type="auto"/>
            <w:hideMark/>
          </w:tcPr>
          <w:p w14:paraId="5E3AE2E0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En</w:t>
            </w:r>
          </w:p>
        </w:tc>
        <w:tc>
          <w:tcPr>
            <w:tcW w:w="0" w:type="auto"/>
            <w:hideMark/>
          </w:tcPr>
          <w:p w14:paraId="141E9D6B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Tipo</w:t>
            </w:r>
          </w:p>
        </w:tc>
        <w:tc>
          <w:tcPr>
            <w:tcW w:w="0" w:type="auto"/>
            <w:hideMark/>
          </w:tcPr>
          <w:p w14:paraId="7589D6E1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Fonts w:ascii="Calibri" w:hAnsi="Calibri" w:cs="Calibri"/>
                <w:b w:val="0"/>
                <w:bCs w:val="0"/>
              </w:rPr>
              <w:t>Oblig</w:t>
            </w:r>
            <w:proofErr w:type="spellEnd"/>
            <w:r w:rsidRPr="007E6679">
              <w:rPr>
                <w:rFonts w:ascii="Calibri" w:hAnsi="Calibri" w:cs="Calibri"/>
                <w:b w:val="0"/>
                <w:bCs w:val="0"/>
              </w:rPr>
              <w:t>.</w:t>
            </w:r>
          </w:p>
        </w:tc>
        <w:tc>
          <w:tcPr>
            <w:tcW w:w="0" w:type="auto"/>
            <w:hideMark/>
          </w:tcPr>
          <w:p w14:paraId="44055ABE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Por defecto</w:t>
            </w:r>
          </w:p>
        </w:tc>
        <w:tc>
          <w:tcPr>
            <w:tcW w:w="0" w:type="auto"/>
            <w:hideMark/>
          </w:tcPr>
          <w:p w14:paraId="1C76FF2C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Descripción</w:t>
            </w:r>
          </w:p>
        </w:tc>
      </w:tr>
      <w:tr w:rsidR="007E6679" w:rsidRPr="007E6679" w14:paraId="794012C6" w14:textId="77777777" w:rsidTr="007E6679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A17B4" w14:textId="77777777" w:rsidR="007E6679" w:rsidRPr="007E6679" w:rsidRDefault="007E6679">
            <w:pPr>
              <w:jc w:val="left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Buzón</w:t>
            </w:r>
          </w:p>
        </w:tc>
        <w:tc>
          <w:tcPr>
            <w:tcW w:w="0" w:type="auto"/>
            <w:hideMark/>
          </w:tcPr>
          <w:p w14:paraId="43CC2C82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config</w:t>
            </w:r>
            <w:proofErr w:type="spellEnd"/>
          </w:p>
        </w:tc>
        <w:tc>
          <w:tcPr>
            <w:tcW w:w="0" w:type="auto"/>
            <w:hideMark/>
          </w:tcPr>
          <w:p w14:paraId="0AD4421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IMAP</w:t>
            </w:r>
          </w:p>
        </w:tc>
        <w:tc>
          <w:tcPr>
            <w:tcW w:w="0" w:type="auto"/>
            <w:hideMark/>
          </w:tcPr>
          <w:p w14:paraId="0BF7E4B7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00E0617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Entorno</w:t>
            </w:r>
          </w:p>
        </w:tc>
        <w:tc>
          <w:tcPr>
            <w:tcW w:w="0" w:type="auto"/>
            <w:hideMark/>
          </w:tcPr>
          <w:p w14:paraId="750C7060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Buzón</w:t>
            </w:r>
            <w:proofErr w:type="spellEnd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 xml:space="preserve"> </w:t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configurado</w:t>
            </w:r>
            <w:proofErr w:type="spellEnd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 xml:space="preserve"> para </w:t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lectura</w:t>
            </w:r>
            <w:proofErr w:type="spellEnd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 xml:space="preserve"> de </w:t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adjuntos</w:t>
            </w:r>
            <w:proofErr w:type="spellEnd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 xml:space="preserve"> </w:t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elegibles</w:t>
            </w:r>
            <w:proofErr w:type="spellEnd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.</w:t>
            </w:r>
          </w:p>
        </w:tc>
      </w:tr>
      <w:tr w:rsidR="007E6679" w:rsidRPr="007E6679" w14:paraId="6751396A" w14:textId="77777777" w:rsidTr="007E6679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D3888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Fecha</w:t>
            </w:r>
          </w:p>
        </w:tc>
        <w:tc>
          <w:tcPr>
            <w:tcW w:w="0" w:type="auto"/>
            <w:hideMark/>
          </w:tcPr>
          <w:p w14:paraId="3E0E83F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archivo</w:t>
            </w:r>
          </w:p>
        </w:tc>
        <w:tc>
          <w:tcPr>
            <w:tcW w:w="0" w:type="auto"/>
            <w:hideMark/>
          </w:tcPr>
          <w:p w14:paraId="4DE943F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fecha</w:t>
            </w:r>
          </w:p>
        </w:tc>
        <w:tc>
          <w:tcPr>
            <w:tcW w:w="0" w:type="auto"/>
            <w:hideMark/>
          </w:tcPr>
          <w:p w14:paraId="08E04AA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1F9C6A7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Del analítico</w:t>
            </w:r>
          </w:p>
        </w:tc>
        <w:tc>
          <w:tcPr>
            <w:tcW w:w="0" w:type="auto"/>
            <w:hideMark/>
          </w:tcPr>
          <w:p w14:paraId="4EAD3ED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Fecha del archivo usada para filtrar la importación histórica.</w:t>
            </w:r>
          </w:p>
        </w:tc>
      </w:tr>
      <w:tr w:rsidR="007E6679" w:rsidRPr="007E6679" w14:paraId="4A64FB8B" w14:textId="77777777" w:rsidTr="007E6679">
        <w:trPr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479E4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Importación</w:t>
            </w:r>
          </w:p>
        </w:tc>
        <w:tc>
          <w:tcPr>
            <w:tcW w:w="0" w:type="auto"/>
            <w:hideMark/>
          </w:tcPr>
          <w:p w14:paraId="5694E642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proceso</w:t>
            </w:r>
          </w:p>
        </w:tc>
        <w:tc>
          <w:tcPr>
            <w:tcW w:w="0" w:type="auto"/>
            <w:hideMark/>
          </w:tcPr>
          <w:p w14:paraId="2952684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opción</w:t>
            </w:r>
          </w:p>
        </w:tc>
        <w:tc>
          <w:tcPr>
            <w:tcW w:w="0" w:type="auto"/>
            <w:hideMark/>
          </w:tcPr>
          <w:p w14:paraId="5977B17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5FDF8F6C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Diaria</w:t>
            </w:r>
          </w:p>
        </w:tc>
        <w:tc>
          <w:tcPr>
            <w:tcW w:w="0" w:type="auto"/>
            <w:hideMark/>
          </w:tcPr>
          <w:p w14:paraId="1E8E0BBC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Carga diaria de nuevos adjuntos elegibles.</w:t>
            </w:r>
          </w:p>
        </w:tc>
      </w:tr>
      <w:tr w:rsidR="007E6679" w:rsidRPr="007E6679" w14:paraId="33BF5A03" w14:textId="77777777" w:rsidTr="007E6679">
        <w:trPr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2F1F1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Intervalo</w:t>
            </w:r>
          </w:p>
        </w:tc>
        <w:tc>
          <w:tcPr>
            <w:tcW w:w="0" w:type="auto"/>
            <w:hideMark/>
          </w:tcPr>
          <w:p w14:paraId="34D87A5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argumentos</w:t>
            </w:r>
          </w:p>
        </w:tc>
        <w:tc>
          <w:tcPr>
            <w:tcW w:w="0" w:type="auto"/>
            <w:hideMark/>
          </w:tcPr>
          <w:p w14:paraId="6FDA935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fecha</w:t>
            </w:r>
          </w:p>
        </w:tc>
        <w:tc>
          <w:tcPr>
            <w:tcW w:w="0" w:type="auto"/>
            <w:hideMark/>
          </w:tcPr>
          <w:p w14:paraId="2F52E60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1A4FF67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Configurado</w:t>
            </w:r>
          </w:p>
        </w:tc>
        <w:tc>
          <w:tcPr>
            <w:tcW w:w="0" w:type="auto"/>
            <w:hideMark/>
          </w:tcPr>
          <w:p w14:paraId="08AEC4C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Textoennegrita"/>
                <w:rFonts w:ascii="Calibri" w:hAnsi="Calibri" w:cs="Calibri"/>
              </w:rPr>
              <w:t>Inicio y fin para la carga histórica acotada.</w:t>
            </w:r>
          </w:p>
        </w:tc>
      </w:tr>
      <w:tr w:rsidR="007E6679" w:rsidRPr="007E6679" w14:paraId="00DB5211" w14:textId="77777777" w:rsidTr="007E6679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CF184" w14:textId="77777777" w:rsidR="007E6679" w:rsidRPr="007E6679" w:rsidRDefault="007E6679">
            <w:pPr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Reprocesar</w:t>
            </w:r>
          </w:p>
        </w:tc>
        <w:tc>
          <w:tcPr>
            <w:tcW w:w="0" w:type="auto"/>
            <w:hideMark/>
          </w:tcPr>
          <w:p w14:paraId="72FA394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argumentos</w:t>
            </w:r>
          </w:p>
        </w:tc>
        <w:tc>
          <w:tcPr>
            <w:tcW w:w="0" w:type="auto"/>
            <w:hideMark/>
          </w:tcPr>
          <w:p w14:paraId="0474615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flag</w:t>
            </w:r>
            <w:proofErr w:type="spellEnd"/>
          </w:p>
        </w:tc>
        <w:tc>
          <w:tcPr>
            <w:tcW w:w="0" w:type="auto"/>
            <w:hideMark/>
          </w:tcPr>
          <w:p w14:paraId="7FC6121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6CB159B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Desactivado</w:t>
            </w:r>
          </w:p>
        </w:tc>
        <w:tc>
          <w:tcPr>
            <w:tcW w:w="0" w:type="auto"/>
            <w:hideMark/>
          </w:tcPr>
          <w:p w14:paraId="6ACACB0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Vuelve a interpretar archivos del intervalo cuando se solicita explícitamente.</w:t>
            </w:r>
          </w:p>
        </w:tc>
      </w:tr>
    </w:tbl>
    <w:p w14:paraId="78E80228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Buzón de correo / conexión IMAP de solo lectura.</w:t>
      </w:r>
    </w:p>
    <w:p w14:paraId="77A7AA45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El archivo fuente debe corresponder a la planilla analítica esperada por el importador.</w:t>
      </w:r>
    </w:p>
    <w:p w14:paraId="763C1A77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Importación e </w:t>
      </w:r>
      <w:proofErr w:type="spellStart"/>
      <w:r w:rsidRPr="007E6679">
        <w:rPr>
          <w:rFonts w:ascii="Calibri" w:hAnsi="Calibri" w:cs="Calibri"/>
        </w:rPr>
        <w:t>idempotencia</w:t>
      </w:r>
      <w:proofErr w:type="spellEnd"/>
    </w:p>
    <w:p w14:paraId="7AD03BBE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Se calcula el hash del archivo para identificar importaciones repetidas.</w:t>
      </w:r>
    </w:p>
    <w:p w14:paraId="2190D33F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La clave de remesa permite reconocer papeletas que ya existen.</w:t>
      </w:r>
    </w:p>
    <w:p w14:paraId="4C04EF07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Las filas inválidas y excepciones se registran asociadas a la importación.</w:t>
      </w:r>
    </w:p>
    <w:p w14:paraId="7452C2E5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Cruce con la operación</w:t>
      </w:r>
    </w:p>
    <w:p w14:paraId="260BC5DA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Los alias normalizados ayudan a identificar la estación indicada en el analítico.</w:t>
      </w:r>
    </w:p>
    <w:p w14:paraId="2CB1FD03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identificadores de remesa se normalizan para evitar diferencias de formato en Excel.</w:t>
      </w:r>
    </w:p>
    <w:p w14:paraId="43441423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vínculos asocian papeleta(s) con estación, fecha operativa, turno y concepto.</w:t>
      </w:r>
    </w:p>
    <w:p w14:paraId="25C55776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relaciones ambiguas se corrigen en la bandeja analítica.</w:t>
      </w:r>
    </w:p>
    <w:p w14:paraId="1EB90E0E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Correcciones admitidas</w:t>
      </w:r>
      <w:r w:rsidRPr="007E6679">
        <w:rPr>
          <w:rFonts w:ascii="Calibri" w:hAnsi="Calibri" w:cs="Calibri"/>
        </w:rPr>
        <w:br/>
      </w:r>
    </w:p>
    <w:p w14:paraId="3C5CEDCD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aplicación permite corregir fecha o estación de una papeleta cuando corresponde.</w:t>
      </w:r>
    </w:p>
    <w:p w14:paraId="541BAC96" w14:textId="77777777" w:rsidR="007E6679" w:rsidRPr="007E6679" w:rsidRDefault="007E6679" w:rsidP="00157F15">
      <w:pPr>
        <w:pStyle w:val="NormalWeb"/>
        <w:numPr>
          <w:ilvl w:val="0"/>
          <w:numId w:val="27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La corrección se mantiene como registro separado con usuario y fecha disponibles.</w:t>
      </w:r>
    </w:p>
    <w:p w14:paraId="44B8CB89" w14:textId="77777777" w:rsidR="007E6679" w:rsidRPr="007E6679" w:rsidRDefault="007E6679" w:rsidP="00157F15">
      <w:pPr>
        <w:pStyle w:val="NormalWeb"/>
        <w:numPr>
          <w:ilvl w:val="0"/>
          <w:numId w:val="27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Las papeletas pueden vincularse, desvincularse o intercambiarse según las validaciones del modelo.</w:t>
      </w:r>
    </w:p>
    <w:p w14:paraId="006526D5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Validación de vínculos</w:t>
      </w:r>
    </w:p>
    <w:p w14:paraId="438F679C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Una papeleta activa no se puede asociar a más de un vínculo activo.</w:t>
      </w:r>
    </w:p>
    <w:p w14:paraId="6F86A848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Una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segunda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papeleta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puede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asociarse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al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mismo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turno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cuando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la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regla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aplicable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lo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permite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1BF2CDDE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No se permite duplicar una papeleta en ambos espacios del mismo vínculo.</w:t>
      </w:r>
    </w:p>
    <w:p w14:paraId="4CD06CEE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r w:rsidRPr="007E6679">
        <w:rPr>
          <w:rFonts w:ascii="Calibri" w:hAnsi="Calibri" w:cs="Calibri"/>
          <w:lang w:val="en-US"/>
        </w:rPr>
        <w:t xml:space="preserve">Los vínculos bloqueados o ya </w:t>
      </w:r>
      <w:proofErr w:type="spellStart"/>
      <w:r w:rsidRPr="007E6679">
        <w:rPr>
          <w:rFonts w:ascii="Calibri" w:hAnsi="Calibri" w:cs="Calibri"/>
          <w:lang w:val="en-US"/>
        </w:rPr>
        <w:t>utilizados</w:t>
      </w:r>
      <w:proofErr w:type="spellEnd"/>
      <w:r w:rsidRPr="007E6679">
        <w:rPr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Fonts w:ascii="Calibri" w:hAnsi="Calibri" w:cs="Calibri"/>
          <w:lang w:val="en-US"/>
        </w:rPr>
        <w:t>restringen</w:t>
      </w:r>
      <w:proofErr w:type="spellEnd"/>
      <w:r w:rsidRPr="007E6679">
        <w:rPr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Fonts w:ascii="Calibri" w:hAnsi="Calibri" w:cs="Calibri"/>
          <w:lang w:val="en-US"/>
        </w:rPr>
        <w:t>cambios</w:t>
      </w:r>
      <w:proofErr w:type="spellEnd"/>
      <w:r w:rsidRPr="007E6679">
        <w:rPr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Fonts w:ascii="Calibri" w:hAnsi="Calibri" w:cs="Calibri"/>
          <w:lang w:val="en-US"/>
        </w:rPr>
        <w:t>automáticos</w:t>
      </w:r>
      <w:proofErr w:type="spellEnd"/>
      <w:r w:rsidRPr="007E6679">
        <w:rPr>
          <w:rFonts w:ascii="Calibri" w:hAnsi="Calibri" w:cs="Calibri"/>
          <w:lang w:val="en-US"/>
        </w:rPr>
        <w:t>.</w:t>
      </w:r>
    </w:p>
    <w:p w14:paraId="72EFB189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Fonts w:ascii="Calibri" w:hAnsi="Calibri" w:cs="Calibri"/>
          <w:lang w:val="en-US"/>
        </w:rPr>
        <w:t>Importación</w:t>
      </w:r>
      <w:proofErr w:type="spellEnd"/>
      <w:r w:rsidRPr="007E6679">
        <w:rPr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Fonts w:ascii="Calibri" w:hAnsi="Calibri" w:cs="Calibri"/>
          <w:lang w:val="en-US"/>
        </w:rPr>
        <w:t>histórica</w:t>
      </w:r>
      <w:proofErr w:type="spellEnd"/>
    </w:p>
    <w:p w14:paraId="707AD51E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t xml:space="preserve">El script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histórico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admite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un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intervalo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fechas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y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puede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recibir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una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opción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explícita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reproceso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334EE5F2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t xml:space="preserve">El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proceso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no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modifica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los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mensajes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fuente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> del </w:t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>buzón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>.</w:t>
      </w:r>
    </w:p>
    <w:p w14:paraId="74D84D1A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Salida</w:t>
      </w:r>
      <w:r w:rsidRPr="007E6679">
        <w:rPr>
          <w:rFonts w:ascii="Calibri" w:hAnsi="Calibri" w:cs="Calibri"/>
        </w:rPr>
        <w:br/>
      </w:r>
    </w:p>
    <w:p w14:paraId="2912D6A2" w14:textId="77777777" w:rsidR="007E6679" w:rsidRPr="007E6679" w:rsidRDefault="007E6679" w:rsidP="00157F15">
      <w:pPr>
        <w:pStyle w:val="NormalWeb"/>
        <w:numPr>
          <w:ilvl w:val="0"/>
          <w:numId w:val="29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Importaciones, papeletas, errores y vínculos analíticos disponibles para consulta en el módulo.</w:t>
      </w:r>
    </w:p>
    <w:p w14:paraId="52C0C5D0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Ejemplos de ejecución</w:t>
      </w:r>
    </w:p>
    <w:p w14:paraId="4871A8E9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Importación diaria: python cron/efc_conc_analiticos_diario.py</w:t>
      </w:r>
      <w:r w:rsidRPr="007E6679">
        <w:rPr>
          <w:rFonts w:ascii="Calibri" w:hAnsi="Calibri" w:cs="Calibri"/>
        </w:rPr>
        <w:br/>
      </w:r>
    </w:p>
    <w:p w14:paraId="4B69BF25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Importación histórica acotada: python cron/efc_conc_analiticos_historico.py --from AAAA-MM-DD --to AAAA-MM-DD</w:t>
      </w:r>
      <w:r w:rsidRPr="007E6679">
        <w:rPr>
          <w:rFonts w:ascii="Calibri" w:hAnsi="Calibri" w:cs="Calibri"/>
        </w:rPr>
        <w:br/>
      </w:r>
    </w:p>
    <w:p w14:paraId="32D6D9BD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Reprocesar archivos dentro del intervalo: agregar la opción --reprocess.</w:t>
      </w:r>
      <w:r w:rsidRPr="007E6679">
        <w:rPr>
          <w:rFonts w:ascii="Calibri" w:hAnsi="Calibri" w:cs="Calibri"/>
        </w:rPr>
        <w:br/>
      </w:r>
    </w:p>
    <w:p w14:paraId="776C05B1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Textoennegrita"/>
          <w:rFonts w:ascii="Calibri" w:hAnsi="Calibri" w:cs="Calibri"/>
          <w:lang w:val="en-US"/>
        </w:rPr>
        <w:t xml:space="preserve">La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configuración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acceso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debe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mantenerse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el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entorno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> de </w:t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>ejecución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>.</w:t>
      </w:r>
      <w:r w:rsidRPr="007E6679">
        <w:rPr>
          <w:rFonts w:ascii="Calibri" w:hAnsi="Calibri" w:cs="Calibri"/>
          <w:lang w:val="en-US"/>
        </w:rPr>
        <w:br/>
      </w:r>
    </w:p>
    <w:p w14:paraId="062355EF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Errores y comportamientos esperados</w:t>
      </w:r>
    </w:p>
    <w:p w14:paraId="14A46467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lastRenderedPageBreak/>
        <w:t>Un archivo ya importado se reconoce por su hash, salvo que se solicite un reproceso.</w:t>
      </w:r>
    </w:p>
    <w:p w14:paraId="01AC8E33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Los archivos que no se puedan leer generan información de error asociada a la importación.</w:t>
      </w:r>
    </w:p>
    <w:p w14:paraId="53D7F8A4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Los adjuntos que no cumplan los criterios de selección no se consideran una papeleta importable.</w:t>
      </w:r>
    </w:p>
    <w:p w14:paraId="1F6A9BAD" w14:textId="77777777" w:rsidR="007E6679" w:rsidRPr="007E6679" w:rsidRDefault="00B26AF8" w:rsidP="007E6679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4CAAFDA">
          <v:rect id="_x0000_i1026" style="width:0;height:1.5pt" o:hralign="center" o:hrstd="t" o:hr="t" fillcolor="#a0a0a0" stroked="f"/>
        </w:pict>
      </w:r>
    </w:p>
    <w:p w14:paraId="57E2FC23" w14:textId="77777777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5" w:name="_Toc212461960"/>
      <w:r w:rsidRPr="007E6679">
        <w:rPr>
          <w:rFonts w:ascii="Calibri" w:hAnsi="Calibri" w:cs="Calibri"/>
        </w:rPr>
        <w:t>Consideraciones adicionales</w:t>
      </w:r>
      <w:bookmarkEnd w:id="25"/>
    </w:p>
    <w:p w14:paraId="39EF9EB6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Alias de estación: normalizan los nombres/códigos de origen para relacionar las papeletas con el catálogo operativo.</w:t>
      </w:r>
    </w:p>
    <w:p w14:paraId="38A87759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Identidad de remesa: se normalizan valores que Excel haya representado con formato decimal .0.</w:t>
      </w:r>
    </w:p>
    <w:p w14:paraId="31F752E5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Persistencia: el proceso diario escribe en las tablas efc_conc_analiticos_* de TG.</w:t>
      </w:r>
    </w:p>
    <w:p w14:paraId="7833F28E" w14:textId="77777777" w:rsidR="007E6679" w:rsidRPr="007E6679" w:rsidRDefault="007E6679" w:rsidP="00157F15">
      <w:pPr>
        <w:pStyle w:val="NormalWeb"/>
        <w:numPr>
          <w:ilvl w:val="1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lectura del buzón es de solo lectura y no elimina ni modifica correos.</w:t>
      </w:r>
    </w:p>
    <w:p w14:paraId="7BED29D8" w14:textId="77777777" w:rsidR="007E6679" w:rsidRPr="007E6679" w:rsidRDefault="007E6679" w:rsidP="00157F15">
      <w:pPr>
        <w:pStyle w:val="NormalWeb"/>
        <w:numPr>
          <w:ilvl w:val="1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papeletas con asignación no resuelta se conservan para corrección desde la aplicación.</w:t>
      </w:r>
    </w:p>
    <w:p w14:paraId="546B31D6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carga histórica debe ejecutarse con un intervalo aprobado para evitar reprocesar periodos no previstos.</w:t>
      </w:r>
    </w:p>
    <w:p w14:paraId="23353B17" w14:textId="77777777" w:rsidR="00BA0147" w:rsidRDefault="00BA0147" w:rsidP="00BA0147"/>
    <w:p w14:paraId="2AC0EE28" w14:textId="467D4D65" w:rsidR="006D64D0" w:rsidRPr="006D64D0" w:rsidRDefault="00BA0147" w:rsidP="006D64D0">
      <w:pPr>
        <w:pStyle w:val="Ttulo1"/>
      </w:pPr>
      <w:bookmarkStart w:id="26" w:name="_Toc177985009"/>
      <w:bookmarkStart w:id="27" w:name="_Toc212461961"/>
      <w:r>
        <w:t>Pruebas de usuario</w:t>
      </w:r>
      <w:bookmarkEnd w:id="26"/>
      <w:bookmarkEnd w:id="27"/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960"/>
        <w:gridCol w:w="1656"/>
        <w:gridCol w:w="3256"/>
        <w:gridCol w:w="2956"/>
      </w:tblGrid>
      <w:tr w:rsidR="006D64D0" w:rsidRPr="006D64D0" w14:paraId="309731DB" w14:textId="77777777" w:rsidTr="006D64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74CEA" w14:textId="77777777" w:rsidR="006D64D0" w:rsidRPr="006D64D0" w:rsidRDefault="006D64D0" w:rsidP="006D64D0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4FBE5BFD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54DBCE7A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0F8D08CC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Resultados esperados</w:t>
            </w:r>
          </w:p>
        </w:tc>
      </w:tr>
      <w:tr w:rsidR="006D64D0" w:rsidRPr="006D64D0" w14:paraId="0F84368B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07DCB" w14:textId="77777777" w:rsidR="006D64D0" w:rsidRPr="006D64D0" w:rsidRDefault="006D64D0" w:rsidP="006D64D0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PF-001</w:t>
            </w:r>
          </w:p>
        </w:tc>
        <w:tc>
          <w:tcPr>
            <w:tcW w:w="0" w:type="auto"/>
            <w:hideMark/>
          </w:tcPr>
          <w:p w14:paraId="4E822BF5" w14:textId="72DD35FC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Flujo de conciliación de efectivo</w:t>
            </w:r>
          </w:p>
          <w:p w14:paraId="17C6A96B" w14:textId="707F5630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0" w:type="auto"/>
            <w:hideMark/>
          </w:tcPr>
          <w:p w14:paraId="79AE1F32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1. Importar analítico REGIO. / 2. Consultar turnos y movimientos. / 3. Ejecutar conciliación automática. / 4. Revisar faltantes, diferencias y cierre.</w:t>
            </w:r>
          </w:p>
          <w:p w14:paraId="32309809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5D967678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28038363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3B5E2B17" w14:textId="704BD3A6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0" w:type="auto"/>
            <w:hideMark/>
          </w:tcPr>
          <w:p w14:paraId="0E878081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La importación evita duplicados; las asociaciones únicas se guardan; los ambiguos quedan pendientes y se conserva la evidencia.</w:t>
            </w:r>
          </w:p>
          <w:p w14:paraId="2BAD424D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022CA0E1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26A7D432" w14:textId="30D54E61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</w:tr>
    </w:tbl>
    <w:p w14:paraId="5E36ED93" w14:textId="77777777" w:rsidR="006D64D0" w:rsidRPr="006D64D0" w:rsidRDefault="006D64D0" w:rsidP="006D64D0"/>
    <w:p w14:paraId="7C450986" w14:textId="5B8D2635" w:rsidR="006D64D0" w:rsidRPr="006D64D0" w:rsidRDefault="006D64D0" w:rsidP="006D64D0">
      <w:pPr>
        <w:pStyle w:val="Ttulo1"/>
        <w:rPr>
          <w:rFonts w:asciiTheme="minorHAnsi" w:hAnsiTheme="minorHAnsi"/>
        </w:rPr>
      </w:pPr>
      <w:bookmarkStart w:id="28" w:name="_Toc212461962"/>
      <w:r w:rsidRPr="006D64D0">
        <w:rPr>
          <w:rFonts w:asciiTheme="minorHAnsi" w:hAnsiTheme="minorHAnsi"/>
        </w:rPr>
        <w:t>Pruebas de usuario</w:t>
      </w:r>
      <w:bookmarkEnd w:id="28"/>
    </w:p>
    <w:p w14:paraId="50FF9665" w14:textId="77777777" w:rsidR="006D64D0" w:rsidRPr="006D64D0" w:rsidRDefault="006D64D0" w:rsidP="006D64D0"/>
    <w:tbl>
      <w:tblPr>
        <w:tblStyle w:val="Tabladecuadrcula4-nfasis5"/>
        <w:tblW w:w="9895" w:type="dxa"/>
        <w:tblLook w:val="04A0" w:firstRow="1" w:lastRow="0" w:firstColumn="1" w:lastColumn="0" w:noHBand="0" w:noVBand="1"/>
      </w:tblPr>
      <w:tblGrid>
        <w:gridCol w:w="1075"/>
        <w:gridCol w:w="2473"/>
        <w:gridCol w:w="3017"/>
        <w:gridCol w:w="3330"/>
      </w:tblGrid>
      <w:tr w:rsidR="006D64D0" w:rsidRPr="00012E57" w14:paraId="0B7D83C4" w14:textId="77777777" w:rsidTr="006D64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F8B53CF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>Id Prueba</w:t>
            </w:r>
          </w:p>
        </w:tc>
        <w:tc>
          <w:tcPr>
            <w:tcW w:w="2473" w:type="dxa"/>
            <w:hideMark/>
          </w:tcPr>
          <w:p w14:paraId="1F1B2F67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Descripción</w:t>
            </w:r>
          </w:p>
        </w:tc>
        <w:tc>
          <w:tcPr>
            <w:tcW w:w="3017" w:type="dxa"/>
            <w:hideMark/>
          </w:tcPr>
          <w:p w14:paraId="70F637FD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Pasos</w:t>
            </w:r>
          </w:p>
        </w:tc>
        <w:tc>
          <w:tcPr>
            <w:tcW w:w="3330" w:type="dxa"/>
            <w:hideMark/>
          </w:tcPr>
          <w:p w14:paraId="30CEE03E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Resultados esperados</w:t>
            </w:r>
          </w:p>
        </w:tc>
      </w:tr>
      <w:tr w:rsidR="006D64D0" w:rsidRPr="00012E57" w14:paraId="400D756F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934B67D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PU-001</w:t>
            </w:r>
          </w:p>
        </w:tc>
        <w:tc>
          <w:tcPr>
            <w:tcW w:w="2473" w:type="dxa"/>
            <w:hideMark/>
          </w:tcPr>
          <w:p w14:paraId="2649D3C5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Consulta de conciliación</w:t>
            </w:r>
          </w:p>
          <w:p w14:paraId="794DF7CB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017" w:type="dxa"/>
            <w:hideMark/>
          </w:tcPr>
          <w:p w14:paraId="3F280EAC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Iniciar sesión; abrir Conciliar; aplicar filtros de periodo/estación disponibles.</w:t>
            </w:r>
          </w:p>
          <w:p w14:paraId="7EC7B3EC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4E4E63F6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330" w:type="dxa"/>
            <w:hideMark/>
          </w:tcPr>
          <w:p w14:paraId="305DBEB1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Se muestran grupos y partidas según los filtros.</w:t>
            </w:r>
          </w:p>
          <w:p w14:paraId="17695C7A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</w:tr>
      <w:tr w:rsidR="006D64D0" w:rsidRPr="00012E57" w14:paraId="235281D0" w14:textId="77777777" w:rsidTr="006D64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F5EF73E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PU-002</w:t>
            </w:r>
          </w:p>
        </w:tc>
        <w:tc>
          <w:tcPr>
            <w:tcW w:w="2473" w:type="dxa"/>
            <w:hideMark/>
          </w:tcPr>
          <w:p w14:paraId="593FF025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Importación REGIO</w:t>
            </w:r>
          </w:p>
          <w:p w14:paraId="04ECA77E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017" w:type="dxa"/>
            <w:hideMark/>
          </w:tcPr>
          <w:p w14:paraId="05E23D68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Procesar un archivo analítico elegible y consultar la bandeja.</w:t>
            </w:r>
          </w:p>
          <w:p w14:paraId="535A6DD6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  <w:p w14:paraId="4F348747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330" w:type="dxa"/>
            <w:hideMark/>
          </w:tcPr>
          <w:p w14:paraId="2D369526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Se registran papeletas y estado de importación sin modificar el correo fuente.</w:t>
            </w:r>
          </w:p>
          <w:p w14:paraId="22048AEE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</w:p>
        </w:tc>
      </w:tr>
      <w:tr w:rsidR="006D64D0" w:rsidRPr="00012E57" w14:paraId="4DACC890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4AC8A1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PU-003</w:t>
            </w:r>
          </w:p>
        </w:tc>
        <w:tc>
          <w:tcPr>
            <w:tcW w:w="2473" w:type="dxa"/>
            <w:hideMark/>
          </w:tcPr>
          <w:p w14:paraId="62FF8793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Archivo o remesa repetida</w:t>
            </w:r>
          </w:p>
          <w:p w14:paraId="0001105C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017" w:type="dxa"/>
            <w:hideMark/>
          </w:tcPr>
          <w:p w14:paraId="43DD59DC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Intentar importar nuevamente un archivo ya procesado.</w:t>
            </w:r>
          </w:p>
          <w:p w14:paraId="1DCD2EDB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  <w:p w14:paraId="638B5868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330" w:type="dxa"/>
            <w:hideMark/>
          </w:tcPr>
          <w:p w14:paraId="73CB673E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El hash/remesa identifica el duplicado y no crea una segunda importación ordinaria.</w:t>
            </w:r>
          </w:p>
          <w:p w14:paraId="5D44B114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  <w:p w14:paraId="2F4A3A56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</w:tr>
      <w:tr w:rsidR="006D64D0" w:rsidRPr="00012E57" w14:paraId="5F91ED07" w14:textId="77777777" w:rsidTr="006D64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897158D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PU-004</w:t>
            </w:r>
          </w:p>
        </w:tc>
        <w:tc>
          <w:tcPr>
            <w:tcW w:w="2473" w:type="dxa"/>
            <w:hideMark/>
          </w:tcPr>
          <w:p w14:paraId="5722A8E0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Coincidencia ambigua</w:t>
            </w:r>
          </w:p>
          <w:p w14:paraId="67B56D84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017" w:type="dxa"/>
            <w:hideMark/>
          </w:tcPr>
          <w:p w14:paraId="3637607B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Usar un depósito o papeleta con más de una asociación posible.</w:t>
            </w:r>
          </w:p>
          <w:p w14:paraId="057D2E5F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  <w:p w14:paraId="2E68A444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330" w:type="dxa"/>
            <w:hideMark/>
          </w:tcPr>
          <w:p w14:paraId="7F728F8E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El caso queda pendiente para revisión manual y no se asigna automáticamente.</w:t>
            </w:r>
          </w:p>
          <w:p w14:paraId="68FA2608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</w:tr>
      <w:tr w:rsidR="006D64D0" w:rsidRPr="00012E57" w14:paraId="1481D29A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C3F0380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PU-005</w:t>
            </w:r>
          </w:p>
        </w:tc>
        <w:tc>
          <w:tcPr>
            <w:tcW w:w="2473" w:type="dxa"/>
            <w:hideMark/>
          </w:tcPr>
          <w:p w14:paraId="18763D2A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Faltantes, diferencias y cierre</w:t>
            </w:r>
          </w:p>
          <w:p w14:paraId="0B152AE2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017" w:type="dxa"/>
            <w:hideMark/>
          </w:tcPr>
          <w:p w14:paraId="461AE389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Consultar excepciones del periodo y revisar tránsitos antes de cerrar.</w:t>
            </w:r>
          </w:p>
          <w:p w14:paraId="1097EAE5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  <w:p w14:paraId="2F1B0ACA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  <w:tc>
          <w:tcPr>
            <w:tcW w:w="3330" w:type="dxa"/>
            <w:hideMark/>
          </w:tcPr>
          <w:p w14:paraId="3B79B8AE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La vista permite identificar pendientes y el cierre refleja los estados registrados.</w:t>
            </w:r>
          </w:p>
          <w:p w14:paraId="47AEC81F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  <w:p w14:paraId="17403018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</w:p>
        </w:tc>
      </w:tr>
    </w:tbl>
    <w:p w14:paraId="3E8D7988" w14:textId="77777777" w:rsidR="00662EE5" w:rsidRPr="00662EE5" w:rsidRDefault="00662EE5" w:rsidP="00662EE5"/>
    <w:p w14:paraId="6CD9FB9A" w14:textId="77777777" w:rsidR="00C33E7A" w:rsidRDefault="00C33E7A" w:rsidP="00C33E7A">
      <w:pPr>
        <w:rPr>
          <w:b/>
          <w:bCs/>
          <w:sz w:val="20"/>
          <w:szCs w:val="20"/>
        </w:rPr>
      </w:pPr>
    </w:p>
    <w:p w14:paraId="0C3322ED" w14:textId="14596655" w:rsidR="008D4121" w:rsidRDefault="008D4121" w:rsidP="008D4121">
      <w:pPr>
        <w:pStyle w:val="Ttulo1"/>
      </w:pPr>
      <w:bookmarkStart w:id="29" w:name="_Toc177985011"/>
      <w:bookmarkStart w:id="30" w:name="_Toc212461963"/>
      <w:r>
        <w:t>Escalabilidad y Mantenimiento</w:t>
      </w:r>
      <w:bookmarkEnd w:id="29"/>
      <w:bookmarkEnd w:id="30"/>
    </w:p>
    <w:p w14:paraId="2F24CBB2" w14:textId="77777777" w:rsidR="008D4121" w:rsidRDefault="008D4121" w:rsidP="008D4121"/>
    <w:p w14:paraId="4E4A4A46" w14:textId="77777777" w:rsidR="008D4121" w:rsidRDefault="008D4121" w:rsidP="00157F15">
      <w:pPr>
        <w:pStyle w:val="Prrafodelista"/>
        <w:numPr>
          <w:ilvl w:val="0"/>
          <w:numId w:val="3"/>
        </w:numPr>
      </w:pPr>
      <w:r w:rsidRPr="008D4121">
        <w:rPr>
          <w:b/>
          <w:bCs/>
        </w:rPr>
        <w:t>Escalabilidad: los procesos pueden ampliar cobertura de estaciones y reglas al actualizar catálogos y validaciones con control operativo.</w:t>
      </w:r>
    </w:p>
    <w:p w14:paraId="77284E4B" w14:textId="13102D49" w:rsidR="008D4121" w:rsidRDefault="008D4121" w:rsidP="00157F15">
      <w:pPr>
        <w:pStyle w:val="Prrafodelista"/>
        <w:numPr>
          <w:ilvl w:val="0"/>
          <w:numId w:val="3"/>
        </w:numPr>
      </w:pPr>
      <w:r w:rsidRPr="008D4121">
        <w:rPr>
          <w:b/>
          <w:bCs/>
        </w:rPr>
        <w:t>Mantenimiento: monitorear ejecuciones, importaciones, errores, cambios de formato REGIO, reglas de cuenta y conciliaciones pendientes.</w:t>
      </w:r>
    </w:p>
    <w:p w14:paraId="0D4009E6" w14:textId="77777777" w:rsidR="008D4121" w:rsidRPr="008D4121" w:rsidRDefault="008D4121" w:rsidP="008D4121"/>
    <w:sectPr w:rsidR="008D4121" w:rsidRPr="008D4121" w:rsidSect="00644000">
      <w:footerReference w:type="default" r:id="rId17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600011" w14:textId="77777777" w:rsidR="00B26AF8" w:rsidRDefault="00B26AF8" w:rsidP="00662EE5">
      <w:pPr>
        <w:spacing w:after="0" w:line="240" w:lineRule="auto"/>
      </w:pPr>
      <w:r>
        <w:separator/>
      </w:r>
    </w:p>
  </w:endnote>
  <w:endnote w:type="continuationSeparator" w:id="0">
    <w:p w14:paraId="49341F0F" w14:textId="77777777" w:rsidR="00B26AF8" w:rsidRDefault="00B26AF8" w:rsidP="00662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2463098"/>
      <w:docPartObj>
        <w:docPartGallery w:val="Page Numbers (Bottom of Page)"/>
        <w:docPartUnique/>
      </w:docPartObj>
    </w:sdtPr>
    <w:sdtEndPr/>
    <w:sdtContent>
      <w:p w14:paraId="01E5B7D4" w14:textId="22BFE37B" w:rsidR="00644000" w:rsidRDefault="00B26AF8">
        <w:pPr>
          <w:pStyle w:val="Piedepgina"/>
          <w:jc w:val="right"/>
        </w:pPr>
      </w:p>
    </w:sdtContent>
  </w:sdt>
  <w:p w14:paraId="433288FE" w14:textId="77777777" w:rsidR="00662EE5" w:rsidRDefault="00662E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1518858"/>
      <w:docPartObj>
        <w:docPartGallery w:val="Page Numbers (Bottom of Page)"/>
        <w:docPartUnique/>
      </w:docPartObj>
    </w:sdtPr>
    <w:sdtEndPr/>
    <w:sdtContent>
      <w:p w14:paraId="73E68A05" w14:textId="4AC1539A" w:rsidR="00644000" w:rsidRDefault="0064400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09BF" w:rsidRPr="009809BF">
          <w:rPr>
            <w:noProof/>
            <w:lang w:val="es-ES"/>
          </w:rPr>
          <w:t>14</w:t>
        </w:r>
        <w:r>
          <w:fldChar w:fldCharType="end"/>
        </w:r>
      </w:p>
    </w:sdtContent>
  </w:sdt>
  <w:p w14:paraId="6E49DD68" w14:textId="77777777" w:rsidR="00644000" w:rsidRDefault="006440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8CDB98" w14:textId="77777777" w:rsidR="00B26AF8" w:rsidRDefault="00B26AF8" w:rsidP="00662EE5">
      <w:pPr>
        <w:spacing w:after="0" w:line="240" w:lineRule="auto"/>
      </w:pPr>
      <w:r>
        <w:separator/>
      </w:r>
    </w:p>
  </w:footnote>
  <w:footnote w:type="continuationSeparator" w:id="0">
    <w:p w14:paraId="5EF6611F" w14:textId="77777777" w:rsidR="00B26AF8" w:rsidRDefault="00B26AF8" w:rsidP="00662E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6CE758" w14:textId="07B2645B" w:rsidR="00662EE5" w:rsidRDefault="00662EE5">
    <w:pPr>
      <w:pStyle w:val="Encabezado"/>
    </w:pPr>
  </w:p>
  <w:p w14:paraId="02589BB9" w14:textId="77777777" w:rsidR="00662EE5" w:rsidRDefault="00662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95121"/>
    <w:multiLevelType w:val="multilevel"/>
    <w:tmpl w:val="26D2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57DC0"/>
    <w:multiLevelType w:val="multilevel"/>
    <w:tmpl w:val="E43A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50A6"/>
    <w:multiLevelType w:val="multilevel"/>
    <w:tmpl w:val="870AEA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4A820E0"/>
    <w:multiLevelType w:val="multilevel"/>
    <w:tmpl w:val="BBBE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F66B7"/>
    <w:multiLevelType w:val="multilevel"/>
    <w:tmpl w:val="B0D2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75F"/>
    <w:multiLevelType w:val="multilevel"/>
    <w:tmpl w:val="C7824D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643AD"/>
    <w:multiLevelType w:val="multilevel"/>
    <w:tmpl w:val="E9AC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30A37"/>
    <w:multiLevelType w:val="hybridMultilevel"/>
    <w:tmpl w:val="A72246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99F4B9F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E71FC"/>
    <w:multiLevelType w:val="multilevel"/>
    <w:tmpl w:val="37A64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082DDA"/>
    <w:multiLevelType w:val="multilevel"/>
    <w:tmpl w:val="5FA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61513"/>
    <w:multiLevelType w:val="multilevel"/>
    <w:tmpl w:val="7D7C6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ED6478"/>
    <w:multiLevelType w:val="multilevel"/>
    <w:tmpl w:val="423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C3437A"/>
    <w:multiLevelType w:val="hybridMultilevel"/>
    <w:tmpl w:val="C19E3F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D44A3"/>
    <w:multiLevelType w:val="multilevel"/>
    <w:tmpl w:val="C4BA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C018D5"/>
    <w:multiLevelType w:val="multilevel"/>
    <w:tmpl w:val="97DA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F86745"/>
    <w:multiLevelType w:val="multilevel"/>
    <w:tmpl w:val="2F808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D32DD"/>
    <w:multiLevelType w:val="multilevel"/>
    <w:tmpl w:val="1D84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22F37"/>
    <w:multiLevelType w:val="multilevel"/>
    <w:tmpl w:val="F67E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C6039"/>
    <w:multiLevelType w:val="multilevel"/>
    <w:tmpl w:val="6B065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875A88"/>
    <w:multiLevelType w:val="multilevel"/>
    <w:tmpl w:val="DCEC04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61B56"/>
    <w:multiLevelType w:val="multilevel"/>
    <w:tmpl w:val="BFC8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80485E"/>
    <w:multiLevelType w:val="multilevel"/>
    <w:tmpl w:val="1ADE30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A22346"/>
    <w:multiLevelType w:val="multilevel"/>
    <w:tmpl w:val="FD70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785005"/>
    <w:multiLevelType w:val="multilevel"/>
    <w:tmpl w:val="3D0E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F4621A"/>
    <w:multiLevelType w:val="hybridMultilevel"/>
    <w:tmpl w:val="B43E40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352091"/>
    <w:multiLevelType w:val="multilevel"/>
    <w:tmpl w:val="1B30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270F97"/>
    <w:multiLevelType w:val="multilevel"/>
    <w:tmpl w:val="7BBA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4234F3"/>
    <w:multiLevelType w:val="hybridMultilevel"/>
    <w:tmpl w:val="37C29E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2F5E90"/>
    <w:multiLevelType w:val="multilevel"/>
    <w:tmpl w:val="E48E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E7809"/>
    <w:multiLevelType w:val="multilevel"/>
    <w:tmpl w:val="9F7011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309FA"/>
    <w:multiLevelType w:val="multilevel"/>
    <w:tmpl w:val="C300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F27245"/>
    <w:multiLevelType w:val="hybridMultilevel"/>
    <w:tmpl w:val="48229AAA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7"/>
  </w:num>
  <w:num w:numId="2">
    <w:abstractNumId w:val="27"/>
  </w:num>
  <w:num w:numId="3">
    <w:abstractNumId w:val="12"/>
  </w:num>
  <w:num w:numId="4">
    <w:abstractNumId w:val="24"/>
  </w:num>
  <w:num w:numId="5">
    <w:abstractNumId w:val="15"/>
  </w:num>
  <w:num w:numId="6">
    <w:abstractNumId w:val="17"/>
  </w:num>
  <w:num w:numId="7">
    <w:abstractNumId w:val="18"/>
  </w:num>
  <w:num w:numId="8">
    <w:abstractNumId w:val="3"/>
  </w:num>
  <w:num w:numId="9">
    <w:abstractNumId w:val="8"/>
  </w:num>
  <w:num w:numId="10">
    <w:abstractNumId w:val="30"/>
  </w:num>
  <w:num w:numId="11">
    <w:abstractNumId w:val="10"/>
  </w:num>
  <w:num w:numId="12">
    <w:abstractNumId w:val="19"/>
  </w:num>
  <w:num w:numId="13">
    <w:abstractNumId w:val="29"/>
  </w:num>
  <w:num w:numId="14">
    <w:abstractNumId w:val="5"/>
  </w:num>
  <w:num w:numId="15">
    <w:abstractNumId w:val="21"/>
  </w:num>
  <w:num w:numId="16">
    <w:abstractNumId w:val="1"/>
  </w:num>
  <w:num w:numId="17">
    <w:abstractNumId w:val="2"/>
  </w:num>
  <w:num w:numId="18">
    <w:abstractNumId w:val="31"/>
  </w:num>
  <w:num w:numId="19">
    <w:abstractNumId w:val="22"/>
  </w:num>
  <w:num w:numId="20">
    <w:abstractNumId w:val="25"/>
  </w:num>
  <w:num w:numId="21">
    <w:abstractNumId w:val="4"/>
  </w:num>
  <w:num w:numId="22">
    <w:abstractNumId w:val="23"/>
  </w:num>
  <w:num w:numId="23">
    <w:abstractNumId w:val="6"/>
  </w:num>
  <w:num w:numId="24">
    <w:abstractNumId w:val="14"/>
  </w:num>
  <w:num w:numId="25">
    <w:abstractNumId w:val="20"/>
  </w:num>
  <w:num w:numId="26">
    <w:abstractNumId w:val="11"/>
  </w:num>
  <w:num w:numId="27">
    <w:abstractNumId w:val="16"/>
  </w:num>
  <w:num w:numId="28">
    <w:abstractNumId w:val="13"/>
  </w:num>
  <w:num w:numId="29">
    <w:abstractNumId w:val="0"/>
  </w:num>
  <w:num w:numId="30">
    <w:abstractNumId w:val="28"/>
  </w:num>
  <w:num w:numId="31">
    <w:abstractNumId w:val="26"/>
  </w:num>
  <w:num w:numId="32">
    <w:abstractNumId w:val="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7D7"/>
    <w:rsid w:val="00006CE9"/>
    <w:rsid w:val="00012E57"/>
    <w:rsid w:val="00053E77"/>
    <w:rsid w:val="000A6D0B"/>
    <w:rsid w:val="00157F15"/>
    <w:rsid w:val="00243646"/>
    <w:rsid w:val="00247796"/>
    <w:rsid w:val="00280252"/>
    <w:rsid w:val="00303A66"/>
    <w:rsid w:val="00386A95"/>
    <w:rsid w:val="003960A6"/>
    <w:rsid w:val="003F38FD"/>
    <w:rsid w:val="004A2267"/>
    <w:rsid w:val="004F4047"/>
    <w:rsid w:val="00563B37"/>
    <w:rsid w:val="00644000"/>
    <w:rsid w:val="00662EE5"/>
    <w:rsid w:val="0066730D"/>
    <w:rsid w:val="006841A7"/>
    <w:rsid w:val="006D64D0"/>
    <w:rsid w:val="00752C1B"/>
    <w:rsid w:val="00754D3C"/>
    <w:rsid w:val="007E6679"/>
    <w:rsid w:val="00871A47"/>
    <w:rsid w:val="00873BB3"/>
    <w:rsid w:val="00892162"/>
    <w:rsid w:val="0089656A"/>
    <w:rsid w:val="008C3DEE"/>
    <w:rsid w:val="008D4121"/>
    <w:rsid w:val="008F07D7"/>
    <w:rsid w:val="0093089C"/>
    <w:rsid w:val="0097621C"/>
    <w:rsid w:val="009809BF"/>
    <w:rsid w:val="009A3041"/>
    <w:rsid w:val="00A34060"/>
    <w:rsid w:val="00A70280"/>
    <w:rsid w:val="00B0188A"/>
    <w:rsid w:val="00B07F04"/>
    <w:rsid w:val="00B25991"/>
    <w:rsid w:val="00B26AF8"/>
    <w:rsid w:val="00B41F65"/>
    <w:rsid w:val="00B66DD6"/>
    <w:rsid w:val="00B7703F"/>
    <w:rsid w:val="00BA0147"/>
    <w:rsid w:val="00C216D0"/>
    <w:rsid w:val="00C33E7A"/>
    <w:rsid w:val="00C45C28"/>
    <w:rsid w:val="00CF472C"/>
    <w:rsid w:val="00D44B23"/>
    <w:rsid w:val="00D810A1"/>
    <w:rsid w:val="00D879A9"/>
    <w:rsid w:val="00E0189C"/>
    <w:rsid w:val="00E22B4E"/>
    <w:rsid w:val="00EC480D"/>
    <w:rsid w:val="00ED083A"/>
    <w:rsid w:val="00EE233D"/>
    <w:rsid w:val="00F33B4A"/>
    <w:rsid w:val="00FD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569F0"/>
  <w15:chartTrackingRefBased/>
  <w15:docId w15:val="{4357E0B2-7764-4022-82EC-D5ED6A96A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16D0"/>
    <w:pPr>
      <w:spacing w:line="36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8F07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62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3E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33E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07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7621C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Prrafodelista">
    <w:name w:val="List Paragraph"/>
    <w:basedOn w:val="Normal"/>
    <w:uiPriority w:val="34"/>
    <w:qFormat/>
    <w:rsid w:val="008F07D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F07D7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F07D7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F33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D4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8D4121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C33E7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33E7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punctuation">
    <w:name w:val="hljs-punctuation"/>
    <w:basedOn w:val="Fuentedeprrafopredeter"/>
    <w:rsid w:val="00EE233D"/>
  </w:style>
  <w:style w:type="character" w:customStyle="1" w:styleId="hljs-attr">
    <w:name w:val="hljs-attr"/>
    <w:basedOn w:val="Fuentedeprrafopredeter"/>
    <w:rsid w:val="00EE233D"/>
  </w:style>
  <w:style w:type="character" w:customStyle="1" w:styleId="hljs-string">
    <w:name w:val="hljs-string"/>
    <w:basedOn w:val="Fuentedeprrafopredeter"/>
    <w:rsid w:val="00EE233D"/>
  </w:style>
  <w:style w:type="table" w:styleId="Tabladecuadrcula1Claro-nfasis2">
    <w:name w:val="Grid Table 1 Light Accent 2"/>
    <w:basedOn w:val="Tablanormal"/>
    <w:uiPriority w:val="46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4-nfasis5">
    <w:name w:val="Grid Table 4 Accent 5"/>
    <w:basedOn w:val="Tablanormal"/>
    <w:uiPriority w:val="49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2EE5"/>
  </w:style>
  <w:style w:type="paragraph" w:styleId="Piedepgina">
    <w:name w:val="footer"/>
    <w:basedOn w:val="Normal"/>
    <w:link w:val="Piedepgina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2EE5"/>
  </w:style>
  <w:style w:type="paragraph" w:styleId="TtuloTDC">
    <w:name w:val="TOC Heading"/>
    <w:basedOn w:val="Ttulo1"/>
    <w:next w:val="Normal"/>
    <w:uiPriority w:val="39"/>
    <w:unhideWhenUsed/>
    <w:qFormat/>
    <w:rsid w:val="00662EE5"/>
    <w:pPr>
      <w:spacing w:line="259" w:lineRule="auto"/>
      <w:jc w:val="left"/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62EE5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62EE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62EE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9A3041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7E6679"/>
    <w:rPr>
      <w:i/>
      <w:iCs/>
    </w:rPr>
  </w:style>
  <w:style w:type="table" w:styleId="Tabladecuadrcula1clara">
    <w:name w:val="Grid Table 1 Light"/>
    <w:basedOn w:val="Tablanormal"/>
    <w:uiPriority w:val="46"/>
    <w:rsid w:val="007E667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1">
    <w:name w:val="Grid Table 1 Light Accent 1"/>
    <w:basedOn w:val="Tablanormal"/>
    <w:uiPriority w:val="46"/>
    <w:rsid w:val="006D64D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20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30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2D5487-5A51-49DC-B60C-1D72617D5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16</Pages>
  <Words>2471</Words>
  <Characters>13593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Aldo Ochoa Hinojos</dc:creator>
  <cp:keywords/>
  <dc:description/>
  <cp:lastModifiedBy>Daniel Ramirez</cp:lastModifiedBy>
  <cp:revision>6</cp:revision>
  <dcterms:created xsi:type="dcterms:W3CDTF">2025-10-27T18:52:00Z</dcterms:created>
  <dcterms:modified xsi:type="dcterms:W3CDTF">2026-10-27T17:27:00Z</dcterms:modified>
</cp:coreProperties>
</file>