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624FDF2A" w:rsidR="00EB2CB7" w:rsidRDefault="00A81C0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A81C01">
        <w:rPr>
          <w:rFonts w:ascii="Verdana" w:hAnsi="Verdana" w:cstheme="minorHAnsi"/>
          <w:lang w:val="es-CO"/>
        </w:rPr>
        <w:t>“Los inteligentes deliberan, y los necios deciden.”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07A66584" w:rsidR="00EB2CB7" w:rsidRDefault="00A81C0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A81C01">
        <w:rPr>
          <w:rFonts w:ascii="Verdana" w:hAnsi="Verdana" w:cstheme="minorHAnsi"/>
          <w:lang w:val="es-CO"/>
        </w:rPr>
        <w:t>“Los necios, los campesinos y los salvajes se creen mucho más lejos de la bestia que el mismo filósofo.”</w:t>
      </w:r>
      <w:r w:rsidR="00EB2CB7">
        <w:rPr>
          <w:rFonts w:ascii="Verdana" w:hAnsi="Verdana" w:cstheme="minorHAnsi"/>
          <w:lang w:val="es-CO"/>
        </w:rPr>
        <w:t xml:space="preserve"> 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72943FF6" w:rsidR="00EB2CB7" w:rsidRPr="00EB2CB7" w:rsidRDefault="00A81C01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 w:rsidRPr="00A81C01">
        <w:rPr>
          <w:rFonts w:ascii="Verdana" w:hAnsi="Verdana" w:cstheme="minorHAnsi"/>
          <w:lang w:val="es-CO"/>
        </w:rPr>
        <w:t>“Aquel que no puede vivir en sociedad y que en medio de su independencia no tiene necesidades, no puede ser nunca miembro del Estado; es un bruto o un dios.”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5E90322" w14:textId="28FF4070" w:rsidR="00EB2CB7" w:rsidRPr="000D6654" w:rsidRDefault="00EB2CB7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  <w:r>
        <w:rPr>
          <w:rFonts w:ascii="Verdana" w:hAnsi="Verdana" w:cstheme="minorHAnsi"/>
          <w:lang w:val="es-CO"/>
        </w:rPr>
        <w:t>______________</w:t>
      </w:r>
      <w:r w:rsidR="000D6654" w:rsidRPr="000D6654">
        <w:rPr>
          <w:rFonts w:ascii="Verdana" w:hAnsi="Verdana" w:cstheme="minorHAnsi"/>
          <w:u w:val="single"/>
          <w:lang w:val="es-CO"/>
        </w:rPr>
        <w:t>Es una referencia, que se toma como modelo, o también puede ser un sinónimo de ejemplo</w:t>
      </w:r>
      <w:r w:rsidR="000D6654">
        <w:rPr>
          <w:rFonts w:ascii="Verdana" w:hAnsi="Verdana" w:cstheme="minorHAnsi"/>
          <w:u w:val="single"/>
          <w:lang w:val="es-CO"/>
        </w:rPr>
        <w:t>.</w:t>
      </w:r>
    </w:p>
    <w:p w14:paraId="478E631C" w14:textId="3F936AEC" w:rsidR="00EB2CB7" w:rsidRPr="000D6654" w:rsidRDefault="00EB2CB7" w:rsidP="00297786">
      <w:pPr>
        <w:spacing w:after="0"/>
        <w:jc w:val="both"/>
        <w:rPr>
          <w:rFonts w:ascii="Verdana" w:hAnsi="Verdana" w:cstheme="minorHAnsi"/>
          <w:u w:val="single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01E5BBCE" w:rsidR="009F2AA1" w:rsidRDefault="006C30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51</w:t>
            </w:r>
          </w:p>
        </w:tc>
        <w:tc>
          <w:tcPr>
            <w:tcW w:w="3321" w:type="dxa"/>
          </w:tcPr>
          <w:p w14:paraId="62335CA7" w14:textId="2E8B5EA9" w:rsidR="009F2AA1" w:rsidRDefault="006C30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28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78729F36" w:rsidR="009F2AA1" w:rsidRDefault="006C30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Usa ropa vieja, ropa de señora mayor</w:t>
            </w:r>
          </w:p>
        </w:tc>
        <w:tc>
          <w:tcPr>
            <w:tcW w:w="3321" w:type="dxa"/>
          </w:tcPr>
          <w:p w14:paraId="44B1B73D" w14:textId="36B49F53" w:rsidR="009F2AA1" w:rsidRDefault="006C30AC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Usa ropa de moda elegante, ropa de joven.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00D42852" w:rsidR="009F2AA1" w:rsidRDefault="006C30AC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25</w:t>
            </w:r>
          </w:p>
        </w:tc>
        <w:tc>
          <w:tcPr>
            <w:tcW w:w="3321" w:type="dxa"/>
          </w:tcPr>
          <w:p w14:paraId="5B01CA57" w14:textId="2B95A05E" w:rsidR="009F2AA1" w:rsidRDefault="006C30AC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90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36581626" w:rsidR="009F2AA1" w:rsidRDefault="006C30AC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no tiene arrugas, tiene un corte de cabello joven y tiene un collar</w:t>
            </w:r>
          </w:p>
        </w:tc>
        <w:tc>
          <w:tcPr>
            <w:tcW w:w="3321" w:type="dxa"/>
          </w:tcPr>
          <w:p w14:paraId="7F66239E" w14:textId="733CAE58" w:rsidR="009F2AA1" w:rsidRDefault="006C30AC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Porque tiene arrugas, nariz y quijada de anciana, casi de bruja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r w:rsidR="004A42A2">
        <w:rPr>
          <w:rFonts w:ascii="Verdana" w:hAnsi="Verdana"/>
          <w:lang w:val="es-CO"/>
        </w:rPr>
        <w:t xml:space="preserve">clic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0E5CC" w14:textId="77777777" w:rsidR="00E4455B" w:rsidRDefault="00E4455B" w:rsidP="009E3798">
      <w:pPr>
        <w:spacing w:after="0" w:line="240" w:lineRule="auto"/>
      </w:pPr>
      <w:r>
        <w:separator/>
      </w:r>
    </w:p>
  </w:endnote>
  <w:endnote w:type="continuationSeparator" w:id="0">
    <w:p w14:paraId="35ED2B42" w14:textId="77777777" w:rsidR="00E4455B" w:rsidRDefault="00E4455B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C51E5" w14:textId="77777777" w:rsidR="00E4455B" w:rsidRDefault="00E4455B" w:rsidP="009E3798">
      <w:pPr>
        <w:spacing w:after="0" w:line="240" w:lineRule="auto"/>
      </w:pPr>
      <w:r>
        <w:separator/>
      </w:r>
    </w:p>
  </w:footnote>
  <w:footnote w:type="continuationSeparator" w:id="0">
    <w:p w14:paraId="4964630C" w14:textId="77777777" w:rsidR="00E4455B" w:rsidRDefault="00E4455B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12EF7756" w:rsidR="006F0075" w:rsidRPr="00AE0F95" w:rsidRDefault="00294C81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05</w:t>
                          </w:r>
                          <w:r w:rsidR="006F0075"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12EF7756" w:rsidR="006F0075" w:rsidRPr="00AE0F95" w:rsidRDefault="00294C81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05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05</w:t>
                    </w:r>
                    <w:r w:rsidR="006F0075" w:rsidRPr="00AE0F95">
                      <w:rPr>
                        <w:color w:val="D9D9D9" w:themeColor="background1" w:themeShade="D9"/>
                        <w:lang w:val="es-CO"/>
                      </w:rPr>
                      <w:t>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457FDCB" w:rsidR="006F0075" w:rsidRPr="00F8708F" w:rsidRDefault="00294C81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9-2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457FDCB" w:rsidR="006F0075" w:rsidRPr="00F8708F" w:rsidRDefault="00294C81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9-2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6B1CDF62" w:rsidR="006F0075" w:rsidRPr="00294C81" w:rsidRDefault="00294C81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Santiago Ortiz Badillo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6B1CDF62" w:rsidR="006F0075" w:rsidRPr="00294C81" w:rsidRDefault="00294C81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Santiago Ortiz Badillo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0D6654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4C81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C30AC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81C01"/>
    <w:rsid w:val="00AA0E53"/>
    <w:rsid w:val="00AA288D"/>
    <w:rsid w:val="00AA68BF"/>
    <w:rsid w:val="00AD22A8"/>
    <w:rsid w:val="00AE0F95"/>
    <w:rsid w:val="00B22A2E"/>
    <w:rsid w:val="00B3378E"/>
    <w:rsid w:val="00B668AE"/>
    <w:rsid w:val="00B76E30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A02AD"/>
    <w:rsid w:val="00DC22CE"/>
    <w:rsid w:val="00DE00BF"/>
    <w:rsid w:val="00DE2B2C"/>
    <w:rsid w:val="00E1050D"/>
    <w:rsid w:val="00E4455B"/>
    <w:rsid w:val="00E55EFF"/>
    <w:rsid w:val="00E6203F"/>
    <w:rsid w:val="00E80BE6"/>
    <w:rsid w:val="00EB2CB7"/>
    <w:rsid w:val="00ED2967"/>
    <w:rsid w:val="00F22B3E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C0619DEB-6EBF-4F6B-8B3D-7DB98188D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armando ortìz ramirez</cp:lastModifiedBy>
  <cp:revision>6</cp:revision>
  <cp:lastPrinted>2020-04-22T22:02:00Z</cp:lastPrinted>
  <dcterms:created xsi:type="dcterms:W3CDTF">2020-05-05T14:23:00Z</dcterms:created>
  <dcterms:modified xsi:type="dcterms:W3CDTF">2020-05-05T14:40:00Z</dcterms:modified>
</cp:coreProperties>
</file>