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家长端协议调整结果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四川萃雅教育科技有限公司　｜　2026-07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一、现在是两份文件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《课程服务协议》</w:t>
      </w:r>
      <w:r>
        <w:rPr>
          <w:rFonts w:ascii="宋体" w:cs="宋体" w:eastAsia="宋体" w:hAnsi="宋体"/>
          <w:sz w:val="21"/>
          <w:szCs w:val="21"/>
        </w:rPr>
        <w:t xml:space="preserve"> —— 由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服务机构与家长</w:t>
      </w:r>
      <w:r>
        <w:rPr>
          <w:rFonts w:ascii="宋体" w:cs="宋体" w:eastAsia="宋体" w:hAnsi="宋体"/>
          <w:sz w:val="21"/>
          <w:szCs w:val="21"/>
        </w:rPr>
        <w:t xml:space="preserve">签订，平台提供统一文本。内容：报名、付费、上课与销课、退费、责任划分。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《隐私政策》</w:t>
      </w:r>
      <w:r>
        <w:rPr>
          <w:rFonts w:ascii="宋体" w:cs="宋体" w:eastAsia="宋体" w:hAnsi="宋体"/>
          <w:sz w:val="21"/>
          <w:szCs w:val="21"/>
        </w:rPr>
        <w:t xml:space="preserve"> —— 平台名义发布，说明信息的收集、使用、共享与保护，含儿童个人信息专章。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二、主要调整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原《用户服务协议》以萃雅为签约方，现改为《课程服务协议》，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甲方是服务机构，乙方是家长，平台不是当事方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一个家长报名多门课程，就与各自的服务机构分别成立多份独立协议。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5. 协议中用一张表划清平台边界：平台负责审核、展示、交易与资金管理、记录留存、售后协调；不负责教学内容、质量、师资、教学安全、场地安全。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6. 新增“退费由谁付”条款：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退费义务在机构</w:t>
      </w:r>
      <w:r>
        <w:rPr>
          <w:rFonts w:ascii="宋体" w:cs="宋体" w:eastAsia="宋体" w:hAnsi="宋体"/>
          <w:sz w:val="21"/>
          <w:szCs w:val="21"/>
        </w:rPr>
        <w:t xml:space="preserve">，应退款项优先从存管账户中尚未结算给机构的资金里扣划，不足部分由机构补足。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7. 隐私政策新增第〇条“涉及您个人信息的各方”，列明天府通、萃雅、服务机构、通联支付、学校、教育主管部门各自能获取什么信息。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8. 隐私政策新增“一个入口，统一受理”：家长无需分别向各方提出请求，任一渠道提交后由平台统一协调处理。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9. 退费公式的单位由“课时”统一为“课次”，与页面展示一致。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10. 分账表述改为中性，不提方数与比例，也不暗示款项全额支付给机构。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三、还缺两件东西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平台侧的合同关系不存在。</w:t>
      </w:r>
      <w:r>
        <w:rPr>
          <w:rFonts w:ascii="宋体" w:cs="宋体" w:eastAsia="宋体" w:hAnsi="宋体"/>
          <w:sz w:val="21"/>
          <w:szCs w:val="21"/>
        </w:rPr>
        <w:t xml:space="preserve"> 家长与机构签的是课程合同，但账号注册、平台使用规则、个人信息处理等事项，目前没有任何一方与家长建立合同关系。需要由天府通或萃雅出具一份平台服务协议。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地方国企挂靠的情形无法定稿。</w:t>
      </w:r>
      <w:r>
        <w:rPr>
          <w:rFonts w:ascii="宋体" w:cs="宋体" w:eastAsia="宋体" w:hAnsi="宋体"/>
          <w:sz w:val="21"/>
          <w:szCs w:val="21"/>
        </w:rPr>
        <w:t xml:space="preserve"> 当机构挂靠地方国企、由国企提供教学与场地时，协议甲方应为国企本身。但挂靠的法律形式（分支机构、受托运营或联营）未定，甲方如何列名、发票谁开、责任谁担也就无法确定。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四、下一步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13. 确认平台侧协议由天府通还是萃雅出具，以及隐私政策以谁的名义发布。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14. 确认地方国企挂靠的法律形式。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15. 向教育局了解校外培训预收费与退费的监管口径，回填协议中的退费数字。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16. 请通联支付出具资金结构的书面产品说明。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17. 与服务机构补签数据处理协议（DPA）。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18. 以上完成后交法务通审定稿。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版本</w:t>
      </w:r>
      <w:r>
        <w:rPr>
          <w:rFonts w:ascii="宋体" w:cs="宋体" w:eastAsia="宋体" w:hAnsi="宋体"/>
          <w:sz w:val="21"/>
          <w:szCs w:val="21"/>
        </w:rPr>
        <w:t xml:space="preserve"> 课程服务协议 v0.3、隐私政策 v0.3（均为业务草稿，未经法律审核）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协议调整结果说明（业务草稿 v0.3）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协议调整结果说明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2026-07-31T06:31:10.160Z</dcterms:created>
  <dcterms:modified xsi:type="dcterms:W3CDTF">2026-07-31T06:31:10.161Z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