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天府未来教育中心 · 各方定位与合同关系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四川萃雅教育科技有限公司　｜　2026-07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一、各方定位（已确定）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</w:t>
      </w:r>
      <w:r>
        <w:rPr>
          <w:rFonts w:ascii="宋体" w:cs="宋体" w:eastAsia="宋体" w:hAnsi="宋体"/>
          <w:sz w:val="21"/>
          <w:szCs w:val="21"/>
        </w:rPr>
        <w:t xml:space="preserve">——平台经营者，「天府未来教育中心」板块的归属方，提供入口与账号登录。对家长出面的一方。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四川萃雅教育科技有限公司</w:t>
      </w:r>
      <w:r>
        <w:rPr>
          <w:rFonts w:ascii="宋体" w:cs="宋体" w:eastAsia="宋体" w:hAnsi="宋体"/>
          <w:sz w:val="21"/>
          <w:szCs w:val="21"/>
        </w:rPr>
        <w:t xml:space="preserve">——受天府通委托的平台运营方，承担日常技术与运营工作，不直接面对家长。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天府未来教育中心</w:t>
      </w:r>
      <w:r>
        <w:rPr>
          <w:rFonts w:ascii="宋体" w:cs="宋体" w:eastAsia="宋体" w:hAnsi="宋体"/>
          <w:sz w:val="21"/>
          <w:szCs w:val="21"/>
        </w:rPr>
        <w:t xml:space="preserve">——天府通平台内的课后服务板块名称，不是公司，不能被起诉。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教育机构</w:t>
      </w:r>
      <w:r>
        <w:rPr>
          <w:rFonts w:ascii="宋体" w:cs="宋体" w:eastAsia="宋体" w:hAnsi="宋体"/>
          <w:sz w:val="21"/>
          <w:szCs w:val="21"/>
        </w:rPr>
        <w:t xml:space="preserve">——实际授课方，课程服务协议的甲方，承担教学质量与教学过程中的安全责任。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通联支付</w:t>
      </w:r>
      <w:r>
        <w:rPr>
          <w:rFonts w:ascii="宋体" w:cs="宋体" w:eastAsia="宋体" w:hAnsi="宋体"/>
          <w:sz w:val="21"/>
          <w:szCs w:val="21"/>
        </w:rPr>
        <w:t xml:space="preserve">——持牌支付机构，负责收款、资金存管与分账结算。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6.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学校</w:t>
      </w:r>
      <w:r>
        <w:rPr>
          <w:rFonts w:ascii="宋体" w:cs="宋体" w:eastAsia="宋体" w:hAnsi="宋体"/>
          <w:sz w:val="21"/>
          <w:szCs w:val="21"/>
        </w:rPr>
        <w:t xml:space="preserve">——提供场地并负责在校管理，不参与销课确认。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7.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地方国企</w:t>
      </w:r>
      <w:r>
        <w:rPr>
          <w:rFonts w:ascii="宋体" w:cs="宋体" w:eastAsia="宋体" w:hAnsi="宋体"/>
          <w:sz w:val="21"/>
          <w:szCs w:val="21"/>
        </w:rPr>
        <w:t xml:space="preserve">——两种身份并存：一是提供场地并参与分账；二是机构挂靠其下时由其提供教学与场地，此时等同于教育机构，即课程服务协议的甲方。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二、合同关系（已确定）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8.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家长 ↔ 教育机构</w:t>
      </w:r>
      <w:r>
        <w:rPr>
          <w:rFonts w:ascii="宋体" w:cs="宋体" w:eastAsia="宋体" w:hAnsi="宋体"/>
          <w:sz w:val="21"/>
          <w:szCs w:val="21"/>
        </w:rPr>
        <w:t xml:space="preserve">——《课程服务协议》，约定报名、付费、销课、退费与教学责任。已完成草稿。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9.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家长 ↔ 天府通</w:t>
      </w:r>
      <w:r>
        <w:rPr>
          <w:rFonts w:ascii="宋体" w:cs="宋体" w:eastAsia="宋体" w:hAnsi="宋体"/>
          <w:sz w:val="21"/>
          <w:szCs w:val="21"/>
        </w:rPr>
        <w:t xml:space="preserve">——《平台服务协议》与《隐私政策》，约定账号注册、平台使用规则、违规处置与个人信息处理。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以天府通名义发布，由我方起草文本交其审核。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10.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 ↔ 萃雅</w:t>
      </w:r>
      <w:r>
        <w:rPr>
          <w:rFonts w:ascii="宋体" w:cs="宋体" w:eastAsia="宋体" w:hAnsi="宋体"/>
          <w:sz w:val="21"/>
          <w:szCs w:val="21"/>
        </w:rPr>
        <w:t xml:space="preserve">——委托代理协议，线下签署，约定运营委托范围与个人信息委托处理事项。不对家长公开。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萃雅 ↔ 教育机构</w:t>
      </w:r>
      <w:r>
        <w:rPr>
          <w:rFonts w:ascii="宋体" w:cs="宋体" w:eastAsia="宋体" w:hAnsi="宋体"/>
          <w:sz w:val="21"/>
          <w:szCs w:val="21"/>
        </w:rPr>
        <w:t xml:space="preserve">——分成（管理费）协议。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萃雅（或天府通）↔ 教育机构</w:t>
      </w:r>
      <w:r>
        <w:rPr>
          <w:rFonts w:ascii="宋体" w:cs="宋体" w:eastAsia="宋体" w:hAnsi="宋体"/>
          <w:sz w:val="21"/>
          <w:szCs w:val="21"/>
        </w:rPr>
        <w:t xml:space="preserve">——数据处理协议（DPA）。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13.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教育机构 ↔ 通联支付</w:t>
      </w:r>
      <w:r>
        <w:rPr>
          <w:rFonts w:ascii="宋体" w:cs="宋体" w:eastAsia="宋体" w:hAnsi="宋体"/>
          <w:sz w:val="21"/>
          <w:szCs w:val="21"/>
        </w:rPr>
        <w:t xml:space="preserve">——收款子账户开户，未开户不能上线课程。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三、资金与信息的走向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14.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资金</w:t>
      </w:r>
      <w:r>
        <w:rPr>
          <w:rFonts w:ascii="宋体" w:cs="宋体" w:eastAsia="宋体" w:hAnsi="宋体"/>
          <w:sz w:val="21"/>
          <w:szCs w:val="21"/>
        </w:rPr>
        <w:t xml:space="preserve">：家长付款 → 通联支付存管 → 每节课确认后 → 按月分账给机构及其他合作方。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15.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信息</w:t>
      </w:r>
      <w:r>
        <w:rPr>
          <w:rFonts w:ascii="宋体" w:cs="宋体" w:eastAsia="宋体" w:hAnsi="宋体"/>
          <w:sz w:val="21"/>
          <w:szCs w:val="21"/>
        </w:rPr>
        <w:t xml:space="preserve">：天府通为个人信息处理者，萃雅为受托处理方，家长的权利请求向天府通主张，由平台统一受理。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四、需要推进的事项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16. 萃雅与天府通签署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委托代理协议</w:t>
      </w:r>
      <w:r>
        <w:rPr>
          <w:rFonts w:ascii="宋体" w:cs="宋体" w:eastAsia="宋体" w:hAnsi="宋体"/>
          <w:sz w:val="21"/>
          <w:szCs w:val="21"/>
        </w:rPr>
        <w:t xml:space="preserve">——须先于平台服务协议上线前完成，否则萃雅处理家长与学生信息缺少依据。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17. 起草《平台服务协议》交天府通审核发布。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18. 与教育机构补签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数据处理协议（DPA）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19. 确认机构挂靠地方国企的法律形式（分支机构、受托运营或联营），以确定课程服务协议的甲方列名、发票主体与责任主体。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20. 向教育局了解校外培训预收费与退费的监管口径，回填协议中的退费数字。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21. 请通联支付出具资金结构的书面产品说明。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当前文本</w:t>
      </w:r>
      <w:r>
        <w:rPr>
          <w:rFonts w:ascii="宋体" w:cs="宋体" w:eastAsia="宋体" w:hAnsi="宋体"/>
          <w:sz w:val="21"/>
          <w:szCs w:val="21"/>
        </w:rPr>
        <w:t xml:space="preserve"> 课程服务协议 v0.3、隐私政策 v0.3（业务草稿，未经法律审核）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各方定位与合同关系（业务草稿 v0.3）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各方定位与合同关系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2026-07-31T06:40:23.632Z</dcterms:created>
  <dcterms:modified xsi:type="dcterms:W3CDTF">2026-07-31T06:40:23.633Z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