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F930A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340" w:lineRule="atLeast"/>
        <w:ind w:left="0" w:right="0"/>
        <w:rPr>
          <w:rFonts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煤矿并购项目 Council 复盘报告</w:t>
      </w:r>
    </w:p>
    <w:p w14:paraId="60965E71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：2026-05-15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：贵州龙鑫煤矿、石桥煤矿采矿权合作意向协议审查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：杨晶（贵州鑫丰宏晟矿业有限公司）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：杭州醒沐壹号企业管理咨询合伙企业（有限合伙）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商业顾问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：李超逸（甲方外部顾问，全程参与决策）</w:t>
      </w:r>
    </w:p>
    <w:p w14:paraId="6B5F2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C04A1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一、核心结论</w:t>
      </w:r>
    </w:p>
    <w:p w14:paraId="214790BD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乙方提供的《合作意向协议（初稿）》不是合作协议，是“卖身契”。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要求杨总支付1000万定金、1亿元借款、1.5亿元收购款，并设置了极不对等的违约条款（甲方违约损失1.77亿+，乙方违约最多赔1400万）。协议在法律程序、资金安全、公司治理、税费承担等核心环节均存在重大缺陷。</w:t>
      </w:r>
    </w:p>
    <w:p w14:paraId="54F7F0D3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最终决策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：废弃原协议，重新起草《框架协议（尽调意向书）》，核心原则——</w:t>
      </w:r>
    </w:p>
    <w:p w14:paraId="70F405A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尽调先行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（甲方自费组建专业团队）</w:t>
      </w:r>
    </w:p>
    <w:p w14:paraId="13301BD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零付款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（尽调完成前不支付任何款项）</w:t>
      </w:r>
    </w:p>
    <w:p w14:paraId="372725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无排他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（不阻拦乙方找其他买家）</w:t>
      </w:r>
    </w:p>
    <w:p w14:paraId="71943E0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42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乙方配合尽调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（提供完整真实资料，不隐瞒）</w:t>
      </w:r>
    </w:p>
    <w:p w14:paraId="68170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38290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二、各委员核心观点提炼</w:t>
      </w:r>
    </w:p>
    <w:p w14:paraId="7A15AB71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投资人 · 巴菲特</w:t>
      </w:r>
    </w:p>
    <w:p w14:paraId="0BCA0BDD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原协议IRR勉强可接受，但1亿出借款未经评估，价值存疑。意向阶段不应承担任何实质性付款义务。贵州煤矿市场供给充足，买方有充分选择权，无需接受“先交钱再看货”。</w:t>
      </w:r>
    </w:p>
    <w:p w14:paraId="50C1CB1F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风控官 · 芒格</w:t>
      </w:r>
    </w:p>
    <w:p w14:paraId="6FE79FE9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甲方违约条款是“核弹级”——没收定金、无偿转让49%股权、免除1亿债务，而乙方违约最多赔1400万。此外，乙方破产风险、1亿资金无监管等问题均未解决。李超逸顾问“钱付了就收不回来”的判断是清醒的。</w:t>
      </w:r>
    </w:p>
    <w:p w14:paraId="2567DF1B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行业专家 · 蒂尔</w:t>
      </w:r>
    </w:p>
    <w:p w14:paraId="5D33A0C8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矿尽调复杂（储量、安全许可、环保、关停政策、欠税黑洞），周期6-18个月。贵州“六个一批”政策下，30万吨以下煤矿关停风险极高。税费可能达数千万，需设上限。零成本尽调是合理要求，乙方若连基础资料都不给，项目不可行。</w:t>
      </w:r>
    </w:p>
    <w:p w14:paraId="0B613C7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融资结构师 · 达里奥</w:t>
      </w:r>
    </w:p>
    <w:p w14:paraId="2F000F0E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亿出借款不应直接给乙方，应设共管账户，待抵债裁定后释放。1.5亿收购款应分期支付。取消诚意金后，谈判天平已倒向买方——乙方才是更需要交易的一方。杨总应定位为：我有能力收购，但你要证明资产价值。</w:t>
      </w:r>
    </w:p>
    <w:p w14:paraId="110A6D48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项目落地专家 · 格鲁夫</w:t>
      </w:r>
    </w:p>
    <w:p w14:paraId="12AF4AA6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公章共管必须落地（双控或律所托管），否则乙方可擅自对外担保。法院2个工作日办结不现实，应设90日期限及退出机制。零付款尽调在商业实践中完全可行，意向协议的核心就是尽调权利。</w:t>
      </w:r>
    </w:p>
    <w:p w14:paraId="06042102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反对者 · 塔勒布</w:t>
      </w:r>
    </w:p>
    <w:p w14:paraId="583706B4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方把意向协议写成强制收购协议，塞入核弹级条款，不是不专业，是刻意设计。最大的风险不是协议文本，是对方的人。建议杨总保留备选煤矿，随时准备退出。如果乙方连“零付款先尽调”的框架都不接受，直接放弃。</w:t>
      </w:r>
    </w:p>
    <w:p w14:paraId="2636DD5E">
      <w:pPr>
        <w:pStyle w:val="4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商业顾问 · 李超逸（甲方外部顾问）</w:t>
      </w:r>
    </w:p>
    <w:p w14:paraId="2EA75819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在讨论中做出三项关键判断，直接扭转了谈判策略：</w:t>
      </w:r>
    </w:p>
    <w:p w14:paraId="16C8BD9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取消诚意金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：“我买你的东西，我要先给钱，否则你连谈都不谈，合理吗？” → 300万诚意金也不设，彻底清零。</w:t>
      </w:r>
    </w:p>
    <w:p w14:paraId="3158C1A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零成本尽调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：“目的是了解全部信息，不要付出任何不可收回的成本。” → 尽调完成前，任何形式的付款都不支付。</w:t>
      </w:r>
    </w:p>
    <w:p w14:paraId="30F9F4E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判断对方无诚意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：“就凭对方拟的这个意向协议，我就判断对方没什么诚意。贵州煤矿不是卖方市场，凭什么听他的？” → 废弃原协议，重新起草。若乙方拒绝新框架，直接终止项目。</w:t>
      </w:r>
    </w:p>
    <w:p w14:paraId="5CBA3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E58EB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三、买方市场数据核实</w:t>
      </w:r>
    </w:p>
    <w:tbl>
      <w:tblPr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1"/>
        <w:gridCol w:w="5312"/>
      </w:tblGrid>
      <w:tr w14:paraId="6D4B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443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5CB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</w:t>
            </w:r>
          </w:p>
        </w:tc>
      </w:tr>
      <w:tr w14:paraId="570E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7538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贵州省在有效期煤矿采矿权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8F0F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672宗</w:t>
            </w:r>
          </w:p>
        </w:tc>
      </w:tr>
      <w:tr w14:paraId="76FE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1B4E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在产煤矿（有安许证）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949E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310处，产能约1.89亿吨/年</w:t>
            </w:r>
          </w:p>
        </w:tc>
      </w:tr>
      <w:tr w14:paraId="1C93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0082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法拍煤矿状态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4535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普遍流拍，多次降价</w:t>
            </w:r>
          </w:p>
        </w:tc>
      </w:tr>
      <w:tr w14:paraId="11F4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794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近期煤价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3B3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微幅回调，部分区域需求偏弱</w:t>
            </w:r>
          </w:p>
        </w:tc>
      </w:tr>
      <w:tr w14:paraId="4233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21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A11A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产业政策</w:t>
            </w:r>
          </w:p>
        </w:tc>
        <w:tc>
          <w:tcPr>
            <w:tcW w:w="531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9D94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“六个一批”、“富矿精开”鼓励并购整合</w:t>
            </w:r>
          </w:p>
        </w:tc>
      </w:tr>
    </w:tbl>
    <w:p w14:paraId="50BA9458">
      <w:pPr>
        <w:pStyle w:val="5"/>
        <w:keepNext w:val="0"/>
        <w:keepLines w:val="0"/>
        <w:widowControl/>
        <w:suppressLineNumbers w:val="0"/>
        <w:spacing w:before="160" w:beforeAutospacing="0" w:after="16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：贵州煤矿市场确为买方市场，杨总有充分选择权和议价能力。</w:t>
      </w:r>
    </w:p>
    <w:p w14:paraId="0BD45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3924C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四、最终输出文件</w:t>
      </w:r>
    </w:p>
    <w:p w14:paraId="571D8423">
      <w:pPr>
        <w:pStyle w:val="5"/>
        <w:keepNext w:val="0"/>
        <w:keepLines w:val="0"/>
        <w:widowControl/>
        <w:suppressLineNumbers w:val="0"/>
        <w:spacing w:before="0" w:beforeAutospacing="0" w:after="8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《框架协议（尽调意向书）》</w:t>
      </w:r>
    </w:p>
    <w:p w14:paraId="76D73FE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无约束力意向声明</w:t>
      </w:r>
    </w:p>
    <w:p w14:paraId="1D14064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甲方自费尽调，乙方5个工作日内提供资料</w:t>
      </w:r>
    </w:p>
    <w:p w14:paraId="59D77AA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尽调完成前零付款</w:t>
      </w:r>
    </w:p>
    <w:p w14:paraId="452E197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无排他条款</w:t>
      </w:r>
    </w:p>
    <w:p w14:paraId="2FC3272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有效期6个月，甲方可无理由终止</w:t>
      </w:r>
    </w:p>
    <w:p w14:paraId="101A500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0" w:right="0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《项目尽调清单（结构化）》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涵盖法律、财务税务、矿业技术、政策市场、乙方履约能力、其他等六大类，约60余项具体核查要点。</w:t>
      </w:r>
    </w:p>
    <w:p w14:paraId="6FC471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80" w:lineRule="atLeast"/>
        <w:ind w:left="0" w:right="0"/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8D69A">
      <w:pPr>
        <w:pStyle w:val="3"/>
        <w:keepNext w:val="0"/>
        <w:keepLines w:val="0"/>
        <w:widowControl/>
        <w:suppressLineNumbers w:val="0"/>
        <w:spacing w:before="320" w:beforeAutospacing="0" w:after="160" w:afterAutospacing="0" w:line="320" w:lineRule="atLeast"/>
        <w:ind w:left="0" w:right="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五、下一步行动建议</w:t>
      </w:r>
    </w:p>
    <w:p w14:paraId="6E416B9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将两份文件交付杨总，由杨总向乙方发出</w:t>
      </w:r>
    </w:p>
    <w:p w14:paraId="5C591828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8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观察乙方反应：</w:t>
      </w:r>
    </w:p>
    <w:p w14:paraId="44D2860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接受并配合尽调 → 组团队（法务、财务、税务、矿业技术），启动60个工作日尽调</w:t>
      </w:r>
    </w:p>
    <w:p w14:paraId="302F534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80" w:lineRule="atLeast"/>
        <w:ind w:left="840" w:leftChars="0" w:right="0" w:hanging="42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拒绝或设障 → 终止项目，启动备选煤矿搜寻</w:t>
      </w:r>
    </w:p>
    <w:p w14:paraId="72E49C8A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80" w:lineRule="atLeast"/>
        <w:ind w:left="425" w:leftChars="0" w:right="0" w:hanging="425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任何时候记住：堵住风险，管住付钱的手，比将来后悔强。</w:t>
      </w:r>
    </w:p>
    <w:p w14:paraId="63963C2D">
      <w:pPr>
        <w:rPr>
          <w:sz w:val="24"/>
          <w:szCs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941B7"/>
    <w:multiLevelType w:val="singleLevel"/>
    <w:tmpl w:val="921941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BF50E2F1"/>
    <w:multiLevelType w:val="singleLevel"/>
    <w:tmpl w:val="BF50E2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ED2C1021"/>
    <w:multiLevelType w:val="singleLevel"/>
    <w:tmpl w:val="ED2C10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A74C966"/>
    <w:multiLevelType w:val="singleLevel"/>
    <w:tmpl w:val="1A74C9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BC3B2A4"/>
    <w:multiLevelType w:val="singleLevel"/>
    <w:tmpl w:val="6BC3B2A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MzQ4MjIwODMxOTI4ZGNmZDc5NzQ4ZWYzY2Y5MDEifQ=="/>
  </w:docVars>
  <w:rsids>
    <w:rsidRoot w:val="00000000"/>
    <w:rsid w:val="13D84265"/>
    <w:rsid w:val="5162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2026-05-15T14:34:30Z</dcterms:created>
  <dc:creator>超蕊豆mini</dc:creator>
  <cp:lastModifiedBy>超wolf</cp:lastModifiedBy>
  <dcterms:modified xsi:type="dcterms:W3CDTF">2026-05-15T14:40:21Z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3BE8E18BA8A4449980AEF9B233A8E10D_12</vt:lpwstr>
  </property>
</Properties>
</file>