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529D7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</w:rPr>
        <w:t>龙鑫煤矿及石桥煤矿</w:t>
      </w:r>
      <w:r>
        <w:rPr>
          <w:rFonts w:hint="eastAsia"/>
          <w:sz w:val="30"/>
          <w:szCs w:val="30"/>
          <w:lang w:val="en-US" w:eastAsia="zh-CN"/>
        </w:rPr>
        <w:t>并购项目尽调清单</w:t>
      </w:r>
    </w:p>
    <w:p w14:paraId="0DBF3C8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一、法律尽职调查</w:t>
      </w:r>
      <w:bookmarkStart w:id="0" w:name="_GoBack"/>
      <w:bookmarkEnd w:id="0"/>
    </w:p>
    <w:p w14:paraId="2B35307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乙方的债权及抵押权</w:t>
      </w:r>
    </w:p>
    <w:p w14:paraId="2302890F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乙方作为贵州东银同诚能源有限公司（下称“债务人”）债权人的全部法律文件：</w:t>
      </w:r>
    </w:p>
    <w:p w14:paraId="350B7610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26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生效判决书/裁定书/调解书（原件扫描件）</w:t>
      </w:r>
    </w:p>
    <w:p w14:paraId="2D1316B9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26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债权转让协议及转让通知（如债权系受让取得）</w:t>
      </w:r>
    </w:p>
    <w:p w14:paraId="42A8A566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26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抵押合同、抵押登记证明（是否在有效期内）</w:t>
      </w:r>
    </w:p>
    <w:p w14:paraId="5C7C8B29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26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主张债权的催收文件、诉讼时效未届满的证明</w:t>
      </w:r>
    </w:p>
    <w:p w14:paraId="79DF1668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债务人当前破产/清算/执行状态（是否已进入破产程序、是否有其他债权人申报债权）</w:t>
      </w:r>
    </w:p>
    <w:p w14:paraId="5B726152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龙鑫、石桥采矿权上的全部抵押、查封、冻结情况（法院查询回执）</w:t>
      </w:r>
    </w:p>
    <w:p w14:paraId="00B3DD6C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是否存在优先于乙方债权的其他债权人（如工人工资、税款、有抵押的银行债权），并提供相关金额及顺位说明</w:t>
      </w:r>
    </w:p>
    <w:p w14:paraId="09E2D2E5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采矿权权属及合规</w:t>
      </w:r>
    </w:p>
    <w:p w14:paraId="3A1CCB73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龙鑫煤矿、石桥煤矿的采矿权证（正本扫描件）：证号、有效期限、矿区范围、生产规模、剩余资源储量</w:t>
      </w:r>
    </w:p>
    <w:p w14:paraId="49817B4F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采矿权取得方式（出让/转让/拍卖）、出让合同、价款缴纳凭证</w:t>
      </w:r>
    </w:p>
    <w:p w14:paraId="619FE3AA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采矿权是否在有效期内，是否有续期障碍（如欠缴出让收益、环保处罚等）</w:t>
      </w:r>
    </w:p>
    <w:p w14:paraId="63B567A4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采矿权是否存在争议、权属纠纷、政府收回风险</w:t>
      </w:r>
    </w:p>
    <w:p w14:paraId="487BFC6B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是否已按《自然资源部关于进一步完善矿产资源勘查开采登记管理的通知》完成相关登记</w:t>
      </w:r>
    </w:p>
    <w:p w14:paraId="6D892E8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安全生产与行政许可</w:t>
      </w:r>
    </w:p>
    <w:p w14:paraId="7BF9B3BA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安全生产许可证（正本扫描件），有效期限</w:t>
      </w:r>
    </w:p>
    <w:p w14:paraId="294D6837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矿长安全生产知识和管理能力考核合格证</w:t>
      </w:r>
    </w:p>
    <w:p w14:paraId="4B1FC2E0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特种作业人员操作证清单</w:t>
      </w:r>
    </w:p>
    <w:p w14:paraId="702C5B2F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近三年安全生产事故记录、安监部门处罚决定书</w:t>
      </w:r>
    </w:p>
    <w:p w14:paraId="2BAC9968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是否在贵州煤矿“六个一批”关停整合范围内（保留/技改/淘汰清单文件）</w:t>
      </w:r>
    </w:p>
    <w:p w14:paraId="2EB51C99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矿井设计生产能力与实际产能；是否属于30万吨/年以下需关闭矿井</w:t>
      </w:r>
    </w:p>
    <w:p w14:paraId="35611F6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 环保与土地</w:t>
      </w:r>
    </w:p>
    <w:p w14:paraId="01F26256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环境影响评价报告及批复、环保验收文件</w:t>
      </w:r>
    </w:p>
    <w:p w14:paraId="2611A3B2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排污许可证</w:t>
      </w:r>
    </w:p>
    <w:p w14:paraId="40E829CA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近三年环保处罚、环保督查整改情况</w:t>
      </w:r>
    </w:p>
    <w:p w14:paraId="5014FCFA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矿山地质环境保护与土地复垦方案及保证金缴纳凭证</w:t>
      </w:r>
    </w:p>
    <w:p w14:paraId="6352E9D6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矿区土地使用证或租赁协议，是否存在土地权属纠纷</w:t>
      </w:r>
    </w:p>
    <w:p w14:paraId="7434963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 诉讼与处罚</w:t>
      </w:r>
    </w:p>
    <w:p w14:paraId="029A2257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债务人及煤矿近五年的全部诉讼、仲裁、执行案件清单及裁判文书</w:t>
      </w:r>
    </w:p>
    <w:p w14:paraId="66A021C0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行政处罚决定书（税务、安监、环保、自然资源等部门）</w:t>
      </w:r>
    </w:p>
    <w:p w14:paraId="2036C6BB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是否被列入失信被执行人、严重违法失信企业名单</w:t>
      </w:r>
    </w:p>
    <w:p w14:paraId="3637B0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2997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二、财务与税务尽职调查</w:t>
      </w:r>
    </w:p>
    <w:p w14:paraId="66AD8D2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财务状况</w:t>
      </w:r>
    </w:p>
    <w:p w14:paraId="152CE7E0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债务人及煤矿近三年审计报告（如有）</w:t>
      </w:r>
    </w:p>
    <w:p w14:paraId="7BA84AEC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近两年及最近一期的资产负债表、利润表、现金流量表</w:t>
      </w:r>
    </w:p>
    <w:p w14:paraId="5D8206DB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主要资产清单（固定资产、在建工程、无形资产）</w:t>
      </w:r>
    </w:p>
    <w:p w14:paraId="4505B0DF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主要负债清单（银行贷款、应付账款、应付职工薪酬、应交税费）</w:t>
      </w:r>
    </w:p>
    <w:p w14:paraId="023762F7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应收账款明细及账龄，是否存在坏账风险</w:t>
      </w:r>
    </w:p>
    <w:p w14:paraId="25ED548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税务</w:t>
      </w:r>
    </w:p>
    <w:p w14:paraId="2510864C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近三年纳税申报表（增值税、企业所得税、资源税、环保税等）</w:t>
      </w:r>
    </w:p>
    <w:p w14:paraId="79F58344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完税证明、欠税明细及滞纳金计算依据</w:t>
      </w:r>
    </w:p>
    <w:p w14:paraId="564D7C6F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税务稽查、税务处罚记录</w:t>
      </w:r>
    </w:p>
    <w:p w14:paraId="7CC4EB8D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矿业权出让收益（原“矿产资源补偿费”）缴纳凭证，欠缴金额及滞纳金</w:t>
      </w:r>
    </w:p>
    <w:p w14:paraId="6B67423A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是否被税务机关列为非正常户或D级纳税人</w:t>
      </w:r>
    </w:p>
    <w:p w14:paraId="5F529CC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关联交易与资金占用</w:t>
      </w:r>
    </w:p>
    <w:p w14:paraId="62DCC5F3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关联方名单及关联交易明细</w:t>
      </w:r>
    </w:p>
    <w:p w14:paraId="3C397FA3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是否存在股东或实控人占用资金、违规担保</w:t>
      </w:r>
    </w:p>
    <w:p w14:paraId="0A9C48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DCF9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三、矿业技术与资产</w:t>
      </w:r>
    </w:p>
    <w:p w14:paraId="4487CD5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资源储量</w:t>
      </w:r>
    </w:p>
    <w:p w14:paraId="745CCFAF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经评审备案的《资源储量核实报告》及评审意见</w:t>
      </w:r>
    </w:p>
    <w:p w14:paraId="24324C0F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可采储量、设计利用率、服务年限</w:t>
      </w:r>
    </w:p>
    <w:p w14:paraId="0E8D6B08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煤质分析报告（灰分、硫分、发热量等）</w:t>
      </w:r>
    </w:p>
    <w:p w14:paraId="7F512D9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开采条件</w:t>
      </w:r>
    </w:p>
    <w:p w14:paraId="648B72B2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矿井开拓方式、采煤方法、回采率</w:t>
      </w:r>
    </w:p>
    <w:p w14:paraId="5E43EC13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矿井通风、排水、运输、供电系统现状</w:t>
      </w:r>
    </w:p>
    <w:p w14:paraId="35C2CCBD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近三年实际产量数据（统计报表、销售记录）</w:t>
      </w:r>
    </w:p>
    <w:p w14:paraId="3F0EFDC0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是否存在水、火、瓦斯、顶板等重大灾害，及治理方案</w:t>
      </w:r>
    </w:p>
    <w:p w14:paraId="6C787B95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资产设备</w:t>
      </w:r>
    </w:p>
    <w:p w14:paraId="334E2ADC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井下及地面主要设备清单（购置时间、原值、净值、使用状态）</w:t>
      </w:r>
    </w:p>
    <w:p w14:paraId="6512EF82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是否已计提足额折旧，是否需要大规模技改投入</w:t>
      </w:r>
    </w:p>
    <w:p w14:paraId="5C203E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8700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四、政策与市场</w:t>
      </w:r>
    </w:p>
    <w:p w14:paraId="1154F64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产业政策</w:t>
      </w:r>
    </w:p>
    <w:p w14:paraId="710F884F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煤矿是否在贵州省煤矿“十四五”及2026年保留清单中</w:t>
      </w:r>
    </w:p>
    <w:p w14:paraId="1AA254CC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是否涉及产能置换、产能指标购买</w:t>
      </w:r>
    </w:p>
    <w:p w14:paraId="1497F955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当地政府是否有煤矿关闭退出计划及补偿标准</w:t>
      </w:r>
    </w:p>
    <w:p w14:paraId="463B35B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市场</w:t>
      </w:r>
    </w:p>
    <w:p w14:paraId="367D2F4D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近三年煤炭销售合同、主要客户名单</w:t>
      </w:r>
    </w:p>
    <w:p w14:paraId="4A89D155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近三年煤价走势及当前市场价</w:t>
      </w:r>
    </w:p>
    <w:p w14:paraId="09EDC503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运输条件、运费、周边有无洗煤厂/集运站</w:t>
      </w:r>
    </w:p>
    <w:p w14:paraId="53A96A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36087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五、乙方主体及履约能力</w:t>
      </w:r>
    </w:p>
    <w:p w14:paraId="5092A045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乙方的营业执照、合伙协议、工商登记信息（含历史名称变更）</w:t>
      </w:r>
    </w:p>
    <w:p w14:paraId="62D81BBB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乙方普通合伙人（GP）的身份信息、资产状况、信用报告</w:t>
      </w:r>
    </w:p>
    <w:p w14:paraId="2FDD1289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乙方及其实控人近三年是否涉及重大诉讼、被执行、破产</w:t>
      </w:r>
    </w:p>
    <w:p w14:paraId="6D41B4FC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乙方是否有能力配合完成以物抵债、矿权过户等法律程序</w:t>
      </w:r>
    </w:p>
    <w:p w14:paraId="10EC4F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49751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六、其他</w:t>
      </w:r>
    </w:p>
    <w:p w14:paraId="3C6D58AE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若矿权系通过法拍取得，提供法院拍卖公告、成交确认书、裁定书</w:t>
      </w:r>
    </w:p>
    <w:p w14:paraId="45F346A7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被执行人（债务人）其他已知债权人的情况</w:t>
      </w:r>
    </w:p>
    <w:p w14:paraId="6F8EFE9F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当地政府或村委会对矿权转让的态度（如有相关文件）</w:t>
      </w:r>
    </w:p>
    <w:p w14:paraId="46792BD3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甲方认为必要的其他资料（可补充）</w:t>
      </w: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5095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CD2EB9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CD2EB9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E743C0"/>
    <w:multiLevelType w:val="singleLevel"/>
    <w:tmpl w:val="86E743C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31A03FC3"/>
    <w:multiLevelType w:val="singleLevel"/>
    <w:tmpl w:val="31A03FC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5C7FD483"/>
    <w:multiLevelType w:val="multilevel"/>
    <w:tmpl w:val="5C7FD48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NjMzQ4MjIwODMxOTI4ZGNmZDc5NzQ4ZWYzY2Y5MDEifQ=="/>
  </w:docVars>
  <w:rsids>
    <w:rsidRoot w:val="00000000"/>
    <w:rsid w:val="00D91F6F"/>
    <w:rsid w:val="3F1A5902"/>
    <w:rsid w:val="548B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0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iPriority w:val="0"/>
    <w:rPr>
      <w:sz w:val="24"/>
    </w:rPr>
  </w:style>
  <w:style w:type="character" w:customStyle="1" w:styleId="10">
    <w:name w:val="标题 2 Char"/>
    <w:link w:val="3"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1183</Words>
  <Characters>1226</Characters>
  <Lines>0</Lines>
  <Paragraphs>0</Paragraphs>
  <TotalTime>16</TotalTime>
  <ScaleCrop>false</ScaleCrop>
  <LinksUpToDate>false</LinksUpToDate>
  <CharactersWithSpaces>1236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2026-05-15T13:33:00Z</dcterms:created>
  <dc:creator>超蕊豆mini</dc:creator>
  <cp:lastModifiedBy>超wolf</cp:lastModifiedBy>
  <dcterms:modified xsi:type="dcterms:W3CDTF">2026-05-15T13:51:49Z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47772BE8F54C4DE2922ECCBF5369257D_12</vt:lpwstr>
  </property>
</Properties>
</file>