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sz w:val="30"/>
          <w:szCs w:val="30"/>
        </w:rPr>
      </w:pPr>
      <w:r>
        <w:rPr>
          <w:sz w:val="30"/>
          <w:szCs w:val="30"/>
        </w:rPr>
        <w:t>关于《合作意向协议-20260604（清洁版）》的深度审计与决策建议报告</w:t>
      </w:r>
    </w:p>
    <w:p>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ascii="宋体" w:hAnsi="宋体" w:eastAsia="宋体" w:cs="宋体"/>
          <w:kern w:val="0"/>
          <w:sz w:val="24"/>
          <w:szCs w:val="24"/>
          <w:lang w:val="en-US" w:eastAsia="zh-CN" w:bidi="ar"/>
        </w:rPr>
      </w:pPr>
      <w:r>
        <w:rPr>
          <w:rStyle w:val="8"/>
          <w:sz w:val="24"/>
          <w:szCs w:val="24"/>
        </w:rPr>
        <w:t>报告日期</w:t>
      </w:r>
      <w:r>
        <w:rPr>
          <w:sz w:val="24"/>
          <w:szCs w:val="24"/>
        </w:rPr>
        <w:t>：2026年6月4日</w:t>
      </w:r>
      <w:r>
        <w:rPr>
          <w:sz w:val="24"/>
          <w:szCs w:val="24"/>
        </w:rPr>
        <w:br w:type="textWrapping"/>
      </w:r>
      <w:r>
        <w:rPr>
          <w:rStyle w:val="8"/>
          <w:sz w:val="24"/>
          <w:szCs w:val="24"/>
        </w:rPr>
        <w:t>报告对象</w:t>
      </w:r>
      <w:r>
        <w:rPr>
          <w:sz w:val="24"/>
          <w:szCs w:val="24"/>
        </w:rPr>
        <w:t xml:space="preserve">：杨晶先生 </w:t>
      </w:r>
      <w:r>
        <w:rPr>
          <w:rFonts w:ascii="宋体" w:hAnsi="宋体" w:eastAsia="宋体" w:cs="宋体"/>
          <w:kern w:val="0"/>
          <w:sz w:val="24"/>
          <w:szCs w:val="24"/>
          <w:lang w:val="en-US" w:eastAsia="zh-CN" w:bidi="ar"/>
        </w:rPr>
        <w:br w:type="textWrapping"/>
      </w:r>
      <w:r>
        <w:rPr>
          <w:rStyle w:val="8"/>
          <w:rFonts w:ascii="宋体" w:hAnsi="宋体" w:eastAsia="宋体" w:cs="宋体"/>
          <w:kern w:val="0"/>
          <w:sz w:val="24"/>
          <w:szCs w:val="24"/>
          <w:lang w:val="en-US" w:eastAsia="zh-CN" w:bidi="ar"/>
        </w:rPr>
        <w:t>报告出具方</w:t>
      </w:r>
      <w:r>
        <w:rPr>
          <w:rFonts w:ascii="宋体" w:hAnsi="宋体" w:eastAsia="宋体" w:cs="宋体"/>
          <w:kern w:val="0"/>
          <w:sz w:val="24"/>
          <w:szCs w:val="24"/>
          <w:lang w:val="en-US" w:eastAsia="zh-CN" w:bidi="ar"/>
        </w:rPr>
        <w:t>：程信霖信息咨询（李超逸）</w:t>
      </w:r>
    </w:p>
    <w:p>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ascii="宋体" w:hAnsi="宋体" w:eastAsia="宋体" w:cs="宋体"/>
          <w:kern w:val="0"/>
          <w:sz w:val="24"/>
          <w:szCs w:val="24"/>
          <w:lang w:val="en-US" w:eastAsia="zh-CN" w:bidi="ar"/>
        </w:rPr>
      </w:pPr>
    </w:p>
    <w:p>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b w:val="0"/>
          <w:bCs/>
          <w:sz w:val="24"/>
          <w:szCs w:val="24"/>
        </w:rPr>
      </w:pPr>
      <w:r>
        <w:rPr>
          <w:rStyle w:val="8"/>
          <w:sz w:val="24"/>
          <w:szCs w:val="24"/>
        </w:rPr>
        <w:t>核心结论</w:t>
      </w:r>
      <w:r>
        <w:rPr>
          <w:sz w:val="24"/>
          <w:szCs w:val="24"/>
        </w:rPr>
        <w:t>：</w:t>
      </w:r>
      <w:r>
        <w:rPr>
          <w:rStyle w:val="8"/>
          <w:b w:val="0"/>
          <w:bCs/>
          <w:sz w:val="24"/>
          <w:szCs w:val="24"/>
        </w:rPr>
        <w:t>《合作意向协议-20260604（清洁版）》（下称“新协议”）是一个包装更精美的陷阱。乙方用表面让步掩盖核心致命风险，并埋设了更隐蔽的地雷。</w:t>
      </w:r>
      <w:r>
        <w:rPr>
          <w:rStyle w:val="8"/>
          <w:b/>
          <w:bCs w:val="0"/>
          <w:color w:val="FF0000"/>
          <w:sz w:val="24"/>
          <w:szCs w:val="24"/>
        </w:rPr>
        <w:t>签署此协议的后果将是灾难性的，甲方可能陷入资金与法律双重陷阱</w:t>
      </w:r>
      <w:r>
        <w:rPr>
          <w:rStyle w:val="8"/>
          <w:b w:val="0"/>
          <w:bCs/>
          <w:sz w:val="24"/>
          <w:szCs w:val="24"/>
        </w:rPr>
        <w:t>，招致1.77亿起步的不可逆损失。唯一正确的行动路径是：立即废弃此协议，</w:t>
      </w:r>
      <w:r>
        <w:rPr>
          <w:rStyle w:val="8"/>
          <w:b/>
          <w:bCs w:val="0"/>
          <w:color w:val="FF0000"/>
          <w:sz w:val="24"/>
          <w:szCs w:val="24"/>
        </w:rPr>
        <w:t>坚持“尽调先行、零付款、无排他”的框架</w:t>
      </w:r>
      <w:r>
        <w:rPr>
          <w:rStyle w:val="8"/>
          <w:b w:val="0"/>
          <w:bCs/>
          <w:sz w:val="24"/>
          <w:szCs w:val="24"/>
        </w:rPr>
        <w:t>。</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sz w:val="24"/>
          <w:szCs w:val="24"/>
        </w:rPr>
      </w:pPr>
      <w:r>
        <w:rPr>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3"/>
        <w:bidi w:val="0"/>
        <w:rPr>
          <w:sz w:val="28"/>
          <w:szCs w:val="28"/>
        </w:rPr>
      </w:pPr>
      <w:r>
        <w:rPr>
          <w:sz w:val="28"/>
          <w:szCs w:val="28"/>
        </w:rPr>
        <w:t>第一部分：协议改动详细对比</w:t>
      </w:r>
    </w:p>
    <w:p>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sz w:val="24"/>
          <w:szCs w:val="24"/>
        </w:rPr>
      </w:pPr>
      <w:r>
        <w:rPr>
          <w:sz w:val="24"/>
          <w:szCs w:val="24"/>
        </w:rPr>
        <w:t>本部分旨在逐条对比《合作意向协议-20260604（清洁版）》（下称“新版本”）与《合作意向协议-改20260512》（下称“初稿”）的关键差异，并标注改动性质。</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627"/>
        <w:gridCol w:w="1477"/>
        <w:gridCol w:w="1788"/>
        <w:gridCol w:w="2429"/>
        <w:gridCol w:w="35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582" w:type="dxa"/>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b/>
                <w:bCs/>
                <w:sz w:val="21"/>
                <w:szCs w:val="21"/>
              </w:rPr>
            </w:pPr>
            <w:r>
              <w:rPr>
                <w:rFonts w:ascii="宋体" w:hAnsi="宋体" w:eastAsia="宋体" w:cs="宋体"/>
                <w:b/>
                <w:bCs/>
                <w:kern w:val="0"/>
                <w:sz w:val="21"/>
                <w:szCs w:val="21"/>
                <w:lang w:val="en-US" w:eastAsia="zh-CN" w:bidi="ar"/>
              </w:rPr>
              <w:t>序号</w:t>
            </w:r>
          </w:p>
        </w:tc>
        <w:tc>
          <w:tcPr>
            <w:tcW w:w="1447" w:type="dxa"/>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b/>
                <w:bCs/>
                <w:sz w:val="21"/>
                <w:szCs w:val="21"/>
              </w:rPr>
            </w:pPr>
            <w:r>
              <w:rPr>
                <w:rFonts w:ascii="宋体" w:hAnsi="宋体" w:eastAsia="宋体" w:cs="宋体"/>
                <w:b/>
                <w:bCs/>
                <w:kern w:val="0"/>
                <w:sz w:val="21"/>
                <w:szCs w:val="21"/>
                <w:lang w:val="en-US" w:eastAsia="zh-CN" w:bidi="ar"/>
              </w:rPr>
              <w:t>条款/内容</w:t>
            </w:r>
          </w:p>
        </w:tc>
        <w:tc>
          <w:tcPr>
            <w:tcW w:w="1758" w:type="dxa"/>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b/>
                <w:bCs/>
                <w:sz w:val="21"/>
                <w:szCs w:val="21"/>
              </w:rPr>
            </w:pPr>
            <w:r>
              <w:rPr>
                <w:rFonts w:ascii="宋体" w:hAnsi="宋体" w:eastAsia="宋体" w:cs="宋体"/>
                <w:b/>
                <w:bCs/>
                <w:kern w:val="0"/>
                <w:sz w:val="21"/>
                <w:szCs w:val="21"/>
                <w:lang w:val="en-US" w:eastAsia="zh-CN" w:bidi="ar"/>
              </w:rPr>
              <w:t>初稿（20260512）</w:t>
            </w:r>
          </w:p>
        </w:tc>
        <w:tc>
          <w:tcPr>
            <w:tcW w:w="2399" w:type="dxa"/>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b/>
                <w:bCs/>
                <w:sz w:val="21"/>
                <w:szCs w:val="21"/>
              </w:rPr>
            </w:pPr>
            <w:r>
              <w:rPr>
                <w:rFonts w:ascii="宋体" w:hAnsi="宋体" w:eastAsia="宋体" w:cs="宋体"/>
                <w:b/>
                <w:bCs/>
                <w:kern w:val="0"/>
                <w:sz w:val="21"/>
                <w:szCs w:val="21"/>
                <w:lang w:val="en-US" w:eastAsia="zh-CN" w:bidi="ar"/>
              </w:rPr>
              <w:t>新版本（20260604）</w:t>
            </w:r>
          </w:p>
        </w:tc>
        <w:tc>
          <w:tcPr>
            <w:tcW w:w="3490" w:type="dxa"/>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b/>
                <w:bCs/>
                <w:sz w:val="21"/>
                <w:szCs w:val="21"/>
              </w:rPr>
            </w:pPr>
            <w:r>
              <w:rPr>
                <w:rFonts w:ascii="宋体" w:hAnsi="宋体" w:eastAsia="宋体" w:cs="宋体"/>
                <w:b/>
                <w:bCs/>
                <w:kern w:val="0"/>
                <w:sz w:val="21"/>
                <w:szCs w:val="21"/>
                <w:lang w:val="en-US" w:eastAsia="zh-CN" w:bidi="ar"/>
              </w:rPr>
              <w:t>改动性质与评价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582" w:type="dxa"/>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sz w:val="21"/>
                <w:szCs w:val="21"/>
              </w:rPr>
            </w:pPr>
            <w:r>
              <w:rPr>
                <w:rStyle w:val="8"/>
                <w:rFonts w:ascii="宋体" w:hAnsi="宋体" w:eastAsia="宋体" w:cs="宋体"/>
                <w:kern w:val="0"/>
                <w:sz w:val="21"/>
                <w:szCs w:val="21"/>
                <w:lang w:val="en-US" w:eastAsia="zh-CN" w:bidi="ar"/>
              </w:rPr>
              <w:t>1</w:t>
            </w:r>
          </w:p>
        </w:tc>
        <w:tc>
          <w:tcPr>
            <w:tcW w:w="1447" w:type="dxa"/>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1"/>
                <w:szCs w:val="21"/>
              </w:rPr>
            </w:pPr>
            <w:r>
              <w:rPr>
                <w:rStyle w:val="8"/>
                <w:rFonts w:ascii="宋体" w:hAnsi="宋体" w:eastAsia="宋体" w:cs="宋体"/>
                <w:kern w:val="0"/>
                <w:sz w:val="21"/>
                <w:szCs w:val="21"/>
                <w:lang w:val="en-US" w:eastAsia="zh-CN" w:bidi="ar"/>
              </w:rPr>
              <w:t>龙鑫煤矿的以物抵债触发前提</w:t>
            </w:r>
          </w:p>
        </w:tc>
        <w:tc>
          <w:tcPr>
            <w:tcW w:w="1758" w:type="dxa"/>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1"/>
                <w:szCs w:val="21"/>
              </w:rPr>
            </w:pPr>
            <w:r>
              <w:rPr>
                <w:rFonts w:ascii="宋体" w:hAnsi="宋体" w:eastAsia="宋体" w:cs="宋体"/>
                <w:kern w:val="0"/>
                <w:sz w:val="21"/>
                <w:szCs w:val="21"/>
                <w:lang w:val="en-US" w:eastAsia="zh-CN" w:bidi="ar"/>
              </w:rPr>
              <w:t xml:space="preserve">两次拍卖流拍后，成立合资公司，进入以物抵债流程。 </w:t>
            </w:r>
          </w:p>
        </w:tc>
        <w:tc>
          <w:tcPr>
            <w:tcW w:w="2399" w:type="dxa"/>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1"/>
                <w:szCs w:val="21"/>
              </w:rPr>
            </w:pPr>
            <w:r>
              <w:rPr>
                <w:rStyle w:val="8"/>
                <w:rFonts w:ascii="宋体" w:hAnsi="宋体" w:eastAsia="宋体" w:cs="宋体"/>
                <w:kern w:val="0"/>
                <w:sz w:val="21"/>
                <w:szCs w:val="21"/>
                <w:lang w:val="en-US" w:eastAsia="zh-CN" w:bidi="ar"/>
              </w:rPr>
              <w:t>“变卖流拍”之后</w:t>
            </w:r>
            <w:r>
              <w:rPr>
                <w:rFonts w:ascii="宋体" w:hAnsi="宋体" w:eastAsia="宋体" w:cs="宋体"/>
                <w:kern w:val="0"/>
                <w:sz w:val="21"/>
                <w:szCs w:val="21"/>
                <w:lang w:val="en-US" w:eastAsia="zh-CN" w:bidi="ar"/>
              </w:rPr>
              <w:t xml:space="preserve">（而非“两次拍卖流拍”），通过以物抵债方式将矿权归属到合资公司。 </w:t>
            </w:r>
          </w:p>
        </w:tc>
        <w:tc>
          <w:tcPr>
            <w:tcW w:w="3490" w:type="dxa"/>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1"/>
                <w:szCs w:val="21"/>
              </w:rPr>
            </w:pPr>
            <w:r>
              <w:rPr>
                <w:rStyle w:val="8"/>
                <w:rFonts w:ascii="宋体" w:hAnsi="宋体" w:eastAsia="宋体" w:cs="宋体"/>
                <w:kern w:val="0"/>
                <w:sz w:val="21"/>
                <w:szCs w:val="21"/>
                <w:lang w:val="en-US" w:eastAsia="zh-CN" w:bidi="ar"/>
              </w:rPr>
              <w:t>重大不利修改</w:t>
            </w:r>
            <w:r>
              <w:rPr>
                <w:rFonts w:ascii="宋体" w:hAnsi="宋体" w:eastAsia="宋体" w:cs="宋体"/>
                <w:kern w:val="0"/>
                <w:sz w:val="21"/>
                <w:szCs w:val="21"/>
                <w:lang w:val="en-US" w:eastAsia="zh-CN" w:bidi="ar"/>
              </w:rPr>
              <w:t>。法律上，拍卖流拍后进入变卖程序，变卖再次流拍后才能申请以物抵债。这延长了时间，增加了变数，且“变卖”环节可能伴随更低价格，让被执行人或第三方有更多操作空间。乙方的配合义务被笼统化了。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582" w:type="dxa"/>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sz w:val="21"/>
                <w:szCs w:val="21"/>
              </w:rPr>
            </w:pPr>
            <w:r>
              <w:rPr>
                <w:rStyle w:val="8"/>
                <w:rFonts w:ascii="宋体" w:hAnsi="宋体" w:eastAsia="宋体" w:cs="宋体"/>
                <w:kern w:val="0"/>
                <w:sz w:val="21"/>
                <w:szCs w:val="21"/>
                <w:lang w:val="en-US" w:eastAsia="zh-CN" w:bidi="ar"/>
              </w:rPr>
              <w:t>2</w:t>
            </w:r>
          </w:p>
        </w:tc>
        <w:tc>
          <w:tcPr>
            <w:tcW w:w="1447" w:type="dxa"/>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1"/>
                <w:szCs w:val="21"/>
              </w:rPr>
            </w:pPr>
            <w:r>
              <w:rPr>
                <w:rStyle w:val="8"/>
                <w:rFonts w:ascii="宋体" w:hAnsi="宋体" w:eastAsia="宋体" w:cs="宋体"/>
                <w:kern w:val="0"/>
                <w:sz w:val="21"/>
                <w:szCs w:val="21"/>
                <w:lang w:val="en-US" w:eastAsia="zh-CN" w:bidi="ar"/>
              </w:rPr>
              <w:t>合资公司（新公司）治理</w:t>
            </w:r>
          </w:p>
        </w:tc>
        <w:tc>
          <w:tcPr>
            <w:tcW w:w="1758" w:type="dxa"/>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1"/>
                <w:szCs w:val="21"/>
              </w:rPr>
            </w:pPr>
            <w:r>
              <w:rPr>
                <w:rFonts w:ascii="宋体" w:hAnsi="宋体" w:eastAsia="宋体" w:cs="宋体"/>
                <w:kern w:val="0"/>
                <w:sz w:val="21"/>
                <w:szCs w:val="21"/>
                <w:lang w:val="en-US" w:eastAsia="zh-CN" w:bidi="ar"/>
              </w:rPr>
              <w:t>协议未明确新公司治理细节，仅简单约定“甲方委派法人代表”。</w:t>
            </w:r>
          </w:p>
        </w:tc>
        <w:tc>
          <w:tcPr>
            <w:tcW w:w="2399" w:type="dxa"/>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1"/>
                <w:szCs w:val="21"/>
              </w:rPr>
            </w:pPr>
            <w:r>
              <w:rPr>
                <w:rStyle w:val="8"/>
                <w:rFonts w:ascii="宋体" w:hAnsi="宋体" w:eastAsia="宋体" w:cs="宋体"/>
                <w:kern w:val="0"/>
                <w:sz w:val="21"/>
                <w:szCs w:val="21"/>
                <w:lang w:val="en-US" w:eastAsia="zh-CN" w:bidi="ar"/>
              </w:rPr>
              <w:t>新增详细条款</w:t>
            </w:r>
            <w:r>
              <w:rPr>
                <w:rFonts w:ascii="宋体" w:hAnsi="宋体" w:eastAsia="宋体" w:cs="宋体"/>
                <w:kern w:val="0"/>
                <w:sz w:val="21"/>
                <w:szCs w:val="21"/>
                <w:lang w:val="en-US" w:eastAsia="zh-CN" w:bidi="ar"/>
              </w:rPr>
              <w:t>：甲方委派法人代表并持有财务印鉴和U盾；乙方持有公章、营业执照、审核U盾；</w:t>
            </w:r>
            <w:r>
              <w:rPr>
                <w:rStyle w:val="8"/>
                <w:rFonts w:ascii="宋体" w:hAnsi="宋体" w:eastAsia="宋体" w:cs="宋体"/>
                <w:kern w:val="0"/>
                <w:sz w:val="21"/>
                <w:szCs w:val="21"/>
                <w:lang w:val="en-US" w:eastAsia="zh-CN" w:bidi="ar"/>
              </w:rPr>
              <w:t>乙方使用公章须经法人代表同意</w:t>
            </w:r>
            <w:r>
              <w:rPr>
                <w:rFonts w:ascii="宋体" w:hAnsi="宋体" w:eastAsia="宋体" w:cs="宋体"/>
                <w:kern w:val="0"/>
                <w:sz w:val="21"/>
                <w:szCs w:val="21"/>
                <w:lang w:val="en-US" w:eastAsia="zh-CN" w:bidi="ar"/>
              </w:rPr>
              <w:t>，且</w:t>
            </w:r>
            <w:r>
              <w:rPr>
                <w:rStyle w:val="8"/>
                <w:rFonts w:ascii="宋体" w:hAnsi="宋体" w:eastAsia="宋体" w:cs="宋体"/>
                <w:kern w:val="0"/>
                <w:sz w:val="21"/>
                <w:szCs w:val="21"/>
                <w:lang w:val="en-US" w:eastAsia="zh-CN" w:bidi="ar"/>
              </w:rPr>
              <w:t>不得以新公司名义对外担保、借贷或发生债务关系</w:t>
            </w:r>
            <w:r>
              <w:rPr>
                <w:rFonts w:ascii="宋体" w:hAnsi="宋体" w:eastAsia="宋体" w:cs="宋体"/>
                <w:kern w:val="0"/>
                <w:sz w:val="21"/>
                <w:szCs w:val="21"/>
                <w:lang w:val="en-US" w:eastAsia="zh-CN" w:bidi="ar"/>
              </w:rPr>
              <w:t xml:space="preserve">，否则损失由乙方承担。 </w:t>
            </w:r>
          </w:p>
        </w:tc>
        <w:tc>
          <w:tcPr>
            <w:tcW w:w="3490" w:type="dxa"/>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1"/>
                <w:szCs w:val="21"/>
              </w:rPr>
            </w:pPr>
            <w:r>
              <w:rPr>
                <w:rStyle w:val="8"/>
                <w:rFonts w:ascii="宋体" w:hAnsi="宋体" w:eastAsia="宋体" w:cs="宋体"/>
                <w:kern w:val="0"/>
                <w:sz w:val="21"/>
                <w:szCs w:val="21"/>
                <w:lang w:val="en-US" w:eastAsia="zh-CN" w:bidi="ar"/>
              </w:rPr>
              <w:t>有利修改</w:t>
            </w:r>
            <w:r>
              <w:rPr>
                <w:rFonts w:ascii="宋体" w:hAnsi="宋体" w:eastAsia="宋体" w:cs="宋体"/>
                <w:kern w:val="0"/>
                <w:sz w:val="21"/>
                <w:szCs w:val="21"/>
                <w:lang w:val="en-US" w:eastAsia="zh-CN" w:bidi="ar"/>
              </w:rPr>
              <w:t>。这直接回应了公章共管和公司控制权的核心风险，甲方获得了“一票否决权”。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582" w:type="dxa"/>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sz w:val="21"/>
                <w:szCs w:val="21"/>
              </w:rPr>
            </w:pPr>
            <w:r>
              <w:rPr>
                <w:rStyle w:val="8"/>
                <w:rFonts w:ascii="宋体" w:hAnsi="宋体" w:eastAsia="宋体" w:cs="宋体"/>
                <w:kern w:val="0"/>
                <w:sz w:val="21"/>
                <w:szCs w:val="21"/>
                <w:lang w:val="en-US" w:eastAsia="zh-CN" w:bidi="ar"/>
              </w:rPr>
              <w:t>3</w:t>
            </w:r>
          </w:p>
        </w:tc>
        <w:tc>
          <w:tcPr>
            <w:tcW w:w="1447" w:type="dxa"/>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1"/>
                <w:szCs w:val="21"/>
              </w:rPr>
            </w:pPr>
            <w:r>
              <w:rPr>
                <w:rStyle w:val="8"/>
                <w:rFonts w:ascii="宋体" w:hAnsi="宋体" w:eastAsia="宋体" w:cs="宋体"/>
                <w:kern w:val="0"/>
                <w:sz w:val="21"/>
                <w:szCs w:val="21"/>
                <w:lang w:val="en-US" w:eastAsia="zh-CN" w:bidi="ar"/>
              </w:rPr>
              <w:t>新公司经营限制</w:t>
            </w:r>
          </w:p>
        </w:tc>
        <w:tc>
          <w:tcPr>
            <w:tcW w:w="1758" w:type="dxa"/>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1"/>
                <w:szCs w:val="21"/>
              </w:rPr>
            </w:pPr>
            <w:r>
              <w:rPr>
                <w:rFonts w:ascii="宋体" w:hAnsi="宋体" w:eastAsia="宋体" w:cs="宋体"/>
                <w:kern w:val="0"/>
                <w:sz w:val="21"/>
                <w:szCs w:val="21"/>
                <w:lang w:val="en-US" w:eastAsia="zh-CN" w:bidi="ar"/>
              </w:rPr>
              <w:t>无此条款。</w:t>
            </w:r>
          </w:p>
        </w:tc>
        <w:tc>
          <w:tcPr>
            <w:tcW w:w="2399" w:type="dxa"/>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1"/>
                <w:szCs w:val="21"/>
              </w:rPr>
            </w:pPr>
            <w:r>
              <w:rPr>
                <w:rStyle w:val="8"/>
                <w:rFonts w:ascii="宋体" w:hAnsi="宋体" w:eastAsia="宋体" w:cs="宋体"/>
                <w:kern w:val="0"/>
                <w:sz w:val="21"/>
                <w:szCs w:val="21"/>
                <w:lang w:val="en-US" w:eastAsia="zh-CN" w:bidi="ar"/>
              </w:rPr>
              <w:t>新增</w:t>
            </w:r>
            <w:r>
              <w:rPr>
                <w:rFonts w:ascii="宋体" w:hAnsi="宋体" w:eastAsia="宋体" w:cs="宋体"/>
                <w:kern w:val="0"/>
                <w:sz w:val="21"/>
                <w:szCs w:val="21"/>
                <w:lang w:val="en-US" w:eastAsia="zh-CN" w:bidi="ar"/>
              </w:rPr>
              <w:t>：一年之内（即甲方收购乙方股权之前），除税务申报和接受以物抵债外，</w:t>
            </w:r>
            <w:r>
              <w:rPr>
                <w:rStyle w:val="8"/>
                <w:rFonts w:ascii="宋体" w:hAnsi="宋体" w:eastAsia="宋体" w:cs="宋体"/>
                <w:kern w:val="0"/>
                <w:sz w:val="21"/>
                <w:szCs w:val="21"/>
                <w:lang w:val="en-US" w:eastAsia="zh-CN" w:bidi="ar"/>
              </w:rPr>
              <w:t>新公司不得开展任何实质性经营活动</w:t>
            </w:r>
            <w:r>
              <w:rPr>
                <w:rFonts w:ascii="宋体" w:hAnsi="宋体" w:eastAsia="宋体" w:cs="宋体"/>
                <w:kern w:val="0"/>
                <w:sz w:val="21"/>
                <w:szCs w:val="21"/>
                <w:lang w:val="en-US" w:eastAsia="zh-CN" w:bidi="ar"/>
              </w:rPr>
              <w:t xml:space="preserve">。 </w:t>
            </w:r>
          </w:p>
        </w:tc>
        <w:tc>
          <w:tcPr>
            <w:tcW w:w="3490" w:type="dxa"/>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1"/>
                <w:szCs w:val="21"/>
              </w:rPr>
            </w:pPr>
            <w:r>
              <w:rPr>
                <w:rStyle w:val="8"/>
                <w:rFonts w:ascii="宋体" w:hAnsi="宋体" w:eastAsia="宋体" w:cs="宋体"/>
                <w:kern w:val="0"/>
                <w:sz w:val="21"/>
                <w:szCs w:val="21"/>
                <w:lang w:val="en-US" w:eastAsia="zh-CN" w:bidi="ar"/>
              </w:rPr>
              <w:t>有利修改</w:t>
            </w:r>
            <w:r>
              <w:rPr>
                <w:rFonts w:ascii="宋体" w:hAnsi="宋体" w:eastAsia="宋体" w:cs="宋体"/>
                <w:kern w:val="0"/>
                <w:sz w:val="21"/>
                <w:szCs w:val="21"/>
                <w:lang w:val="en-US" w:eastAsia="zh-CN" w:bidi="ar"/>
              </w:rPr>
              <w:t>。这是对“公章共管”条款的强力补充，确保新公司在交易完成前只是一个干净的“壳”，避免了乙方在此期间制造新的债务或经营亏损。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582" w:type="dxa"/>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sz w:val="21"/>
                <w:szCs w:val="21"/>
              </w:rPr>
            </w:pPr>
            <w:r>
              <w:rPr>
                <w:rStyle w:val="8"/>
                <w:rFonts w:ascii="宋体" w:hAnsi="宋体" w:eastAsia="宋体" w:cs="宋体"/>
                <w:kern w:val="0"/>
                <w:sz w:val="21"/>
                <w:szCs w:val="21"/>
                <w:lang w:val="en-US" w:eastAsia="zh-CN" w:bidi="ar"/>
              </w:rPr>
              <w:t>4</w:t>
            </w:r>
          </w:p>
        </w:tc>
        <w:tc>
          <w:tcPr>
            <w:tcW w:w="1447" w:type="dxa"/>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1"/>
                <w:szCs w:val="21"/>
              </w:rPr>
            </w:pPr>
            <w:r>
              <w:rPr>
                <w:rStyle w:val="8"/>
                <w:rFonts w:ascii="宋体" w:hAnsi="宋体" w:eastAsia="宋体" w:cs="宋体"/>
                <w:kern w:val="0"/>
                <w:sz w:val="21"/>
                <w:szCs w:val="21"/>
                <w:lang w:val="en-US" w:eastAsia="zh-CN" w:bidi="ar"/>
              </w:rPr>
              <w:t>注册资本实缴</w:t>
            </w:r>
          </w:p>
        </w:tc>
        <w:tc>
          <w:tcPr>
            <w:tcW w:w="1758" w:type="dxa"/>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1"/>
                <w:szCs w:val="21"/>
              </w:rPr>
            </w:pPr>
            <w:r>
              <w:rPr>
                <w:rFonts w:ascii="宋体" w:hAnsi="宋体" w:eastAsia="宋体" w:cs="宋体"/>
                <w:kern w:val="0"/>
                <w:sz w:val="21"/>
                <w:szCs w:val="21"/>
                <w:lang w:val="en-US" w:eastAsia="zh-CN" w:bidi="ar"/>
              </w:rPr>
              <w:t>协议约定新公司注册资金1亿元，但</w:t>
            </w:r>
            <w:r>
              <w:rPr>
                <w:rStyle w:val="8"/>
                <w:rFonts w:ascii="宋体" w:hAnsi="宋体" w:eastAsia="宋体" w:cs="宋体"/>
                <w:kern w:val="0"/>
                <w:sz w:val="21"/>
                <w:szCs w:val="21"/>
                <w:lang w:val="en-US" w:eastAsia="zh-CN" w:bidi="ar"/>
              </w:rPr>
              <w:t>未明确实缴时间</w:t>
            </w:r>
            <w:r>
              <w:rPr>
                <w:rFonts w:ascii="宋体" w:hAnsi="宋体" w:eastAsia="宋体" w:cs="宋体"/>
                <w:kern w:val="0"/>
                <w:sz w:val="21"/>
                <w:szCs w:val="21"/>
                <w:lang w:val="en-US" w:eastAsia="zh-CN" w:bidi="ar"/>
              </w:rPr>
              <w:t>。</w:t>
            </w:r>
          </w:p>
        </w:tc>
        <w:tc>
          <w:tcPr>
            <w:tcW w:w="2399" w:type="dxa"/>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1"/>
                <w:szCs w:val="21"/>
              </w:rPr>
            </w:pPr>
            <w:r>
              <w:rPr>
                <w:rStyle w:val="8"/>
                <w:rFonts w:ascii="宋体" w:hAnsi="宋体" w:eastAsia="宋体" w:cs="宋体"/>
                <w:kern w:val="0"/>
                <w:sz w:val="21"/>
                <w:szCs w:val="21"/>
                <w:lang w:val="en-US" w:eastAsia="zh-CN" w:bidi="ar"/>
              </w:rPr>
              <w:t>新增</w:t>
            </w:r>
            <w:r>
              <w:rPr>
                <w:rFonts w:ascii="宋体" w:hAnsi="宋体" w:eastAsia="宋体" w:cs="宋体"/>
                <w:kern w:val="0"/>
                <w:sz w:val="21"/>
                <w:szCs w:val="21"/>
                <w:lang w:val="en-US" w:eastAsia="zh-CN" w:bidi="ar"/>
              </w:rPr>
              <w:t>：</w:t>
            </w:r>
            <w:r>
              <w:rPr>
                <w:rStyle w:val="8"/>
                <w:rFonts w:ascii="宋体" w:hAnsi="宋体" w:eastAsia="宋体" w:cs="宋体"/>
                <w:kern w:val="0"/>
                <w:sz w:val="21"/>
                <w:szCs w:val="21"/>
                <w:lang w:val="en-US" w:eastAsia="zh-CN" w:bidi="ar"/>
              </w:rPr>
              <w:t>一年之后，甲方收购乙方的股权并完成注册资金的实际缴纳</w:t>
            </w:r>
            <w:r>
              <w:rPr>
                <w:rFonts w:ascii="宋体" w:hAnsi="宋体" w:eastAsia="宋体" w:cs="宋体"/>
                <w:kern w:val="0"/>
                <w:sz w:val="21"/>
                <w:szCs w:val="21"/>
                <w:lang w:val="en-US" w:eastAsia="zh-CN" w:bidi="ar"/>
              </w:rPr>
              <w:t xml:space="preserve">。 </w:t>
            </w:r>
          </w:p>
        </w:tc>
        <w:tc>
          <w:tcPr>
            <w:tcW w:w="3490" w:type="dxa"/>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1"/>
                <w:szCs w:val="21"/>
              </w:rPr>
            </w:pPr>
            <w:r>
              <w:rPr>
                <w:rStyle w:val="8"/>
                <w:rFonts w:ascii="宋体" w:hAnsi="宋体" w:eastAsia="宋体" w:cs="宋体"/>
                <w:kern w:val="0"/>
                <w:sz w:val="21"/>
                <w:szCs w:val="21"/>
                <w:lang w:val="en-US" w:eastAsia="zh-CN" w:bidi="ar"/>
              </w:rPr>
              <w:t>有利修改</w:t>
            </w:r>
            <w:r>
              <w:rPr>
                <w:rFonts w:ascii="宋体" w:hAnsi="宋体" w:eastAsia="宋体" w:cs="宋体"/>
                <w:kern w:val="0"/>
                <w:sz w:val="21"/>
                <w:szCs w:val="21"/>
                <w:lang w:val="en-US" w:eastAsia="zh-CN" w:bidi="ar"/>
              </w:rPr>
              <w:t>。避免了甲方在尽调未完成、交易风险未解除前就需要承担实缴1亿元注册资本的义务，极大地保护了甲方的现金流。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582" w:type="dxa"/>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sz w:val="21"/>
                <w:szCs w:val="21"/>
              </w:rPr>
            </w:pPr>
            <w:r>
              <w:rPr>
                <w:rStyle w:val="8"/>
                <w:rFonts w:ascii="宋体" w:hAnsi="宋体" w:eastAsia="宋体" w:cs="宋体"/>
                <w:kern w:val="0"/>
                <w:sz w:val="21"/>
                <w:szCs w:val="21"/>
                <w:lang w:val="en-US" w:eastAsia="zh-CN" w:bidi="ar"/>
              </w:rPr>
              <w:t>5</w:t>
            </w:r>
          </w:p>
        </w:tc>
        <w:tc>
          <w:tcPr>
            <w:tcW w:w="1447" w:type="dxa"/>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1"/>
                <w:szCs w:val="21"/>
              </w:rPr>
            </w:pPr>
            <w:r>
              <w:rPr>
                <w:rStyle w:val="8"/>
                <w:rFonts w:ascii="宋体" w:hAnsi="宋体" w:eastAsia="宋体" w:cs="宋体"/>
                <w:kern w:val="0"/>
                <w:sz w:val="21"/>
                <w:szCs w:val="21"/>
                <w:lang w:val="en-US" w:eastAsia="zh-CN" w:bidi="ar"/>
              </w:rPr>
              <w:t>债权包过户标的</w:t>
            </w:r>
          </w:p>
        </w:tc>
        <w:tc>
          <w:tcPr>
            <w:tcW w:w="1758" w:type="dxa"/>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1"/>
                <w:szCs w:val="21"/>
              </w:rPr>
            </w:pPr>
            <w:r>
              <w:rPr>
                <w:rFonts w:ascii="宋体" w:hAnsi="宋体" w:eastAsia="宋体" w:cs="宋体"/>
                <w:kern w:val="0"/>
                <w:sz w:val="21"/>
                <w:szCs w:val="21"/>
                <w:lang w:val="en-US" w:eastAsia="zh-CN" w:bidi="ar"/>
              </w:rPr>
              <w:t xml:space="preserve">“将‘龙鑫煤矿’采矿权归属到‘新公司’名下”。 </w:t>
            </w:r>
          </w:p>
        </w:tc>
        <w:tc>
          <w:tcPr>
            <w:tcW w:w="2399" w:type="dxa"/>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1"/>
                <w:szCs w:val="21"/>
              </w:rPr>
            </w:pPr>
            <w:r>
              <w:rPr>
                <w:rFonts w:ascii="宋体" w:hAnsi="宋体" w:eastAsia="宋体" w:cs="宋体"/>
                <w:kern w:val="0"/>
                <w:sz w:val="21"/>
                <w:szCs w:val="21"/>
                <w:lang w:val="en-US" w:eastAsia="zh-CN" w:bidi="ar"/>
              </w:rPr>
              <w:t>“将‘龙鑫煤矿’采矿权</w:t>
            </w:r>
            <w:r>
              <w:rPr>
                <w:rStyle w:val="8"/>
                <w:rFonts w:ascii="宋体" w:hAnsi="宋体" w:eastAsia="宋体" w:cs="宋体"/>
                <w:kern w:val="0"/>
                <w:sz w:val="21"/>
                <w:szCs w:val="21"/>
                <w:lang w:val="en-US" w:eastAsia="zh-CN" w:bidi="ar"/>
              </w:rPr>
              <w:t>债权包</w:t>
            </w:r>
            <w:r>
              <w:rPr>
                <w:rFonts w:ascii="宋体" w:hAnsi="宋体" w:eastAsia="宋体" w:cs="宋体"/>
                <w:kern w:val="0"/>
                <w:sz w:val="21"/>
                <w:szCs w:val="21"/>
                <w:lang w:val="en-US" w:eastAsia="zh-CN" w:bidi="ar"/>
              </w:rPr>
              <w:t xml:space="preserve">归属到‘新公司’名下的变更手续”。 </w:t>
            </w:r>
          </w:p>
        </w:tc>
        <w:tc>
          <w:tcPr>
            <w:tcW w:w="3490" w:type="dxa"/>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1"/>
                <w:szCs w:val="21"/>
              </w:rPr>
            </w:pPr>
            <w:r>
              <w:rPr>
                <w:rStyle w:val="8"/>
                <w:rFonts w:ascii="宋体" w:hAnsi="宋体" w:eastAsia="宋体" w:cs="宋体"/>
                <w:kern w:val="0"/>
                <w:sz w:val="21"/>
                <w:szCs w:val="21"/>
                <w:lang w:val="en-US" w:eastAsia="zh-CN" w:bidi="ar"/>
              </w:rPr>
              <w:t>重要不利修改</w:t>
            </w:r>
            <w:r>
              <w:rPr>
                <w:rFonts w:ascii="宋体" w:hAnsi="宋体" w:eastAsia="宋体" w:cs="宋体"/>
                <w:kern w:val="0"/>
                <w:sz w:val="21"/>
                <w:szCs w:val="21"/>
                <w:lang w:val="en-US" w:eastAsia="zh-CN" w:bidi="ar"/>
              </w:rPr>
              <w:t xml:space="preserve">（新埋下的地雷）。购买的是“债权包”而非直接获得“采矿权”。这赋予了乙方更大的操作空间——他可能将其持有的价值存疑的、与龙鑫矿相关的多个债权打包卖给新公司，而不是直接实现“采矿权”的过户。这增加了甲方的风险，因为“采矿权”能否最终落到新公司名下，仍然取决于法院是否会做出以物抵债裁定。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582" w:type="dxa"/>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sz w:val="21"/>
                <w:szCs w:val="21"/>
              </w:rPr>
            </w:pPr>
            <w:r>
              <w:rPr>
                <w:rStyle w:val="8"/>
                <w:rFonts w:ascii="宋体" w:hAnsi="宋体" w:eastAsia="宋体" w:cs="宋体"/>
                <w:kern w:val="0"/>
                <w:sz w:val="21"/>
                <w:szCs w:val="21"/>
                <w:lang w:val="en-US" w:eastAsia="zh-CN" w:bidi="ar"/>
              </w:rPr>
              <w:t>6</w:t>
            </w:r>
          </w:p>
        </w:tc>
        <w:tc>
          <w:tcPr>
            <w:tcW w:w="1447" w:type="dxa"/>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1"/>
                <w:szCs w:val="21"/>
              </w:rPr>
            </w:pPr>
            <w:r>
              <w:rPr>
                <w:rStyle w:val="8"/>
                <w:rFonts w:ascii="宋体" w:hAnsi="宋体" w:eastAsia="宋体" w:cs="宋体"/>
                <w:kern w:val="0"/>
                <w:sz w:val="21"/>
                <w:szCs w:val="21"/>
                <w:lang w:val="en-US" w:eastAsia="zh-CN" w:bidi="ar"/>
              </w:rPr>
              <w:t>石桥煤矿履约保证</w:t>
            </w:r>
            <w:r>
              <w:rPr>
                <w:rFonts w:ascii="宋体" w:hAnsi="宋体" w:eastAsia="宋体" w:cs="宋体"/>
                <w:kern w:val="0"/>
                <w:sz w:val="21"/>
                <w:szCs w:val="21"/>
                <w:lang w:val="en-US" w:eastAsia="zh-CN" w:bidi="ar"/>
              </w:rPr>
              <w:t xml:space="preserve"> </w:t>
            </w:r>
          </w:p>
        </w:tc>
        <w:tc>
          <w:tcPr>
            <w:tcW w:w="1758" w:type="dxa"/>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1"/>
                <w:szCs w:val="21"/>
              </w:rPr>
            </w:pPr>
            <w:r>
              <w:rPr>
                <w:rFonts w:ascii="宋体" w:hAnsi="宋体" w:eastAsia="宋体" w:cs="宋体"/>
                <w:kern w:val="0"/>
                <w:sz w:val="21"/>
                <w:szCs w:val="21"/>
                <w:lang w:val="en-US" w:eastAsia="zh-CN" w:bidi="ar"/>
              </w:rPr>
              <w:t>初稿条款5中对“石桥煤矿”的约定较模糊。</w:t>
            </w:r>
          </w:p>
        </w:tc>
        <w:tc>
          <w:tcPr>
            <w:tcW w:w="2399" w:type="dxa"/>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1"/>
                <w:szCs w:val="21"/>
              </w:rPr>
            </w:pPr>
            <w:r>
              <w:rPr>
                <w:rStyle w:val="8"/>
                <w:rFonts w:ascii="宋体" w:hAnsi="宋体" w:eastAsia="宋体" w:cs="宋体"/>
                <w:kern w:val="0"/>
                <w:sz w:val="21"/>
                <w:szCs w:val="21"/>
                <w:lang w:val="en-US" w:eastAsia="zh-CN" w:bidi="ar"/>
              </w:rPr>
              <w:t>新增情形</w:t>
            </w:r>
            <w:r>
              <w:rPr>
                <w:rFonts w:ascii="宋体" w:hAnsi="宋体" w:eastAsia="宋体" w:cs="宋体"/>
                <w:kern w:val="0"/>
                <w:sz w:val="21"/>
                <w:szCs w:val="21"/>
                <w:lang w:val="en-US" w:eastAsia="zh-CN" w:bidi="ar"/>
              </w:rPr>
              <w:t>：</w:t>
            </w:r>
            <w:r>
              <w:rPr>
                <w:rStyle w:val="8"/>
                <w:rFonts w:ascii="宋体" w:hAnsi="宋体" w:eastAsia="宋体" w:cs="宋体"/>
                <w:kern w:val="0"/>
                <w:sz w:val="21"/>
                <w:szCs w:val="21"/>
                <w:lang w:val="en-US" w:eastAsia="zh-CN" w:bidi="ar"/>
              </w:rPr>
              <w:t>若有第三方出价竞得“石桥煤矿”，导致甲方未能竞得的，乙方在竞拍结束后三个工作日内无息退还甲方缴纳的履约定金300万元。</w:t>
            </w:r>
            <w:r>
              <w:rPr>
                <w:rFonts w:ascii="宋体" w:hAnsi="宋体" w:eastAsia="宋体" w:cs="宋体"/>
                <w:kern w:val="0"/>
                <w:sz w:val="21"/>
                <w:szCs w:val="21"/>
                <w:lang w:val="en-US" w:eastAsia="zh-CN" w:bidi="ar"/>
              </w:rPr>
              <w:t xml:space="preserve"> </w:t>
            </w:r>
          </w:p>
        </w:tc>
        <w:tc>
          <w:tcPr>
            <w:tcW w:w="3490" w:type="dxa"/>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1"/>
                <w:szCs w:val="21"/>
              </w:rPr>
            </w:pPr>
            <w:r>
              <w:rPr>
                <w:rStyle w:val="8"/>
                <w:rFonts w:ascii="宋体" w:hAnsi="宋体" w:eastAsia="宋体" w:cs="宋体"/>
                <w:kern w:val="0"/>
                <w:sz w:val="21"/>
                <w:szCs w:val="21"/>
                <w:lang w:val="en-US" w:eastAsia="zh-CN" w:bidi="ar"/>
              </w:rPr>
              <w:t>有利修改</w:t>
            </w:r>
            <w:r>
              <w:rPr>
                <w:rFonts w:ascii="宋体" w:hAnsi="宋体" w:eastAsia="宋体" w:cs="宋体"/>
                <w:kern w:val="0"/>
                <w:sz w:val="21"/>
                <w:szCs w:val="21"/>
                <w:lang w:val="en-US" w:eastAsia="zh-CN" w:bidi="ar"/>
              </w:rPr>
              <w:t>。弥补了初稿中的重大漏洞，明确了第三方竞得时，乙方须全额退还对应定金，保护了甲方的权益，将石桥煤矿的风险从“甲方独自承担”变为“双方共同面对市场风险”。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582" w:type="dxa"/>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sz w:val="21"/>
                <w:szCs w:val="21"/>
              </w:rPr>
            </w:pPr>
            <w:r>
              <w:rPr>
                <w:rStyle w:val="8"/>
                <w:rFonts w:ascii="宋体" w:hAnsi="宋体" w:eastAsia="宋体" w:cs="宋体"/>
                <w:kern w:val="0"/>
                <w:sz w:val="21"/>
                <w:szCs w:val="21"/>
                <w:lang w:val="en-US" w:eastAsia="zh-CN" w:bidi="ar"/>
              </w:rPr>
              <w:t>7</w:t>
            </w:r>
          </w:p>
        </w:tc>
        <w:tc>
          <w:tcPr>
            <w:tcW w:w="1447" w:type="dxa"/>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1"/>
                <w:szCs w:val="21"/>
              </w:rPr>
            </w:pPr>
            <w:r>
              <w:rPr>
                <w:rStyle w:val="8"/>
                <w:rFonts w:ascii="宋体" w:hAnsi="宋体" w:eastAsia="宋体" w:cs="宋体"/>
                <w:kern w:val="0"/>
                <w:sz w:val="21"/>
                <w:szCs w:val="21"/>
                <w:lang w:val="en-US" w:eastAsia="zh-CN" w:bidi="ar"/>
              </w:rPr>
              <w:t>违约责任·甲方违约后果</w:t>
            </w:r>
          </w:p>
        </w:tc>
        <w:tc>
          <w:tcPr>
            <w:tcW w:w="1758" w:type="dxa"/>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1"/>
                <w:szCs w:val="21"/>
              </w:rPr>
            </w:pPr>
            <w:r>
              <w:rPr>
                <w:rFonts w:ascii="宋体" w:hAnsi="宋体" w:eastAsia="宋体" w:cs="宋体"/>
                <w:kern w:val="0"/>
                <w:sz w:val="21"/>
                <w:szCs w:val="21"/>
                <w:lang w:val="en-US" w:eastAsia="zh-CN" w:bidi="ar"/>
              </w:rPr>
              <w:t xml:space="preserve">甲方违约后果极其严重（没收700万+无偿转股+免债1亿）。 </w:t>
            </w:r>
          </w:p>
        </w:tc>
        <w:tc>
          <w:tcPr>
            <w:tcW w:w="2399" w:type="dxa"/>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1"/>
                <w:szCs w:val="21"/>
              </w:rPr>
            </w:pPr>
            <w:r>
              <w:rPr>
                <w:rStyle w:val="8"/>
                <w:rFonts w:ascii="宋体" w:hAnsi="宋体" w:eastAsia="宋体" w:cs="宋体"/>
                <w:kern w:val="0"/>
                <w:sz w:val="21"/>
                <w:szCs w:val="21"/>
                <w:lang w:val="en-US" w:eastAsia="zh-CN" w:bidi="ar"/>
              </w:rPr>
              <w:t>未作修改，完全保留</w:t>
            </w:r>
            <w:r>
              <w:rPr>
                <w:rFonts w:ascii="宋体" w:hAnsi="宋体" w:eastAsia="宋体" w:cs="宋体"/>
                <w:kern w:val="0"/>
                <w:sz w:val="21"/>
                <w:szCs w:val="21"/>
                <w:lang w:val="en-US" w:eastAsia="zh-CN" w:bidi="ar"/>
              </w:rPr>
              <w:t>。</w:t>
            </w:r>
          </w:p>
        </w:tc>
        <w:tc>
          <w:tcPr>
            <w:tcW w:w="3490" w:type="dxa"/>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1"/>
                <w:szCs w:val="21"/>
              </w:rPr>
            </w:pPr>
            <w:r>
              <w:rPr>
                <w:rStyle w:val="8"/>
                <w:rFonts w:ascii="宋体" w:hAnsi="宋体" w:eastAsia="宋体" w:cs="宋体"/>
                <w:kern w:val="0"/>
                <w:sz w:val="21"/>
                <w:szCs w:val="21"/>
                <w:lang w:val="en-US" w:eastAsia="zh-CN" w:bidi="ar"/>
              </w:rPr>
              <w:t>无改进，核心毒丸仍在</w:t>
            </w:r>
            <w:r>
              <w:rPr>
                <w:rFonts w:ascii="宋体" w:hAnsi="宋体" w:eastAsia="宋体" w:cs="宋体"/>
                <w:kern w:val="0"/>
                <w:sz w:val="21"/>
                <w:szCs w:val="21"/>
                <w:lang w:val="en-US" w:eastAsia="zh-CN" w:bidi="ar"/>
              </w:rPr>
              <w:t>。这是整份协议最致命的条款，必须修改。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582" w:type="dxa"/>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sz w:val="21"/>
                <w:szCs w:val="21"/>
              </w:rPr>
            </w:pPr>
            <w:r>
              <w:rPr>
                <w:rStyle w:val="8"/>
                <w:rFonts w:ascii="宋体" w:hAnsi="宋体" w:eastAsia="宋体" w:cs="宋体"/>
                <w:kern w:val="0"/>
                <w:sz w:val="21"/>
                <w:szCs w:val="21"/>
                <w:lang w:val="en-US" w:eastAsia="zh-CN" w:bidi="ar"/>
              </w:rPr>
              <w:t>8</w:t>
            </w:r>
          </w:p>
        </w:tc>
        <w:tc>
          <w:tcPr>
            <w:tcW w:w="1447" w:type="dxa"/>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1"/>
                <w:szCs w:val="21"/>
              </w:rPr>
            </w:pPr>
            <w:r>
              <w:rPr>
                <w:rStyle w:val="8"/>
                <w:rFonts w:ascii="宋体" w:hAnsi="宋体" w:eastAsia="宋体" w:cs="宋体"/>
                <w:kern w:val="0"/>
                <w:sz w:val="21"/>
                <w:szCs w:val="21"/>
                <w:lang w:val="en-US" w:eastAsia="zh-CN" w:bidi="ar"/>
              </w:rPr>
              <w:t>流程先后顺序</w:t>
            </w:r>
          </w:p>
        </w:tc>
        <w:tc>
          <w:tcPr>
            <w:tcW w:w="1758" w:type="dxa"/>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1"/>
                <w:szCs w:val="21"/>
              </w:rPr>
            </w:pPr>
            <w:r>
              <w:rPr>
                <w:rFonts w:ascii="宋体" w:hAnsi="宋体" w:eastAsia="宋体" w:cs="宋体"/>
                <w:kern w:val="0"/>
                <w:sz w:val="21"/>
                <w:szCs w:val="21"/>
                <w:lang w:val="en-US" w:eastAsia="zh-CN" w:bidi="ar"/>
              </w:rPr>
              <w:t>流程顺序表述较笼统。</w:t>
            </w:r>
          </w:p>
        </w:tc>
        <w:tc>
          <w:tcPr>
            <w:tcW w:w="2399" w:type="dxa"/>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1"/>
                <w:szCs w:val="21"/>
              </w:rPr>
            </w:pPr>
            <w:r>
              <w:rPr>
                <w:rFonts w:ascii="宋体" w:hAnsi="宋体" w:eastAsia="宋体" w:cs="宋体"/>
                <w:kern w:val="0"/>
                <w:sz w:val="21"/>
                <w:szCs w:val="21"/>
                <w:lang w:val="en-US" w:eastAsia="zh-CN" w:bidi="ar"/>
              </w:rPr>
              <w:t>将“法院作出以物抵债裁定”更明确地作为甲方收购股权的</w:t>
            </w:r>
            <w:r>
              <w:rPr>
                <w:rStyle w:val="8"/>
                <w:rFonts w:ascii="宋体" w:hAnsi="宋体" w:eastAsia="宋体" w:cs="宋体"/>
                <w:kern w:val="0"/>
                <w:sz w:val="21"/>
                <w:szCs w:val="21"/>
                <w:lang w:val="en-US" w:eastAsia="zh-CN" w:bidi="ar"/>
              </w:rPr>
              <w:t>前置条件</w:t>
            </w:r>
            <w:r>
              <w:rPr>
                <w:rFonts w:ascii="宋体" w:hAnsi="宋体" w:eastAsia="宋体" w:cs="宋体"/>
                <w:kern w:val="0"/>
                <w:sz w:val="21"/>
                <w:szCs w:val="21"/>
                <w:lang w:val="en-US" w:eastAsia="zh-CN" w:bidi="ar"/>
              </w:rPr>
              <w:t xml:space="preserve">。 </w:t>
            </w:r>
          </w:p>
        </w:tc>
        <w:tc>
          <w:tcPr>
            <w:tcW w:w="3490" w:type="dxa"/>
            <w:shd w:val="clear"/>
            <w:vAlign w:val="center"/>
          </w:tcPr>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1"/>
                <w:szCs w:val="21"/>
              </w:rPr>
            </w:pPr>
            <w:r>
              <w:rPr>
                <w:rStyle w:val="8"/>
                <w:rFonts w:ascii="宋体" w:hAnsi="宋体" w:eastAsia="宋体" w:cs="宋体"/>
                <w:kern w:val="0"/>
                <w:sz w:val="21"/>
                <w:szCs w:val="21"/>
                <w:lang w:val="en-US" w:eastAsia="zh-CN" w:bidi="ar"/>
              </w:rPr>
              <w:t>有利修改</w:t>
            </w:r>
            <w:r>
              <w:rPr>
                <w:rFonts w:ascii="宋体" w:hAnsi="宋体" w:eastAsia="宋体" w:cs="宋体"/>
                <w:kern w:val="0"/>
                <w:sz w:val="21"/>
                <w:szCs w:val="21"/>
                <w:lang w:val="en-US" w:eastAsia="zh-CN" w:bidi="ar"/>
              </w:rPr>
              <w:t>。明确了流程的先后顺序，但未从根本上解决1亿出借款无对应法律保障的核心问题。</w:t>
            </w:r>
          </w:p>
        </w:tc>
      </w:tr>
    </w:tbl>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sz w:val="24"/>
          <w:szCs w:val="24"/>
        </w:rPr>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pPr>
        <w:pStyle w:val="3"/>
        <w:bidi w:val="0"/>
        <w:rPr>
          <w:sz w:val="28"/>
          <w:szCs w:val="28"/>
        </w:rPr>
      </w:pPr>
      <w:r>
        <w:rPr>
          <w:sz w:val="28"/>
          <w:szCs w:val="28"/>
        </w:rPr>
        <w:t>第二部分：新协议（20260604版）深度风险审计——识别并剖析“地雷”</w:t>
      </w:r>
    </w:p>
    <w:p>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sz w:val="24"/>
          <w:szCs w:val="24"/>
        </w:rPr>
      </w:pPr>
      <w:r>
        <w:rPr>
          <w:sz w:val="24"/>
          <w:szCs w:val="24"/>
        </w:rPr>
        <w:t>新协议看似对初稿做出了“优化”（如公司治理、石桥条款），但实质上，乙方是在</w:t>
      </w:r>
      <w:r>
        <w:rPr>
          <w:rStyle w:val="8"/>
          <w:sz w:val="24"/>
          <w:szCs w:val="24"/>
        </w:rPr>
        <w:t>用小恩小惠掩盖核心风险</w:t>
      </w:r>
      <w:r>
        <w:rPr>
          <w:sz w:val="24"/>
          <w:szCs w:val="24"/>
        </w:rPr>
        <w:t>，甚至精心</w:t>
      </w:r>
      <w:r>
        <w:rPr>
          <w:rStyle w:val="8"/>
          <w:sz w:val="24"/>
          <w:szCs w:val="24"/>
        </w:rPr>
        <w:t>埋设了更隐蔽的陷阱</w:t>
      </w:r>
      <w:r>
        <w:rPr>
          <w:sz w:val="24"/>
          <w:szCs w:val="24"/>
        </w:rPr>
        <w:t>。甲方若被表象迷惑而签署，后果将是毁灭性的。</w:t>
      </w:r>
    </w:p>
    <w:p>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sz w:val="24"/>
          <w:szCs w:val="24"/>
          <w:highlight w:val="yellow"/>
        </w:rPr>
      </w:pPr>
      <w:r>
        <w:rPr>
          <w:sz w:val="24"/>
          <w:szCs w:val="24"/>
          <w:highlight w:val="yellow"/>
        </w:rPr>
        <w:t>地雷一：核心违约条款的</w:t>
      </w:r>
      <w:r>
        <w:rPr>
          <w:rFonts w:hint="eastAsia"/>
          <w:sz w:val="24"/>
          <w:szCs w:val="24"/>
          <w:highlight w:val="yellow"/>
          <w:lang w:val="en-US" w:eastAsia="zh-CN"/>
        </w:rPr>
        <w:t>完全</w:t>
      </w:r>
      <w:r>
        <w:rPr>
          <w:sz w:val="24"/>
          <w:szCs w:val="24"/>
          <w:highlight w:val="yellow"/>
        </w:rPr>
        <w:t>不对等（核心底线风险）</w:t>
      </w:r>
    </w:p>
    <w:p>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ind w:left="840" w:leftChars="0" w:hanging="420" w:firstLineChars="0"/>
        <w:textAlignment w:val="auto"/>
        <w:rPr>
          <w:sz w:val="24"/>
          <w:szCs w:val="24"/>
        </w:rPr>
      </w:pPr>
      <w:r>
        <w:rPr>
          <w:rStyle w:val="8"/>
          <w:sz w:val="24"/>
          <w:szCs w:val="24"/>
        </w:rPr>
        <w:t>原文条款</w:t>
      </w:r>
      <w:r>
        <w:rPr>
          <w:sz w:val="24"/>
          <w:szCs w:val="24"/>
        </w:rPr>
        <w:t>（新协议第三条第二款）：</w:t>
      </w:r>
      <w:r>
        <w:rPr>
          <w:rFonts w:hint="eastAsia" w:ascii="宋体" w:hAnsi="宋体" w:eastAsia="宋体" w:cs="宋体"/>
          <w:sz w:val="24"/>
          <w:szCs w:val="24"/>
        </w:rPr>
        <w:t>若法院作出以物抵债裁定后一年内，甲方未按本协议第二条第3款第 （4）项的约定收购乙方持有“新公司”的全部股权，则视为甲方违约，履约定金归乙方所有，且甲方应当无偿将其持有的“新公司”49%的股权过户给乙方，并免除其向“新公司”出借的一亿元的债务。</w:t>
      </w:r>
    </w:p>
    <w:p>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ind w:left="840" w:leftChars="0" w:hanging="420" w:firstLineChars="0"/>
        <w:textAlignment w:val="auto"/>
        <w:rPr>
          <w:sz w:val="24"/>
          <w:szCs w:val="24"/>
        </w:rPr>
      </w:pPr>
      <w:r>
        <w:rPr>
          <w:rStyle w:val="8"/>
          <w:sz w:val="24"/>
          <w:szCs w:val="24"/>
        </w:rPr>
        <w:t>为什么这么判断</w:t>
      </w:r>
      <w:r>
        <w:rPr>
          <w:sz w:val="24"/>
          <w:szCs w:val="24"/>
        </w:rPr>
        <w:t>：</w:t>
      </w:r>
      <w:r>
        <w:rPr>
          <w:sz w:val="24"/>
          <w:szCs w:val="24"/>
        </w:rPr>
        <w:br w:type="textWrapping"/>
      </w:r>
      <w:r>
        <w:rPr>
          <w:sz w:val="24"/>
          <w:szCs w:val="24"/>
        </w:rPr>
        <w:t>这是整份协议中</w:t>
      </w:r>
      <w:r>
        <w:rPr>
          <w:rStyle w:val="8"/>
          <w:sz w:val="24"/>
          <w:szCs w:val="24"/>
        </w:rPr>
        <w:t>最大的毒丸</w:t>
      </w:r>
      <w:r>
        <w:rPr>
          <w:sz w:val="24"/>
          <w:szCs w:val="24"/>
        </w:rPr>
        <w:t>，是所有风险的终极体现。乙方在其他条款上的任何“诚意”都抵消不了这一条的杀伤力。该条款设计了一个极端不对称的惩罚机制：</w:t>
      </w:r>
    </w:p>
    <w:p>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0" w:afterAutospacing="0" w:line="360" w:lineRule="auto"/>
        <w:ind w:left="1440" w:hanging="360"/>
        <w:textAlignment w:val="auto"/>
        <w:rPr>
          <w:sz w:val="24"/>
          <w:szCs w:val="24"/>
        </w:rPr>
      </w:pPr>
      <w:r>
        <w:rPr>
          <w:rStyle w:val="8"/>
          <w:sz w:val="24"/>
          <w:szCs w:val="24"/>
        </w:rPr>
        <w:t>甲方违约的后果</w:t>
      </w:r>
      <w:r>
        <w:rPr>
          <w:sz w:val="24"/>
          <w:szCs w:val="24"/>
        </w:rPr>
        <w:t>：丧失700万定金（应收或实际损失） + 无偿转让新公司49%股权（价值至少1.5亿的资产份额） + 免除甲方对乙方的1亿出借款债权。</w:t>
      </w:r>
      <w:r>
        <w:rPr>
          <w:rStyle w:val="8"/>
          <w:sz w:val="24"/>
          <w:szCs w:val="24"/>
        </w:rPr>
        <w:t>总损失估值：1.77亿元起步</w:t>
      </w:r>
      <w:r>
        <w:rPr>
          <w:sz w:val="24"/>
          <w:szCs w:val="24"/>
        </w:rPr>
        <w:t>。</w:t>
      </w:r>
    </w:p>
    <w:p>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0" w:afterAutospacing="0" w:line="360" w:lineRule="auto"/>
        <w:ind w:left="1440" w:hanging="360"/>
        <w:textAlignment w:val="auto"/>
        <w:rPr>
          <w:sz w:val="24"/>
          <w:szCs w:val="24"/>
        </w:rPr>
      </w:pPr>
      <w:r>
        <w:rPr>
          <w:rStyle w:val="8"/>
          <w:sz w:val="24"/>
          <w:szCs w:val="24"/>
        </w:rPr>
        <w:t>乙方违约的后果</w:t>
      </w:r>
      <w:r>
        <w:rPr>
          <w:sz w:val="24"/>
          <w:szCs w:val="24"/>
        </w:rPr>
        <w:t>（第三条第三款）：退还700万定金 + 赔偿700万。</w:t>
      </w:r>
      <w:r>
        <w:rPr>
          <w:rStyle w:val="8"/>
          <w:sz w:val="24"/>
          <w:szCs w:val="24"/>
        </w:rPr>
        <w:t>乙方最大损失：1400万元</w:t>
      </w:r>
      <w:r>
        <w:rPr>
          <w:sz w:val="24"/>
          <w:szCs w:val="24"/>
        </w:rPr>
        <w:t>。</w:t>
      </w:r>
    </w:p>
    <w:p>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ind w:left="840" w:leftChars="0" w:hanging="420" w:firstLineChars="0"/>
        <w:textAlignment w:val="auto"/>
        <w:rPr>
          <w:sz w:val="24"/>
          <w:szCs w:val="24"/>
        </w:rPr>
      </w:pPr>
      <w:r>
        <w:rPr>
          <w:rStyle w:val="8"/>
          <w:sz w:val="24"/>
          <w:szCs w:val="24"/>
        </w:rPr>
        <w:t>法律依据</w:t>
      </w:r>
      <w:bookmarkStart w:id="0" w:name="_GoBack"/>
      <w:bookmarkEnd w:id="0"/>
      <w:r>
        <w:rPr>
          <w:rStyle w:val="8"/>
          <w:sz w:val="24"/>
          <w:szCs w:val="24"/>
        </w:rPr>
        <w:t>与逻辑分析</w:t>
      </w:r>
      <w:r>
        <w:rPr>
          <w:sz w:val="24"/>
          <w:szCs w:val="24"/>
        </w:rPr>
        <w:t>：</w:t>
      </w:r>
    </w:p>
    <w:p>
      <w:pPr>
        <w:keepNext w:val="0"/>
        <w:keepLines w:val="0"/>
        <w:pageBreakBefore w:val="0"/>
        <w:widowControl/>
        <w:numPr>
          <w:ilvl w:val="1"/>
          <w:numId w:val="3"/>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sz w:val="24"/>
          <w:szCs w:val="24"/>
        </w:rPr>
      </w:pPr>
      <w:r>
        <w:rPr>
          <w:rStyle w:val="8"/>
          <w:sz w:val="24"/>
          <w:szCs w:val="24"/>
        </w:rPr>
        <w:t>违反公平原则（《民法典》第六条）</w:t>
      </w:r>
      <w:r>
        <w:rPr>
          <w:sz w:val="24"/>
          <w:szCs w:val="24"/>
        </w:rPr>
        <w:t>：民事主体从事民事活动，应当遵循公平原则，合理确定各方的权利和义务。此条款下，甲乙双方的违约成本差距高达13倍以上（1.77亿/1400万），严重失衡，构成</w:t>
      </w:r>
      <w:r>
        <w:rPr>
          <w:rStyle w:val="8"/>
          <w:sz w:val="24"/>
          <w:szCs w:val="24"/>
        </w:rPr>
        <w:t>显失公平</w:t>
      </w:r>
      <w:r>
        <w:rPr>
          <w:sz w:val="24"/>
          <w:szCs w:val="24"/>
        </w:rPr>
        <w:t>。根据《民法典》第一百五十一条，一方利用对方处于危困状态、缺乏判断能力等情形，致使民事法律行为成立时显失公平的，受损害方有权请求人民法院或者仲裁机构予以撤销。</w:t>
      </w:r>
    </w:p>
    <w:p>
      <w:pPr>
        <w:keepNext w:val="0"/>
        <w:keepLines w:val="0"/>
        <w:pageBreakBefore w:val="0"/>
        <w:widowControl/>
        <w:numPr>
          <w:ilvl w:val="1"/>
          <w:numId w:val="3"/>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sz w:val="24"/>
          <w:szCs w:val="24"/>
        </w:rPr>
      </w:pPr>
      <w:r>
        <w:rPr>
          <w:rStyle w:val="8"/>
          <w:sz w:val="24"/>
          <w:szCs w:val="24"/>
        </w:rPr>
        <w:t>构成实质“流质契约”（《民法典》第四百二十八条）</w:t>
      </w:r>
      <w:r>
        <w:rPr>
          <w:sz w:val="24"/>
          <w:szCs w:val="24"/>
        </w:rPr>
        <w:t>：这一条款的实质是，一旦甲方无法按时付款，其投入的1亿出借款债权（对新公司）不仅不能收回，还要额外再无偿转让出价值不菲的股权。这本质上是在定一个“如果甲方不能完成给付，则其债权和股权直接归属乙方”的条款，带有强烈的</w:t>
      </w:r>
      <w:r>
        <w:rPr>
          <w:rStyle w:val="8"/>
          <w:sz w:val="24"/>
          <w:szCs w:val="24"/>
        </w:rPr>
        <w:t>流质契约</w:t>
      </w:r>
      <w:r>
        <w:rPr>
          <w:sz w:val="24"/>
          <w:szCs w:val="24"/>
        </w:rPr>
        <w:t>色彩。虽然形式上是违约金，但其数额远超法律对违约金的限制。根据《民法典》第五百八十五条，约定的违约金过分高于造成的损失的，人民法院或者仲裁机构可以根据当事人的请求予以适当减少。而此处的“损失”对乙方而言几乎为零（乙方未投入任何资金），违约金的数额却高达1.77亿。</w:t>
      </w:r>
    </w:p>
    <w:p>
      <w:pPr>
        <w:keepNext w:val="0"/>
        <w:keepLines w:val="0"/>
        <w:pageBreakBefore w:val="0"/>
        <w:widowControl/>
        <w:numPr>
          <w:ilvl w:val="1"/>
          <w:numId w:val="3"/>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sz w:val="24"/>
          <w:szCs w:val="24"/>
        </w:rPr>
      </w:pPr>
      <w:r>
        <w:rPr>
          <w:rStyle w:val="8"/>
          <w:sz w:val="24"/>
          <w:szCs w:val="24"/>
        </w:rPr>
        <w:t>企业会计准则下的财务陷阱</w:t>
      </w:r>
      <w:r>
        <w:rPr>
          <w:sz w:val="24"/>
          <w:szCs w:val="24"/>
        </w:rPr>
        <w:t>：在新公司的账务处理上，甲方借给新公司的1亿元，应计入“其他应收款”或“长期应收款”。一旦触发此违约条款，甲方需要立刻对这一笔</w:t>
      </w:r>
      <w:r>
        <w:rPr>
          <w:rStyle w:val="8"/>
          <w:sz w:val="24"/>
          <w:szCs w:val="24"/>
        </w:rPr>
        <w:t>1亿元的债权进行减值测试并计提100%的坏账准备</w:t>
      </w:r>
      <w:r>
        <w:rPr>
          <w:sz w:val="24"/>
          <w:szCs w:val="24"/>
        </w:rPr>
        <w:t>（因为债权被“免除”）。这将在当年直接导致上市公司（如果甲方是上市公司）或集团公司</w:t>
      </w:r>
      <w:r>
        <w:rPr>
          <w:rStyle w:val="8"/>
          <w:sz w:val="24"/>
          <w:szCs w:val="24"/>
        </w:rPr>
        <w:t>至少1亿元的利润损失</w:t>
      </w:r>
      <w:r>
        <w:rPr>
          <w:sz w:val="24"/>
          <w:szCs w:val="24"/>
        </w:rPr>
        <w:t>，对公司股价和融资能力造成毁灭性打击。乙方正是利用了这一财务规则，将“免除债务”设计为对乙方最有利的惩罚方式。</w:t>
      </w:r>
    </w:p>
    <w:p>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ind w:left="840" w:leftChars="0" w:hanging="420" w:firstLineChars="0"/>
        <w:textAlignment w:val="auto"/>
        <w:rPr>
          <w:sz w:val="24"/>
          <w:szCs w:val="24"/>
        </w:rPr>
      </w:pPr>
      <w:r>
        <w:rPr>
          <w:rStyle w:val="8"/>
          <w:sz w:val="24"/>
          <w:szCs w:val="24"/>
        </w:rPr>
        <w:t>结论</w:t>
      </w:r>
      <w:r>
        <w:rPr>
          <w:sz w:val="24"/>
          <w:szCs w:val="24"/>
        </w:rPr>
        <w:t>：此条款必须修改。正确的做法是：</w:t>
      </w:r>
      <w:r>
        <w:rPr>
          <w:rStyle w:val="8"/>
          <w:sz w:val="24"/>
          <w:szCs w:val="24"/>
        </w:rPr>
        <w:t>删除“无偿过户股权且免除1亿债务”的极端条款</w:t>
      </w:r>
      <w:r>
        <w:rPr>
          <w:sz w:val="24"/>
          <w:szCs w:val="24"/>
        </w:rPr>
        <w:t>。违约赔偿应设定为对等条款，例如：双方相互约定，若一方违约，赔偿金为履约保证金的2倍（即1400万），并明确该金额为甲乙双方违约赔偿的上限，互不追索其他损失。</w:t>
      </w:r>
    </w:p>
    <w:p>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sz w:val="24"/>
          <w:szCs w:val="24"/>
          <w:highlight w:val="yellow"/>
        </w:rPr>
      </w:pPr>
      <w:r>
        <w:rPr>
          <w:sz w:val="24"/>
          <w:szCs w:val="24"/>
          <w:highlight w:val="yellow"/>
        </w:rPr>
        <w:t>地雷二：偷换概念——“债权包”替代“采矿权”（核心法律风险）</w:t>
      </w:r>
    </w:p>
    <w:p>
      <w:pPr>
        <w:pStyle w:val="5"/>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360" w:lineRule="auto"/>
        <w:ind w:left="840" w:leftChars="0" w:hanging="420" w:firstLineChars="0"/>
        <w:textAlignment w:val="auto"/>
        <w:rPr>
          <w:sz w:val="24"/>
          <w:szCs w:val="24"/>
        </w:rPr>
      </w:pPr>
      <w:r>
        <w:rPr>
          <w:rStyle w:val="8"/>
          <w:sz w:val="24"/>
          <w:szCs w:val="24"/>
        </w:rPr>
        <w:t>原文条款</w:t>
      </w:r>
      <w:r>
        <w:rPr>
          <w:sz w:val="24"/>
          <w:szCs w:val="24"/>
        </w:rPr>
        <w:t>（新协议第二条第3款第(3)项）：</w:t>
      </w:r>
      <w:r>
        <w:rPr>
          <w:rFonts w:hint="eastAsia" w:ascii="宋体" w:hAnsi="宋体" w:eastAsia="宋体" w:cs="宋体"/>
          <w:sz w:val="24"/>
          <w:szCs w:val="24"/>
        </w:rPr>
        <w:t>乙方收到债权转让款后2个工作日内到法院办理将“龙鑫煤矿”采矿权</w:t>
      </w:r>
      <w:r>
        <w:rPr>
          <w:rStyle w:val="8"/>
          <w:rFonts w:hint="eastAsia" w:ascii="宋体" w:hAnsi="宋体" w:eastAsia="宋体" w:cs="宋体"/>
          <w:sz w:val="24"/>
          <w:szCs w:val="24"/>
        </w:rPr>
        <w:t>债权包</w:t>
      </w:r>
      <w:r>
        <w:rPr>
          <w:rFonts w:hint="eastAsia" w:ascii="宋体" w:hAnsi="宋体" w:eastAsia="宋体" w:cs="宋体"/>
          <w:sz w:val="24"/>
          <w:szCs w:val="24"/>
        </w:rPr>
        <w:t>归属到“新公司”名下的变更手续。</w:t>
      </w:r>
    </w:p>
    <w:p>
      <w:pPr>
        <w:pStyle w:val="5"/>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360" w:lineRule="auto"/>
        <w:ind w:left="840" w:leftChars="0" w:hanging="420" w:firstLineChars="0"/>
        <w:textAlignment w:val="auto"/>
        <w:rPr>
          <w:sz w:val="24"/>
          <w:szCs w:val="24"/>
        </w:rPr>
      </w:pPr>
      <w:r>
        <w:rPr>
          <w:rStyle w:val="8"/>
          <w:sz w:val="24"/>
          <w:szCs w:val="24"/>
        </w:rPr>
        <w:t>为什么这么判断</w:t>
      </w:r>
      <w:r>
        <w:rPr>
          <w:sz w:val="24"/>
          <w:szCs w:val="24"/>
        </w:rPr>
        <w:t>：</w:t>
      </w:r>
      <w:r>
        <w:rPr>
          <w:sz w:val="24"/>
          <w:szCs w:val="24"/>
        </w:rPr>
        <w:br w:type="textWrapping"/>
      </w:r>
      <w:r>
        <w:rPr>
          <w:sz w:val="24"/>
          <w:szCs w:val="24"/>
        </w:rPr>
        <w:t>此条款是乙方设置的一个</w:t>
      </w:r>
      <w:r>
        <w:rPr>
          <w:rStyle w:val="8"/>
          <w:sz w:val="24"/>
          <w:szCs w:val="24"/>
        </w:rPr>
        <w:t>极其狡猾的文字陷阱</w:t>
      </w:r>
      <w:r>
        <w:rPr>
          <w:sz w:val="24"/>
          <w:szCs w:val="24"/>
        </w:rPr>
        <w:t>，是整个交易逻辑的根本性动摇。甲方期望的交易标的是“龙鑫煤矿的采矿权”（一项有价值的、可变现的、可独立运营的资产），而乙方将其替换为“采矿权债权包”（一份附着于采矿权的、价值不确定、风险极高的债权）。</w:t>
      </w:r>
    </w:p>
    <w:p>
      <w:pPr>
        <w:pStyle w:val="5"/>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360" w:lineRule="auto"/>
        <w:ind w:left="840" w:leftChars="0" w:hanging="420" w:firstLineChars="0"/>
        <w:textAlignment w:val="auto"/>
        <w:rPr>
          <w:sz w:val="24"/>
          <w:szCs w:val="24"/>
        </w:rPr>
      </w:pPr>
      <w:r>
        <w:rPr>
          <w:rStyle w:val="8"/>
          <w:sz w:val="24"/>
          <w:szCs w:val="24"/>
        </w:rPr>
        <w:t>法律依据与逻辑分析</w:t>
      </w:r>
      <w:r>
        <w:rPr>
          <w:sz w:val="24"/>
          <w:szCs w:val="24"/>
        </w:rPr>
        <w:t>：</w:t>
      </w:r>
    </w:p>
    <w:p>
      <w:pPr>
        <w:keepNext w:val="0"/>
        <w:keepLines w:val="0"/>
        <w:pageBreakBefore w:val="0"/>
        <w:widowControl/>
        <w:numPr>
          <w:ilvl w:val="1"/>
          <w:numId w:val="5"/>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sz w:val="24"/>
          <w:szCs w:val="24"/>
        </w:rPr>
      </w:pPr>
      <w:r>
        <w:rPr>
          <w:rStyle w:val="8"/>
          <w:sz w:val="24"/>
          <w:szCs w:val="24"/>
        </w:rPr>
        <w:t>标的物实质性变更（《民法典》合同</w:t>
      </w:r>
      <w:r>
        <w:rPr>
          <w:rStyle w:val="8"/>
          <w:rFonts w:hint="eastAsia"/>
          <w:sz w:val="24"/>
          <w:szCs w:val="24"/>
          <w:lang w:val="en-US" w:eastAsia="zh-CN"/>
        </w:rPr>
        <w:t>篇</w:t>
      </w:r>
      <w:r>
        <w:rPr>
          <w:rStyle w:val="8"/>
          <w:sz w:val="24"/>
          <w:szCs w:val="24"/>
        </w:rPr>
        <w:t>）</w:t>
      </w:r>
      <w:r>
        <w:rPr>
          <w:sz w:val="24"/>
          <w:szCs w:val="24"/>
        </w:rPr>
        <w:t>：双方合作的核心是“采矿权”。将“采矿权”替换为“采矿权债权包”，构成对合同标的物的</w:t>
      </w:r>
      <w:r>
        <w:rPr>
          <w:rStyle w:val="8"/>
          <w:sz w:val="24"/>
          <w:szCs w:val="24"/>
        </w:rPr>
        <w:t>实质性变更</w:t>
      </w:r>
      <w:r>
        <w:rPr>
          <w:sz w:val="24"/>
          <w:szCs w:val="24"/>
        </w:rPr>
        <w:t>。这意味着，甲方支付1亿元后，获得的不是一个可以直接产生收益的矿权，而是一个需要律师去论证、需要法院去实现、且可能充满水分的“一揽子债权”。</w:t>
      </w:r>
    </w:p>
    <w:p>
      <w:pPr>
        <w:keepNext w:val="0"/>
        <w:keepLines w:val="0"/>
        <w:pageBreakBefore w:val="0"/>
        <w:widowControl/>
        <w:numPr>
          <w:ilvl w:val="1"/>
          <w:numId w:val="5"/>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sz w:val="24"/>
          <w:szCs w:val="24"/>
        </w:rPr>
      </w:pPr>
      <w:r>
        <w:rPr>
          <w:rStyle w:val="8"/>
          <w:sz w:val="24"/>
          <w:szCs w:val="24"/>
        </w:rPr>
        <w:t>价值评估失效</w:t>
      </w:r>
      <w:r>
        <w:rPr>
          <w:sz w:val="24"/>
          <w:szCs w:val="24"/>
        </w:rPr>
        <w:t>：一个采矿权的价值可以通过储量报告、市场行情等相对客观的方式评估。而一个“债权包”的价值则</w:t>
      </w:r>
      <w:r>
        <w:rPr>
          <w:rStyle w:val="8"/>
          <w:sz w:val="24"/>
          <w:szCs w:val="24"/>
        </w:rPr>
        <w:t>完全取决于债权的真实性、合法性、有无优先权、基于何种法律关系</w:t>
      </w:r>
      <w:r>
        <w:rPr>
          <w:sz w:val="24"/>
          <w:szCs w:val="24"/>
        </w:rPr>
        <w:t>。这1亿元的债权转让款，甲方根本无法评估其价值是否公允。乙方可以很轻易地将大量已过诉讼时效、无法执行或存在瑕疵的债权打包卖给新公司，使甲方蒙受巨大损失。</w:t>
      </w:r>
    </w:p>
    <w:p>
      <w:pPr>
        <w:keepNext w:val="0"/>
        <w:keepLines w:val="0"/>
        <w:pageBreakBefore w:val="0"/>
        <w:widowControl/>
        <w:numPr>
          <w:ilvl w:val="1"/>
          <w:numId w:val="5"/>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sz w:val="24"/>
          <w:szCs w:val="24"/>
        </w:rPr>
      </w:pPr>
      <w:r>
        <w:rPr>
          <w:rStyle w:val="8"/>
          <w:sz w:val="24"/>
          <w:szCs w:val="24"/>
        </w:rPr>
        <w:t>履约义务的模糊化</w:t>
      </w:r>
      <w:r>
        <w:rPr>
          <w:sz w:val="24"/>
          <w:szCs w:val="24"/>
        </w:rPr>
        <w:t>：初稿约定乙方有义务将“采矿权”归属新公司，这是一个需要乙方积极作为、疏通法院、解决障碍的过程。而新协议变成“将债权包归属”，这是一个被动过程。乙方可以辩称“我已经完成了债权包的所有权变更，矿权没拿到是法院程序问题，不是我不配合”，从而</w:t>
      </w:r>
      <w:r>
        <w:rPr>
          <w:rStyle w:val="8"/>
          <w:sz w:val="24"/>
          <w:szCs w:val="24"/>
        </w:rPr>
        <w:t>完美地规避了最关键的“确保矿权到手”的实质性履约义务</w:t>
      </w:r>
      <w:r>
        <w:rPr>
          <w:sz w:val="24"/>
          <w:szCs w:val="24"/>
        </w:rPr>
        <w:t>。</w:t>
      </w:r>
    </w:p>
    <w:p>
      <w:pPr>
        <w:pStyle w:val="5"/>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360" w:lineRule="auto"/>
        <w:ind w:left="840" w:leftChars="0" w:hanging="420" w:firstLineChars="0"/>
        <w:textAlignment w:val="auto"/>
        <w:rPr>
          <w:sz w:val="24"/>
          <w:szCs w:val="24"/>
        </w:rPr>
      </w:pPr>
      <w:r>
        <w:rPr>
          <w:rStyle w:val="8"/>
          <w:sz w:val="24"/>
          <w:szCs w:val="24"/>
        </w:rPr>
        <w:t>结论</w:t>
      </w:r>
      <w:r>
        <w:rPr>
          <w:sz w:val="24"/>
          <w:szCs w:val="24"/>
        </w:rPr>
        <w:t>：此条款必须修改。必须将“采矿权债权包”</w:t>
      </w:r>
      <w:r>
        <w:rPr>
          <w:rStyle w:val="8"/>
          <w:sz w:val="24"/>
          <w:szCs w:val="24"/>
        </w:rPr>
        <w:t>明确改为“龙鑫煤矿采矿权”</w:t>
      </w:r>
      <w:r>
        <w:rPr>
          <w:sz w:val="24"/>
          <w:szCs w:val="24"/>
        </w:rPr>
        <w:t>。乙方的义务应当清晰定义为：确保法院最终以以物抵债裁定方式，将“龙鑫煤矿采矿权”归属到新公司名下。</w:t>
      </w:r>
    </w:p>
    <w:p>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sz w:val="24"/>
          <w:szCs w:val="24"/>
          <w:highlight w:val="yellow"/>
        </w:rPr>
      </w:pPr>
      <w:r>
        <w:rPr>
          <w:sz w:val="24"/>
          <w:szCs w:val="24"/>
          <w:highlight w:val="yellow"/>
        </w:rPr>
        <w:t>地雷三：变卖程序——巨大的时间与程序不确定性（核心程序风险）</w:t>
      </w:r>
    </w:p>
    <w:p>
      <w:pPr>
        <w:pStyle w:val="5"/>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360" w:lineRule="auto"/>
        <w:ind w:left="840" w:leftChars="0" w:hanging="420" w:firstLineChars="0"/>
        <w:textAlignment w:val="auto"/>
        <w:rPr>
          <w:sz w:val="24"/>
          <w:szCs w:val="24"/>
        </w:rPr>
      </w:pPr>
      <w:r>
        <w:rPr>
          <w:rStyle w:val="8"/>
          <w:sz w:val="24"/>
          <w:szCs w:val="24"/>
        </w:rPr>
        <w:t>原文条款</w:t>
      </w:r>
      <w:r>
        <w:rPr>
          <w:sz w:val="24"/>
          <w:szCs w:val="24"/>
        </w:rPr>
        <w:t>（新协议第二条第1款）：</w:t>
      </w:r>
      <w:r>
        <w:rPr>
          <w:rFonts w:hint="eastAsia" w:ascii="宋体" w:hAnsi="宋体" w:eastAsia="宋体" w:cs="宋体"/>
          <w:sz w:val="24"/>
          <w:szCs w:val="24"/>
        </w:rPr>
        <w:t>“龙鑫煤矿”采矿权在</w:t>
      </w:r>
      <w:r>
        <w:rPr>
          <w:rStyle w:val="8"/>
          <w:rFonts w:hint="eastAsia" w:ascii="宋体" w:hAnsi="宋体" w:eastAsia="宋体" w:cs="宋体"/>
          <w:sz w:val="24"/>
          <w:szCs w:val="24"/>
        </w:rPr>
        <w:t>变卖流拍</w:t>
      </w:r>
      <w:r>
        <w:rPr>
          <w:rFonts w:hint="eastAsia" w:ascii="宋体" w:hAnsi="宋体" w:eastAsia="宋体" w:cs="宋体"/>
          <w:sz w:val="24"/>
          <w:szCs w:val="24"/>
        </w:rPr>
        <w:t>之后，通过以物抵债的方式，将“龙鑫煤矿”采矿权归属到甲乙双方成立的合资公司名下。</w:t>
      </w:r>
    </w:p>
    <w:p>
      <w:pPr>
        <w:pStyle w:val="5"/>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360" w:lineRule="auto"/>
        <w:ind w:left="840" w:leftChars="0" w:hanging="420" w:firstLineChars="0"/>
        <w:textAlignment w:val="auto"/>
        <w:rPr>
          <w:sz w:val="24"/>
          <w:szCs w:val="24"/>
        </w:rPr>
      </w:pPr>
      <w:r>
        <w:rPr>
          <w:rStyle w:val="8"/>
          <w:sz w:val="24"/>
          <w:szCs w:val="24"/>
        </w:rPr>
        <w:t>为什么这么判断</w:t>
      </w:r>
      <w:r>
        <w:rPr>
          <w:sz w:val="24"/>
          <w:szCs w:val="24"/>
        </w:rPr>
        <w:t>：</w:t>
      </w:r>
      <w:r>
        <w:rPr>
          <w:sz w:val="24"/>
          <w:szCs w:val="24"/>
        </w:rPr>
        <w:br w:type="textWrapping"/>
      </w:r>
      <w:r>
        <w:rPr>
          <w:sz w:val="24"/>
          <w:szCs w:val="24"/>
        </w:rPr>
        <w:t>从“两次拍卖流拍”变为“变卖流拍”，看似变化不大，实则将交易的法律程序和风险不确定性</w:t>
      </w:r>
      <w:r>
        <w:rPr>
          <w:rStyle w:val="8"/>
          <w:sz w:val="24"/>
          <w:szCs w:val="24"/>
        </w:rPr>
        <w:t>大幅延长和复杂化</w:t>
      </w:r>
      <w:r>
        <w:rPr>
          <w:sz w:val="24"/>
          <w:szCs w:val="24"/>
        </w:rPr>
        <w:t>。这给了乙方更多的时间和法律借口来掩饰其无法完成以物抵债的事实。</w:t>
      </w:r>
    </w:p>
    <w:p>
      <w:pPr>
        <w:pStyle w:val="5"/>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360" w:lineRule="auto"/>
        <w:ind w:left="840" w:leftChars="0" w:hanging="420" w:firstLineChars="0"/>
        <w:textAlignment w:val="auto"/>
        <w:rPr>
          <w:sz w:val="24"/>
          <w:szCs w:val="24"/>
        </w:rPr>
      </w:pPr>
      <w:r>
        <w:rPr>
          <w:rStyle w:val="8"/>
          <w:sz w:val="24"/>
          <w:szCs w:val="24"/>
        </w:rPr>
        <w:t>法律依据与逻辑分析</w:t>
      </w:r>
      <w:r>
        <w:rPr>
          <w:sz w:val="24"/>
          <w:szCs w:val="24"/>
        </w:rPr>
        <w:t>：</w:t>
      </w:r>
    </w:p>
    <w:p>
      <w:pPr>
        <w:keepNext w:val="0"/>
        <w:keepLines w:val="0"/>
        <w:pageBreakBefore w:val="0"/>
        <w:widowControl/>
        <w:numPr>
          <w:ilvl w:val="1"/>
          <w:numId w:val="7"/>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sz w:val="24"/>
          <w:szCs w:val="24"/>
        </w:rPr>
      </w:pPr>
      <w:r>
        <w:rPr>
          <w:rStyle w:val="8"/>
          <w:sz w:val="24"/>
          <w:szCs w:val="24"/>
        </w:rPr>
        <w:t>法律程序延长（《最高人民法院关于人民法院网络司法拍卖若干问题的规定》）</w:t>
      </w:r>
      <w:r>
        <w:rPr>
          <w:sz w:val="24"/>
          <w:szCs w:val="24"/>
        </w:rPr>
        <w:t>：法拍流程通常是“一拍 → 二拍 → 变卖 → 以物抵债”。变卖程序本身最长可达60天，且可能面临流拍。从专业法律角度看，从启动到这个流程结束，至少要多花2-3个月。这对于甲方随时可能面临的融资压力和资金成本是巨大的考验。</w:t>
      </w:r>
    </w:p>
    <w:p>
      <w:pPr>
        <w:keepNext w:val="0"/>
        <w:keepLines w:val="0"/>
        <w:pageBreakBefore w:val="0"/>
        <w:widowControl/>
        <w:numPr>
          <w:ilvl w:val="1"/>
          <w:numId w:val="7"/>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sz w:val="24"/>
          <w:szCs w:val="24"/>
        </w:rPr>
      </w:pPr>
      <w:r>
        <w:rPr>
          <w:rStyle w:val="8"/>
          <w:sz w:val="24"/>
          <w:szCs w:val="24"/>
        </w:rPr>
        <w:t>法院自由裁量权扩大</w:t>
      </w:r>
      <w:r>
        <w:rPr>
          <w:sz w:val="24"/>
          <w:szCs w:val="24"/>
        </w:rPr>
        <w:t>：在变卖流拍后，法院</w:t>
      </w:r>
      <w:r>
        <w:rPr>
          <w:rStyle w:val="8"/>
          <w:sz w:val="24"/>
          <w:szCs w:val="24"/>
        </w:rPr>
        <w:t>并非必须</w:t>
      </w:r>
      <w:r>
        <w:rPr>
          <w:sz w:val="24"/>
          <w:szCs w:val="24"/>
        </w:rPr>
        <w:t>裁定以物抵债。特别是当被执行人有多个债权人（工人工资、税款、第一顺位抵押权人）时，法院需要依法分配财产。如果法院认为甲方和乙方的操作模式损害了其他债权人利益，或者存在程序瑕疵，</w:t>
      </w:r>
      <w:r>
        <w:rPr>
          <w:rStyle w:val="8"/>
          <w:sz w:val="24"/>
          <w:szCs w:val="24"/>
        </w:rPr>
        <w:t>完全有可能拒绝裁定以物抵债</w:t>
      </w:r>
      <w:r>
        <w:rPr>
          <w:sz w:val="24"/>
          <w:szCs w:val="24"/>
        </w:rPr>
        <w:t>。此时，甲方1亿出借款已经付出，但矿权却无法到手。</w:t>
      </w:r>
    </w:p>
    <w:p>
      <w:pPr>
        <w:keepNext w:val="0"/>
        <w:keepLines w:val="0"/>
        <w:pageBreakBefore w:val="0"/>
        <w:widowControl/>
        <w:numPr>
          <w:ilvl w:val="1"/>
          <w:numId w:val="7"/>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sz w:val="24"/>
          <w:szCs w:val="24"/>
        </w:rPr>
      </w:pPr>
      <w:r>
        <w:rPr>
          <w:rStyle w:val="8"/>
          <w:sz w:val="24"/>
          <w:szCs w:val="24"/>
        </w:rPr>
        <w:t>为“合同僵局”埋下伏笔</w:t>
      </w:r>
      <w:r>
        <w:rPr>
          <w:sz w:val="24"/>
          <w:szCs w:val="24"/>
        </w:rPr>
        <w:t>：这条给乙方提供了一个完美的“免责条款”。当甲方质问“矿权怎么还没拿到”时，乙方可以回答：“我们已经在配合走法律程序了，现在是变卖阶段，一切只能等法院。”从而</w:t>
      </w:r>
      <w:r>
        <w:rPr>
          <w:rStyle w:val="8"/>
          <w:sz w:val="24"/>
          <w:szCs w:val="24"/>
        </w:rPr>
        <w:t>将所有的风险和责任都推给了法院</w:t>
      </w:r>
      <w:r>
        <w:rPr>
          <w:sz w:val="24"/>
          <w:szCs w:val="24"/>
        </w:rPr>
        <w:t>，而乙方自己则毫无压力地控制着甲方已经付出去的钱。</w:t>
      </w:r>
    </w:p>
    <w:p>
      <w:pPr>
        <w:pStyle w:val="5"/>
        <w:keepNext w:val="0"/>
        <w:keepLines w:val="0"/>
        <w:pageBreakBefore w:val="0"/>
        <w:widowControl/>
        <w:numPr>
          <w:ilvl w:val="0"/>
          <w:numId w:val="8"/>
        </w:numPr>
        <w:suppressLineNumbers w:val="0"/>
        <w:kinsoku/>
        <w:wordWrap/>
        <w:overflowPunct/>
        <w:topLinePunct w:val="0"/>
        <w:autoSpaceDE/>
        <w:autoSpaceDN/>
        <w:bidi w:val="0"/>
        <w:adjustRightInd/>
        <w:snapToGrid/>
        <w:spacing w:beforeAutospacing="0" w:afterAutospacing="0" w:line="360" w:lineRule="auto"/>
        <w:ind w:left="840" w:leftChars="0" w:hanging="420" w:firstLineChars="0"/>
        <w:textAlignment w:val="auto"/>
        <w:rPr>
          <w:sz w:val="24"/>
          <w:szCs w:val="24"/>
        </w:rPr>
      </w:pPr>
      <w:r>
        <w:rPr>
          <w:rStyle w:val="8"/>
          <w:sz w:val="24"/>
          <w:szCs w:val="24"/>
        </w:rPr>
        <w:t>结论</w:t>
      </w:r>
      <w:r>
        <w:rPr>
          <w:sz w:val="24"/>
          <w:szCs w:val="24"/>
        </w:rPr>
        <w:t>：甲方必须防范这一时间错配。必须在协议中加入一个</w:t>
      </w:r>
      <w:r>
        <w:rPr>
          <w:rStyle w:val="8"/>
          <w:sz w:val="24"/>
          <w:szCs w:val="24"/>
        </w:rPr>
        <w:t>明确的截止日期</w:t>
      </w:r>
      <w:r>
        <w:rPr>
          <w:sz w:val="24"/>
          <w:szCs w:val="24"/>
        </w:rPr>
        <w:t>：例如，“在签署本协议后6个月内，若法院未作出以物抵债裁定，甲方有权单方终止协议，乙方应在5日内无条件退还全部已付款项（定金+出借款）及按同期LPR计算的利息。”</w:t>
      </w:r>
    </w:p>
    <w:p>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sz w:val="24"/>
          <w:szCs w:val="24"/>
          <w:highlight w:val="yellow"/>
        </w:rPr>
      </w:pPr>
      <w:r>
        <w:rPr>
          <w:sz w:val="24"/>
          <w:szCs w:val="24"/>
          <w:highlight w:val="yellow"/>
        </w:rPr>
        <w:t>地雷四（长期未决）：1亿出借款的资金监管缺失</w:t>
      </w:r>
    </w:p>
    <w:p>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sz w:val="24"/>
          <w:szCs w:val="24"/>
        </w:rPr>
      </w:pPr>
      <w:r>
        <w:rPr>
          <w:rStyle w:val="8"/>
          <w:sz w:val="24"/>
          <w:szCs w:val="24"/>
        </w:rPr>
        <w:t>原文条款</w:t>
      </w:r>
      <w:r>
        <w:rPr>
          <w:sz w:val="24"/>
          <w:szCs w:val="24"/>
        </w:rPr>
        <w:t>（新协议第二条第3款第(2)项）：甲方向新公司出借一亿元，新公司向乙方支付一亿元债权转让款。</w:t>
      </w:r>
    </w:p>
    <w:p>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sz w:val="24"/>
          <w:szCs w:val="24"/>
        </w:rPr>
      </w:pPr>
      <w:r>
        <w:rPr>
          <w:rStyle w:val="8"/>
          <w:sz w:val="24"/>
          <w:szCs w:val="24"/>
        </w:rPr>
        <w:t>为什么这么判断</w:t>
      </w:r>
      <w:r>
        <w:rPr>
          <w:sz w:val="24"/>
          <w:szCs w:val="24"/>
        </w:rPr>
        <w:t>：协议依然没有设定资金共管账户。1亿仍然直接打给乙方。这1亿是甲方最大的实质性付款，但没有任何第三方监管机制。</w:t>
      </w:r>
    </w:p>
    <w:p>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sz w:val="24"/>
          <w:szCs w:val="24"/>
        </w:rPr>
      </w:pPr>
      <w:r>
        <w:rPr>
          <w:rStyle w:val="8"/>
          <w:sz w:val="24"/>
          <w:szCs w:val="24"/>
        </w:rPr>
        <w:t>法律依据与逻辑分析</w:t>
      </w:r>
      <w:r>
        <w:rPr>
          <w:sz w:val="24"/>
          <w:szCs w:val="24"/>
        </w:rPr>
        <w:t>：钱一旦进入乙方账户，将完全脱离甲方控制。若乙方挪作他用、被其他债权人查封、或因自身经营问题破产，甲方的1亿将面临极高的回收风险。这不符合任何审慎的投资原则。</w:t>
      </w:r>
    </w:p>
    <w:p>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sz w:val="24"/>
          <w:szCs w:val="24"/>
        </w:rPr>
      </w:pPr>
      <w:r>
        <w:rPr>
          <w:rStyle w:val="8"/>
          <w:sz w:val="24"/>
          <w:szCs w:val="24"/>
        </w:rPr>
        <w:t>结论</w:t>
      </w:r>
      <w:r>
        <w:rPr>
          <w:sz w:val="24"/>
          <w:szCs w:val="24"/>
        </w:rPr>
        <w:t>：必须修改。</w:t>
      </w:r>
      <w:r>
        <w:rPr>
          <w:rStyle w:val="8"/>
          <w:sz w:val="24"/>
          <w:szCs w:val="24"/>
        </w:rPr>
        <w:t>1亿出借款 + 债权转让款，必须进入双方共管或律所托管账户</w:t>
      </w:r>
      <w:r>
        <w:rPr>
          <w:sz w:val="24"/>
          <w:szCs w:val="24"/>
        </w:rPr>
        <w:t>。资金释放的条件必须是：</w:t>
      </w:r>
      <w:r>
        <w:rPr>
          <w:rStyle w:val="8"/>
          <w:sz w:val="24"/>
          <w:szCs w:val="24"/>
        </w:rPr>
        <w:t>法院出具了将“龙鑫煤矿采矿权”以物抵债给新公司的生效裁定</w:t>
      </w:r>
      <w:r>
        <w:rPr>
          <w:sz w:val="24"/>
          <w:szCs w:val="24"/>
        </w:rPr>
        <w:t>。在此之前，任何一方不得单方动用该笔资金。</w:t>
      </w:r>
    </w:p>
    <w:p>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sz w:val="24"/>
          <w:szCs w:val="24"/>
          <w:highlight w:val="yellow"/>
        </w:rPr>
      </w:pPr>
      <w:r>
        <w:rPr>
          <w:sz w:val="24"/>
          <w:szCs w:val="24"/>
          <w:highlight w:val="yellow"/>
        </w:rPr>
        <w:t>地雷五（长期未决）：税费黑洞</w:t>
      </w:r>
    </w:p>
    <w:p>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sz w:val="24"/>
          <w:szCs w:val="24"/>
        </w:rPr>
      </w:pPr>
      <w:r>
        <w:rPr>
          <w:rStyle w:val="8"/>
          <w:sz w:val="24"/>
          <w:szCs w:val="24"/>
        </w:rPr>
        <w:t>原文条款</w:t>
      </w:r>
      <w:r>
        <w:rPr>
          <w:sz w:val="24"/>
          <w:szCs w:val="24"/>
        </w:rPr>
        <w:t>（新协议第二条第3款第(5)项）：抵债过程中产生的所有费用（包括但不限于需要为被执行人垫付的税费、买家税费以及其他任何与交易相关的费用）由“新公司”承担。</w:t>
      </w:r>
    </w:p>
    <w:p>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sz w:val="24"/>
          <w:szCs w:val="24"/>
        </w:rPr>
      </w:pPr>
      <w:r>
        <w:rPr>
          <w:rStyle w:val="8"/>
          <w:sz w:val="24"/>
          <w:szCs w:val="24"/>
        </w:rPr>
        <w:t>为什么这么判断</w:t>
      </w:r>
      <w:r>
        <w:rPr>
          <w:sz w:val="24"/>
          <w:szCs w:val="24"/>
        </w:rPr>
        <w:t>：协议依然规定由新公司承担包括“被执行人垫付税费”在内的所有费用，未设任何上限。这是一个可能吃掉甲方所有利润甚至本金的无底洞。</w:t>
      </w:r>
    </w:p>
    <w:p>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sz w:val="24"/>
          <w:szCs w:val="24"/>
        </w:rPr>
      </w:pPr>
      <w:r>
        <w:rPr>
          <w:rStyle w:val="8"/>
          <w:sz w:val="24"/>
          <w:szCs w:val="24"/>
        </w:rPr>
        <w:t>法律依据与逻辑分析</w:t>
      </w:r>
      <w:r>
        <w:rPr>
          <w:sz w:val="24"/>
          <w:szCs w:val="24"/>
        </w:rPr>
        <w:t>：矿业权转让涉及增值税（9%或13%）、土地增值税（30%-60%累进税率）、企业所得税（25%）、契税（3%-5%）、印花税等。此外，被执行人（原矿主）可能欠缴巨额的矿业权出让收益、环保税、资源税等。一旦需要由新公司“垫付”，这些费用可能高达数千万元甚至上亿元。</w:t>
      </w:r>
    </w:p>
    <w:p>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sz w:val="24"/>
          <w:szCs w:val="24"/>
        </w:rPr>
      </w:pPr>
      <w:r>
        <w:rPr>
          <w:rStyle w:val="8"/>
          <w:sz w:val="24"/>
          <w:szCs w:val="24"/>
        </w:rPr>
        <w:t>结论</w:t>
      </w:r>
      <w:r>
        <w:rPr>
          <w:sz w:val="24"/>
          <w:szCs w:val="24"/>
        </w:rPr>
        <w:t>：必须修改。签约前必须做税务尽职调查。协议中必须加入</w:t>
      </w:r>
      <w:r>
        <w:rPr>
          <w:rStyle w:val="8"/>
          <w:sz w:val="24"/>
          <w:szCs w:val="24"/>
        </w:rPr>
        <w:t>税费上限条款</w:t>
      </w:r>
      <w:r>
        <w:rPr>
          <w:sz w:val="24"/>
          <w:szCs w:val="24"/>
        </w:rPr>
        <w:t>：例如，“新公司/甲方承担的与本次交易相关的所有税费总额，不超过交易对价（2.5亿）的10%。超出部分，由乙方承担。”</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sz w:val="24"/>
          <w:szCs w:val="24"/>
        </w:rPr>
      </w:pPr>
      <w:r>
        <w:rPr>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pPr>
        <w:pStyle w:val="3"/>
        <w:bidi w:val="0"/>
        <w:rPr>
          <w:sz w:val="28"/>
          <w:szCs w:val="28"/>
        </w:rPr>
      </w:pPr>
      <w:r>
        <w:rPr>
          <w:sz w:val="28"/>
          <w:szCs w:val="28"/>
        </w:rPr>
        <w:t>第三部分：基于清洁版的评估意见及程信霖建议</w:t>
      </w:r>
    </w:p>
    <w:p>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color w:val="FF0000"/>
          <w:sz w:val="24"/>
          <w:szCs w:val="24"/>
        </w:rPr>
      </w:pPr>
      <w:r>
        <w:rPr>
          <w:rStyle w:val="8"/>
          <w:color w:val="FF0000"/>
          <w:sz w:val="24"/>
          <w:szCs w:val="24"/>
        </w:rPr>
        <w:t>核心判断：这份新协议，恰恰是乙方抵制“尽调”的</w:t>
      </w:r>
      <w:r>
        <w:rPr>
          <w:rStyle w:val="8"/>
          <w:rFonts w:hint="eastAsia"/>
          <w:color w:val="FF0000"/>
          <w:sz w:val="24"/>
          <w:szCs w:val="24"/>
          <w:lang w:val="en-US" w:eastAsia="zh-CN"/>
        </w:rPr>
        <w:t>意思表达</w:t>
      </w:r>
      <w:r>
        <w:rPr>
          <w:rStyle w:val="8"/>
          <w:color w:val="FF0000"/>
          <w:sz w:val="24"/>
          <w:szCs w:val="24"/>
        </w:rPr>
        <w:t>。</w:t>
      </w:r>
    </w:p>
    <w:p>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sz w:val="24"/>
          <w:szCs w:val="24"/>
        </w:rPr>
      </w:pPr>
      <w:r>
        <w:rPr>
          <w:sz w:val="24"/>
          <w:szCs w:val="24"/>
        </w:rPr>
        <w:t xml:space="preserve">乙方在 </w:t>
      </w:r>
      <w:r>
        <w:rPr>
          <w:rStyle w:val="8"/>
          <w:sz w:val="24"/>
          <w:szCs w:val="24"/>
        </w:rPr>
        <w:t>“公司治理”和“石桥风险”</w:t>
      </w:r>
      <w:r>
        <w:rPr>
          <w:sz w:val="24"/>
          <w:szCs w:val="24"/>
        </w:rPr>
        <w:t xml:space="preserve"> 这两个对甲方有利但并非交易核心的方面做出了让步，这更像是一种战术性的“示好”，旨在麻痹甲方，诱使其签署最关键、最危险的 </w:t>
      </w:r>
      <w:r>
        <w:rPr>
          <w:rStyle w:val="8"/>
          <w:sz w:val="24"/>
          <w:szCs w:val="24"/>
        </w:rPr>
        <w:t>“钱、权、责”</w:t>
      </w:r>
      <w:r>
        <w:rPr>
          <w:sz w:val="24"/>
          <w:szCs w:val="24"/>
        </w:rPr>
        <w:t xml:space="preserve"> 条款。这恰恰证明了，最害怕甲方做专业尽调的，正是乙方——因为任何尽调都会让“债权包”价值、税务黑洞、矿权法律风险等核心问题浮出水面。</w:t>
      </w:r>
    </w:p>
    <w:p>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sz w:val="24"/>
          <w:szCs w:val="24"/>
        </w:rPr>
      </w:pPr>
      <w:r>
        <w:rPr>
          <w:rStyle w:val="8"/>
          <w:b/>
          <w:sz w:val="24"/>
          <w:szCs w:val="24"/>
        </w:rPr>
        <w:t>对于杨</w:t>
      </w:r>
      <w:r>
        <w:rPr>
          <w:rStyle w:val="8"/>
          <w:rFonts w:hint="eastAsia"/>
          <w:b/>
          <w:sz w:val="24"/>
          <w:szCs w:val="24"/>
          <w:lang w:val="en-US" w:eastAsia="zh-CN"/>
        </w:rPr>
        <w:t>总</w:t>
      </w:r>
      <w:r>
        <w:rPr>
          <w:rStyle w:val="8"/>
          <w:b/>
          <w:sz w:val="24"/>
          <w:szCs w:val="24"/>
        </w:rPr>
        <w:t>（甲方）</w:t>
      </w:r>
      <w:r>
        <w:rPr>
          <w:rStyle w:val="8"/>
          <w:rFonts w:hint="eastAsia"/>
          <w:b/>
          <w:sz w:val="24"/>
          <w:szCs w:val="24"/>
          <w:lang w:val="en-US" w:eastAsia="zh-CN"/>
        </w:rPr>
        <w:t>的</w:t>
      </w:r>
      <w:r>
        <w:rPr>
          <w:sz w:val="24"/>
          <w:szCs w:val="24"/>
        </w:rPr>
        <w:t>最终建议</w:t>
      </w:r>
      <w:r>
        <w:rPr>
          <w:rStyle w:val="8"/>
          <w:b/>
          <w:sz w:val="24"/>
          <w:szCs w:val="24"/>
        </w:rPr>
        <w:t>：</w:t>
      </w:r>
    </w:p>
    <w:p>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sz w:val="24"/>
          <w:szCs w:val="24"/>
        </w:rPr>
      </w:pPr>
      <w:r>
        <w:rPr>
          <w:sz w:val="24"/>
          <w:szCs w:val="24"/>
        </w:rPr>
        <w:t>我们理解您希望推动项目前进的意愿。但基于对这份新协议的深度审计，我们必须以最清晰、最坚定的态度建议您：</w:t>
      </w:r>
    </w:p>
    <w:p>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sz w:val="24"/>
          <w:szCs w:val="24"/>
        </w:rPr>
      </w:pPr>
      <w:r>
        <w:rPr>
          <w:rStyle w:val="8"/>
          <w:color w:val="FF0000"/>
          <w:sz w:val="24"/>
          <w:szCs w:val="24"/>
        </w:rPr>
        <w:t>《合作意向协议-20260604（清洁版）》绝对、绝对、绝对不能签。</w:t>
      </w:r>
      <w:r>
        <w:rPr>
          <w:color w:val="FF0000"/>
          <w:sz w:val="24"/>
          <w:szCs w:val="24"/>
        </w:rPr>
        <w:t xml:space="preserve"> </w:t>
      </w:r>
      <w:r>
        <w:rPr>
          <w:sz w:val="24"/>
          <w:szCs w:val="24"/>
        </w:rPr>
        <w:t>在当前版本上任何线性的“讨价还价”都是浪费时间，只会落入乙方设置的谈判陷阱。</w:t>
      </w:r>
    </w:p>
    <w:p>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sz w:val="24"/>
          <w:szCs w:val="24"/>
        </w:rPr>
      </w:pPr>
      <w:r>
        <w:rPr>
          <w:sz w:val="24"/>
          <w:szCs w:val="24"/>
        </w:rPr>
        <w:t>唯一的、正确的行动路径是：</w:t>
      </w:r>
    </w:p>
    <w:p>
      <w:pPr>
        <w:pStyle w:val="5"/>
        <w:keepNext w:val="0"/>
        <w:keepLines w:val="0"/>
        <w:pageBreakBefore w:val="0"/>
        <w:widowControl/>
        <w:numPr>
          <w:ilvl w:val="0"/>
          <w:numId w:val="11"/>
        </w:numPr>
        <w:suppressLineNumbers w:val="0"/>
        <w:kinsoku/>
        <w:wordWrap/>
        <w:overflowPunct/>
        <w:topLinePunct w:val="0"/>
        <w:autoSpaceDE/>
        <w:autoSpaceDN/>
        <w:bidi w:val="0"/>
        <w:adjustRightInd/>
        <w:snapToGrid/>
        <w:spacing w:beforeAutospacing="0" w:afterAutospacing="0" w:line="360" w:lineRule="auto"/>
        <w:ind w:left="425" w:leftChars="0" w:hanging="425" w:firstLineChars="0"/>
        <w:textAlignment w:val="auto"/>
        <w:rPr>
          <w:sz w:val="24"/>
          <w:szCs w:val="24"/>
        </w:rPr>
      </w:pPr>
      <w:r>
        <w:rPr>
          <w:rStyle w:val="8"/>
          <w:sz w:val="24"/>
          <w:szCs w:val="24"/>
        </w:rPr>
        <w:t>立即废弃此协议</w:t>
      </w:r>
      <w:r>
        <w:rPr>
          <w:sz w:val="24"/>
          <w:szCs w:val="24"/>
        </w:rPr>
        <w:t>。明确告知乙方：“我们不接受以付款为前提的任何合作框架。我们只接受建立在全面、透明、独立尽调基础上的真实合作。您的新版本在公司治理上虽有改善，但核心致命风险未除，甚至引入了新的风险，我们无法接受。”</w:t>
      </w:r>
    </w:p>
    <w:p>
      <w:pPr>
        <w:pStyle w:val="5"/>
        <w:keepNext w:val="0"/>
        <w:keepLines w:val="0"/>
        <w:pageBreakBefore w:val="0"/>
        <w:widowControl/>
        <w:numPr>
          <w:ilvl w:val="0"/>
          <w:numId w:val="11"/>
        </w:numPr>
        <w:suppressLineNumbers w:val="0"/>
        <w:kinsoku/>
        <w:wordWrap/>
        <w:overflowPunct/>
        <w:topLinePunct w:val="0"/>
        <w:autoSpaceDE/>
        <w:autoSpaceDN/>
        <w:bidi w:val="0"/>
        <w:adjustRightInd/>
        <w:snapToGrid/>
        <w:spacing w:beforeAutospacing="0" w:afterAutospacing="0" w:line="360" w:lineRule="auto"/>
        <w:ind w:left="425" w:leftChars="0" w:hanging="425" w:firstLineChars="0"/>
        <w:textAlignment w:val="auto"/>
        <w:rPr>
          <w:sz w:val="24"/>
          <w:szCs w:val="24"/>
        </w:rPr>
      </w:pPr>
      <w:r>
        <w:rPr>
          <w:rStyle w:val="8"/>
          <w:sz w:val="24"/>
          <w:szCs w:val="24"/>
        </w:rPr>
        <w:t>强势输出《框架协议（代尽调意向书）》</w:t>
      </w:r>
      <w:r>
        <w:rPr>
          <w:sz w:val="24"/>
          <w:szCs w:val="24"/>
        </w:rPr>
        <w:t>。将我们已经准备好的文件直接发给乙方。这个文件的核心原则是：</w:t>
      </w:r>
      <w:r>
        <w:rPr>
          <w:rStyle w:val="8"/>
          <w:color w:val="FF0000"/>
          <w:sz w:val="24"/>
          <w:szCs w:val="24"/>
        </w:rPr>
        <w:t>尽调先行、零付款、无排他</w:t>
      </w:r>
      <w:r>
        <w:rPr>
          <w:sz w:val="24"/>
          <w:szCs w:val="24"/>
        </w:rPr>
        <w:t>。这是任何专业投资人进行重大并购的</w:t>
      </w:r>
      <w:r>
        <w:rPr>
          <w:rStyle w:val="8"/>
          <w:sz w:val="24"/>
          <w:szCs w:val="24"/>
        </w:rPr>
        <w:t>绝对底线</w:t>
      </w:r>
      <w:r>
        <w:rPr>
          <w:sz w:val="24"/>
          <w:szCs w:val="24"/>
        </w:rPr>
        <w:t>和</w:t>
      </w:r>
      <w:r>
        <w:rPr>
          <w:rStyle w:val="8"/>
          <w:sz w:val="24"/>
          <w:szCs w:val="24"/>
        </w:rPr>
        <w:t>行业惯例</w:t>
      </w:r>
      <w:r>
        <w:rPr>
          <w:sz w:val="24"/>
          <w:szCs w:val="24"/>
        </w:rPr>
        <w:t>。在这个阶段，你</w:t>
      </w:r>
      <w:r>
        <w:rPr>
          <w:rFonts w:hint="eastAsia"/>
          <w:sz w:val="24"/>
          <w:szCs w:val="24"/>
          <w:lang w:val="en-US" w:eastAsia="zh-CN"/>
        </w:rPr>
        <w:t>需要付出的是最前期的尽调</w:t>
      </w:r>
      <w:r>
        <w:rPr>
          <w:sz w:val="24"/>
          <w:szCs w:val="24"/>
        </w:rPr>
        <w:t>，但可以获得所有信息。</w:t>
      </w:r>
    </w:p>
    <w:p>
      <w:pPr>
        <w:pStyle w:val="5"/>
        <w:keepNext w:val="0"/>
        <w:keepLines w:val="0"/>
        <w:pageBreakBefore w:val="0"/>
        <w:widowControl/>
        <w:numPr>
          <w:ilvl w:val="0"/>
          <w:numId w:val="11"/>
        </w:numPr>
        <w:suppressLineNumbers w:val="0"/>
        <w:kinsoku/>
        <w:wordWrap/>
        <w:overflowPunct/>
        <w:topLinePunct w:val="0"/>
        <w:autoSpaceDE/>
        <w:autoSpaceDN/>
        <w:bidi w:val="0"/>
        <w:adjustRightInd/>
        <w:snapToGrid/>
        <w:spacing w:beforeAutospacing="0" w:afterAutospacing="0" w:line="360" w:lineRule="auto"/>
        <w:ind w:left="425" w:leftChars="0" w:hanging="425" w:firstLineChars="0"/>
        <w:textAlignment w:val="auto"/>
        <w:rPr>
          <w:sz w:val="24"/>
          <w:szCs w:val="24"/>
        </w:rPr>
      </w:pPr>
      <w:r>
        <w:rPr>
          <w:rStyle w:val="8"/>
          <w:sz w:val="24"/>
          <w:szCs w:val="24"/>
        </w:rPr>
        <w:t>亮明底线，做好放弃准备</w:t>
      </w:r>
      <w:r>
        <w:rPr>
          <w:sz w:val="24"/>
          <w:szCs w:val="24"/>
        </w:rPr>
        <w:t>。如果乙方拒绝签署《框架协议》，拒绝在你付款前让专业团队进行独立尽调，那就意味着他根本不想让你搞清楚资产的真实状况。</w:t>
      </w:r>
      <w:r>
        <w:rPr>
          <w:rStyle w:val="8"/>
          <w:sz w:val="24"/>
          <w:szCs w:val="24"/>
        </w:rPr>
        <w:t>项目应立刻终止</w:t>
      </w:r>
      <w:r>
        <w:rPr>
          <w:sz w:val="24"/>
          <w:szCs w:val="24"/>
        </w:rPr>
        <w:t>。贵州煤矿市场是买方市场，供给充足，选择很多。为一个企图让你签“卖身契”的对手浪费时间和金钱，甚至将自己置于1.77亿的亏损风险中，是极不明智的。</w:t>
      </w:r>
    </w:p>
    <w:p>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sz w:val="24"/>
          <w:szCs w:val="24"/>
        </w:rPr>
      </w:pP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9FB96A"/>
    <w:multiLevelType w:val="multilevel"/>
    <w:tmpl w:val="BA9FB9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3CDF0AC"/>
    <w:multiLevelType w:val="multilevel"/>
    <w:tmpl w:val="C3CDF0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56A668F"/>
    <w:multiLevelType w:val="multilevel"/>
    <w:tmpl w:val="E56A668F"/>
    <w:lvl w:ilvl="0" w:tentative="0">
      <w:start w:val="1"/>
      <w:numFmt w:val="bullet"/>
      <w:lvlText w:val="•"/>
      <w:lvlJc w:val="left"/>
      <w:pPr>
        <w:tabs>
          <w:tab w:val="left" w:pos="420"/>
        </w:tabs>
        <w:ind w:left="840" w:leftChars="0" w:hanging="420" w:firstLineChars="0"/>
      </w:pPr>
      <w:rPr>
        <w:rFonts w:hint="default" w:ascii="Arial" w:hAnsi="Arial" w:cs="Arial"/>
      </w:rPr>
    </w:lvl>
    <w:lvl w:ilvl="1" w:tentative="0">
      <w:start w:val="1"/>
      <w:numFmt w:val="bullet"/>
      <w:lvlText w:val=""/>
      <w:lvlJc w:val="left"/>
      <w:pPr>
        <w:tabs>
          <w:tab w:val="left" w:pos="1260"/>
        </w:tabs>
        <w:ind w:left="1260" w:leftChars="0" w:hanging="420" w:firstLineChars="0"/>
      </w:pPr>
      <w:rPr>
        <w:rFonts w:hint="default" w:ascii="Wingdings" w:hAnsi="Wingdings"/>
      </w:rPr>
    </w:lvl>
    <w:lvl w:ilvl="2" w:tentative="0">
      <w:start w:val="1"/>
      <w:numFmt w:val="bullet"/>
      <w:lvlText w:val=""/>
      <w:lvlJc w:val="left"/>
      <w:pPr>
        <w:tabs>
          <w:tab w:val="left" w:pos="1680"/>
        </w:tabs>
        <w:ind w:left="1680" w:leftChars="0" w:hanging="420" w:firstLineChars="0"/>
      </w:pPr>
      <w:rPr>
        <w:rFonts w:hint="default" w:ascii="Wingdings" w:hAnsi="Wingdings"/>
      </w:rPr>
    </w:lvl>
    <w:lvl w:ilvl="3" w:tentative="0">
      <w:start w:val="1"/>
      <w:numFmt w:val="bullet"/>
      <w:lvlText w:val=""/>
      <w:lvlJc w:val="left"/>
      <w:pPr>
        <w:tabs>
          <w:tab w:val="left" w:pos="2100"/>
        </w:tabs>
        <w:ind w:left="2100" w:leftChars="0" w:hanging="420" w:firstLineChars="0"/>
      </w:pPr>
      <w:rPr>
        <w:rFonts w:hint="default" w:ascii="Wingdings" w:hAnsi="Wingdings"/>
      </w:rPr>
    </w:lvl>
    <w:lvl w:ilvl="4" w:tentative="0">
      <w:start w:val="1"/>
      <w:numFmt w:val="bullet"/>
      <w:lvlText w:val=""/>
      <w:lvlJc w:val="left"/>
      <w:pPr>
        <w:tabs>
          <w:tab w:val="left" w:pos="2520"/>
        </w:tabs>
        <w:ind w:left="2520" w:leftChars="0" w:hanging="420" w:firstLineChars="0"/>
      </w:pPr>
      <w:rPr>
        <w:rFonts w:hint="default" w:ascii="Wingdings" w:hAnsi="Wingdings"/>
      </w:rPr>
    </w:lvl>
    <w:lvl w:ilvl="5" w:tentative="0">
      <w:start w:val="1"/>
      <w:numFmt w:val="bullet"/>
      <w:lvlText w:val=""/>
      <w:lvlJc w:val="left"/>
      <w:pPr>
        <w:tabs>
          <w:tab w:val="left" w:pos="2940"/>
        </w:tabs>
        <w:ind w:left="2940" w:leftChars="0" w:hanging="420" w:firstLineChars="0"/>
      </w:pPr>
      <w:rPr>
        <w:rFonts w:hint="default" w:ascii="Wingdings" w:hAnsi="Wingdings"/>
      </w:rPr>
    </w:lvl>
    <w:lvl w:ilvl="6" w:tentative="0">
      <w:start w:val="1"/>
      <w:numFmt w:val="bullet"/>
      <w:lvlText w:val=""/>
      <w:lvlJc w:val="left"/>
      <w:pPr>
        <w:tabs>
          <w:tab w:val="left" w:pos="3360"/>
        </w:tabs>
        <w:ind w:left="3360" w:leftChars="0" w:hanging="420" w:firstLineChars="0"/>
      </w:pPr>
      <w:rPr>
        <w:rFonts w:hint="default" w:ascii="Wingdings" w:hAnsi="Wingdings"/>
      </w:rPr>
    </w:lvl>
    <w:lvl w:ilvl="7" w:tentative="0">
      <w:start w:val="1"/>
      <w:numFmt w:val="bullet"/>
      <w:lvlText w:val=""/>
      <w:lvlJc w:val="left"/>
      <w:pPr>
        <w:tabs>
          <w:tab w:val="left" w:pos="3780"/>
        </w:tabs>
        <w:ind w:left="3780" w:leftChars="0" w:hanging="420" w:firstLineChars="0"/>
      </w:pPr>
      <w:rPr>
        <w:rFonts w:hint="default" w:ascii="Wingdings" w:hAnsi="Wingdings"/>
      </w:rPr>
    </w:lvl>
    <w:lvl w:ilvl="8" w:tentative="0">
      <w:start w:val="1"/>
      <w:numFmt w:val="bullet"/>
      <w:lvlText w:val=""/>
      <w:lvlJc w:val="left"/>
      <w:pPr>
        <w:tabs>
          <w:tab w:val="left" w:pos="4200"/>
        </w:tabs>
        <w:ind w:left="4200" w:leftChars="0" w:hanging="420" w:firstLineChars="0"/>
      </w:pPr>
      <w:rPr>
        <w:rFonts w:hint="default" w:ascii="Wingdings" w:hAnsi="Wingdings"/>
      </w:rPr>
    </w:lvl>
  </w:abstractNum>
  <w:abstractNum w:abstractNumId="3">
    <w:nsid w:val="E9064693"/>
    <w:multiLevelType w:val="singleLevel"/>
    <w:tmpl w:val="E9064693"/>
    <w:lvl w:ilvl="0" w:tentative="0">
      <w:start w:val="1"/>
      <w:numFmt w:val="decimal"/>
      <w:lvlText w:val="%1."/>
      <w:lvlJc w:val="left"/>
      <w:pPr>
        <w:ind w:left="425" w:hanging="425"/>
      </w:pPr>
      <w:rPr>
        <w:rFonts w:hint="default"/>
      </w:rPr>
    </w:lvl>
  </w:abstractNum>
  <w:abstractNum w:abstractNumId="4">
    <w:nsid w:val="17AB7F18"/>
    <w:multiLevelType w:val="multilevel"/>
    <w:tmpl w:val="17AB7F18"/>
    <w:lvl w:ilvl="0" w:tentative="0">
      <w:start w:val="1"/>
      <w:numFmt w:val="bullet"/>
      <w:lvlText w:val="•"/>
      <w:lvlJc w:val="left"/>
      <w:pPr>
        <w:tabs>
          <w:tab w:val="left" w:pos="420"/>
        </w:tabs>
        <w:ind w:left="840" w:leftChars="0" w:hanging="420" w:firstLineChars="0"/>
      </w:pPr>
      <w:rPr>
        <w:rFonts w:hint="default" w:ascii="Arial" w:hAnsi="Arial" w:cs="Arial"/>
      </w:rPr>
    </w:lvl>
    <w:lvl w:ilvl="1" w:tentative="0">
      <w:start w:val="1"/>
      <w:numFmt w:val="bullet"/>
      <w:lvlText w:val=""/>
      <w:lvlJc w:val="left"/>
      <w:pPr>
        <w:tabs>
          <w:tab w:val="left" w:pos="1260"/>
        </w:tabs>
        <w:ind w:left="1260" w:leftChars="0" w:hanging="420" w:firstLineChars="0"/>
      </w:pPr>
      <w:rPr>
        <w:rFonts w:hint="default" w:ascii="Wingdings" w:hAnsi="Wingdings"/>
      </w:rPr>
    </w:lvl>
    <w:lvl w:ilvl="2" w:tentative="0">
      <w:start w:val="1"/>
      <w:numFmt w:val="bullet"/>
      <w:lvlText w:val=""/>
      <w:lvlJc w:val="left"/>
      <w:pPr>
        <w:tabs>
          <w:tab w:val="left" w:pos="1680"/>
        </w:tabs>
        <w:ind w:left="1680" w:leftChars="0" w:hanging="420" w:firstLineChars="0"/>
      </w:pPr>
      <w:rPr>
        <w:rFonts w:hint="default" w:ascii="Wingdings" w:hAnsi="Wingdings"/>
      </w:rPr>
    </w:lvl>
    <w:lvl w:ilvl="3" w:tentative="0">
      <w:start w:val="1"/>
      <w:numFmt w:val="bullet"/>
      <w:lvlText w:val=""/>
      <w:lvlJc w:val="left"/>
      <w:pPr>
        <w:tabs>
          <w:tab w:val="left" w:pos="2100"/>
        </w:tabs>
        <w:ind w:left="2100" w:leftChars="0" w:hanging="420" w:firstLineChars="0"/>
      </w:pPr>
      <w:rPr>
        <w:rFonts w:hint="default" w:ascii="Wingdings" w:hAnsi="Wingdings"/>
      </w:rPr>
    </w:lvl>
    <w:lvl w:ilvl="4" w:tentative="0">
      <w:start w:val="1"/>
      <w:numFmt w:val="bullet"/>
      <w:lvlText w:val=""/>
      <w:lvlJc w:val="left"/>
      <w:pPr>
        <w:tabs>
          <w:tab w:val="left" w:pos="2520"/>
        </w:tabs>
        <w:ind w:left="2520" w:leftChars="0" w:hanging="420" w:firstLineChars="0"/>
      </w:pPr>
      <w:rPr>
        <w:rFonts w:hint="default" w:ascii="Wingdings" w:hAnsi="Wingdings"/>
      </w:rPr>
    </w:lvl>
    <w:lvl w:ilvl="5" w:tentative="0">
      <w:start w:val="1"/>
      <w:numFmt w:val="bullet"/>
      <w:lvlText w:val=""/>
      <w:lvlJc w:val="left"/>
      <w:pPr>
        <w:tabs>
          <w:tab w:val="left" w:pos="2940"/>
        </w:tabs>
        <w:ind w:left="2940" w:leftChars="0" w:hanging="420" w:firstLineChars="0"/>
      </w:pPr>
      <w:rPr>
        <w:rFonts w:hint="default" w:ascii="Wingdings" w:hAnsi="Wingdings"/>
      </w:rPr>
    </w:lvl>
    <w:lvl w:ilvl="6" w:tentative="0">
      <w:start w:val="1"/>
      <w:numFmt w:val="bullet"/>
      <w:lvlText w:val=""/>
      <w:lvlJc w:val="left"/>
      <w:pPr>
        <w:tabs>
          <w:tab w:val="left" w:pos="3360"/>
        </w:tabs>
        <w:ind w:left="3360" w:leftChars="0" w:hanging="420" w:firstLineChars="0"/>
      </w:pPr>
      <w:rPr>
        <w:rFonts w:hint="default" w:ascii="Wingdings" w:hAnsi="Wingdings"/>
      </w:rPr>
    </w:lvl>
    <w:lvl w:ilvl="7" w:tentative="0">
      <w:start w:val="1"/>
      <w:numFmt w:val="bullet"/>
      <w:lvlText w:val=""/>
      <w:lvlJc w:val="left"/>
      <w:pPr>
        <w:tabs>
          <w:tab w:val="left" w:pos="3780"/>
        </w:tabs>
        <w:ind w:left="3780" w:leftChars="0" w:hanging="420" w:firstLineChars="0"/>
      </w:pPr>
      <w:rPr>
        <w:rFonts w:hint="default" w:ascii="Wingdings" w:hAnsi="Wingdings"/>
      </w:rPr>
    </w:lvl>
    <w:lvl w:ilvl="8" w:tentative="0">
      <w:start w:val="1"/>
      <w:numFmt w:val="bullet"/>
      <w:lvlText w:val=""/>
      <w:lvlJc w:val="left"/>
      <w:pPr>
        <w:tabs>
          <w:tab w:val="left" w:pos="4200"/>
        </w:tabs>
        <w:ind w:left="4200" w:leftChars="0" w:hanging="420" w:firstLineChars="0"/>
      </w:pPr>
      <w:rPr>
        <w:rFonts w:hint="default" w:ascii="Wingdings" w:hAnsi="Wingdings"/>
      </w:rPr>
    </w:lvl>
  </w:abstractNum>
  <w:abstractNum w:abstractNumId="5">
    <w:nsid w:val="28A99FF2"/>
    <w:multiLevelType w:val="multilevel"/>
    <w:tmpl w:val="28A99FF2"/>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312FF76C"/>
    <w:multiLevelType w:val="singleLevel"/>
    <w:tmpl w:val="312FF76C"/>
    <w:lvl w:ilvl="0" w:tentative="0">
      <w:start w:val="1"/>
      <w:numFmt w:val="bullet"/>
      <w:lvlText w:val="•"/>
      <w:lvlJc w:val="left"/>
      <w:pPr>
        <w:tabs>
          <w:tab w:val="left" w:pos="420"/>
        </w:tabs>
        <w:ind w:left="840" w:leftChars="0" w:hanging="420" w:firstLineChars="0"/>
      </w:pPr>
      <w:rPr>
        <w:rFonts w:hint="default" w:ascii="Arial" w:hAnsi="Arial" w:cs="Arial"/>
      </w:rPr>
    </w:lvl>
  </w:abstractNum>
  <w:abstractNum w:abstractNumId="7">
    <w:nsid w:val="37E1E933"/>
    <w:multiLevelType w:val="singleLevel"/>
    <w:tmpl w:val="37E1E933"/>
    <w:lvl w:ilvl="0" w:tentative="0">
      <w:start w:val="1"/>
      <w:numFmt w:val="bullet"/>
      <w:lvlText w:val="•"/>
      <w:lvlJc w:val="left"/>
      <w:pPr>
        <w:tabs>
          <w:tab w:val="left" w:pos="420"/>
        </w:tabs>
        <w:ind w:left="840" w:leftChars="0" w:hanging="420" w:firstLineChars="0"/>
      </w:pPr>
      <w:rPr>
        <w:rFonts w:hint="default" w:ascii="Arial" w:hAnsi="Arial" w:cs="Arial"/>
      </w:rPr>
    </w:lvl>
  </w:abstractNum>
  <w:num w:numId="1">
    <w:abstractNumId w:val="2"/>
  </w:num>
  <w:num w:numId="2">
    <w:abstractNumId w:val="5"/>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 w:numId="9">
    <w:abstractNumId w:val="1"/>
  </w:num>
  <w:num w:numId="10">
    <w:abstractNumId w:val="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FmZWIzNDg2MmIzZjExOTIzMmViNTBmYTMwYTk0ZWYifQ=="/>
  </w:docVars>
  <w:rsids>
    <w:rsidRoot w:val="00000000"/>
    <w:rsid w:val="22391A5C"/>
    <w:rsid w:val="6DCD6A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autoRedefin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2026-06-04T10:16:30Z</dcterms:created>
  <dc:creator>26878</dc:creator>
  <cp:lastModifiedBy>李超逸</cp:lastModifiedBy>
  <dcterms:modified xsi:type="dcterms:W3CDTF">2026-06-04T10:36:10Z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E41F2B05AA5E4C61A425BBDB72117A90_12</vt:lpwstr>
  </property>
</Properties>
</file>