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eastAsia="宋体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程信霖</w:t>
      </w:r>
      <w:r>
        <w:rPr>
          <w:color w:val="000000"/>
          <w:sz w:val="21"/>
          <w:szCs w:val="21"/>
        </w:rPr>
        <w:t>公司业务架构</w:t>
      </w:r>
      <w:r>
        <w:rPr>
          <w:rFonts w:hint="eastAsia"/>
          <w:color w:val="000000"/>
          <w:sz w:val="21"/>
          <w:szCs w:val="21"/>
          <w:lang w:val="en-US" w:eastAsia="zh-CN"/>
        </w:rPr>
        <w:t>调整方案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73470" cy="2111375"/>
            <wp:effectExtent l="0" t="0" r="8255" b="3175"/>
            <wp:docPr id="2" name="图片 2" descr="deepseek_mermaid_20260611_87f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611_87f9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 业务总览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本公司业务以“流量获客 - 业务承接 - 服务落地”为核心逻辑，构建了从客户触达、需求响应到企业级服务交付的完整闭环，业务覆盖个人债务优化、融资咨询及企业落地服务三大板块，形成多渠道引流、多产品矩阵、标准化交付的经营模式。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2. 流量获客渠道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作为业务的前端入口，通过三大渠道实现客户触达与品牌曝光：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公众号文章</w:t>
      </w:r>
      <w:r>
        <w:rPr>
          <w:color w:val="000000"/>
          <w:sz w:val="21"/>
          <w:szCs w:val="21"/>
        </w:rPr>
        <w:t>：以专业内容科普、行业干货输出为核心，建立品牌专业形象，沉淀私域流量。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短视频引流</w:t>
      </w:r>
      <w:r>
        <w:rPr>
          <w:color w:val="000000"/>
          <w:sz w:val="21"/>
          <w:szCs w:val="21"/>
        </w:rPr>
        <w:t>：依托短视频平台进行轻量化内容传播，扩大品牌声量，吸引泛用户群体。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知识直播</w:t>
      </w:r>
      <w:r>
        <w:rPr>
          <w:color w:val="000000"/>
          <w:sz w:val="21"/>
          <w:szCs w:val="21"/>
        </w:rPr>
        <w:t>：通过直播形式进行专业知识分享与互动答疑，实现高意向客户的转化与沉淀。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3. 核心业务板块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3.1 助贷中介业务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面向个人及中小微企业提供债务与融资相关的全链条服务：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债务协商服务</w:t>
      </w:r>
      <w:r>
        <w:rPr>
          <w:color w:val="000000"/>
          <w:sz w:val="21"/>
          <w:szCs w:val="21"/>
        </w:rPr>
        <w:t>：为客户提供债务优化方案支撑，同时提供信用修复相关咨询与服务，帮助客户梳理债务结构、改善信用状况。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对公 / 对私融资服务</w:t>
      </w:r>
      <w:r>
        <w:rPr>
          <w:color w:val="000000"/>
          <w:sz w:val="21"/>
          <w:szCs w:val="21"/>
        </w:rPr>
        <w:t xml:space="preserve">：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106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个人 / 企业助贷：对接合规资金渠道，匹配客户融资需求，提供贷款撮合服务。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106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融资规划：根据客户财务状况与发展目标，制定个性化融资方案，优化融资成本与结构。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3.2 咨询业务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firstLine="420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以专业工具包与定制化服务，为客户提供财务与商业全流程咨询支持：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标准化工具包服务</w:t>
      </w:r>
      <w:r>
        <w:rPr>
          <w:color w:val="000000"/>
          <w:sz w:val="21"/>
          <w:szCs w:val="21"/>
        </w:rPr>
        <w:t>：提供融资体检、财务分析、商业合同审查等标准化工具包，为客户提供低成本、高效率的初步诊断与方案参考。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定制化咨询服务</w:t>
      </w:r>
      <w:r>
        <w:rPr>
          <w:color w:val="000000"/>
          <w:sz w:val="21"/>
          <w:szCs w:val="21"/>
        </w:rPr>
        <w:t>：针对客户个性化需求，提供一对一的深度咨询服务，输出专属解决方案。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3.3 企业落地服务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聚焦企业级场景，提供标准化、可规模化的落地服务：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物业费催收服务</w:t>
      </w:r>
      <w:r>
        <w:rPr>
          <w:color w:val="000000"/>
          <w:sz w:val="21"/>
          <w:szCs w:val="21"/>
        </w:rPr>
        <w:t>：搭建专业服务团队，建立标准化催收流程，为物业企业提供合规、高效的物业费催收服务。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系统开发服务</w:t>
      </w:r>
      <w:r>
        <w:rPr>
          <w:color w:val="000000"/>
          <w:sz w:val="21"/>
          <w:szCs w:val="21"/>
        </w:rPr>
        <w:t>：搭建业务数据库与响应链系统，为企业提供数字化管理工具，实现业务流程线上化、数据化管理。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840" w:leftChars="0" w:right="0" w:hanging="420" w:firstLineChars="0"/>
        <w:jc w:val="left"/>
        <w:rPr>
          <w:color w:val="000000"/>
          <w:sz w:val="21"/>
          <w:szCs w:val="21"/>
        </w:rPr>
      </w:pPr>
      <w:r>
        <w:rPr>
          <w:rStyle w:val="7"/>
          <w:color w:val="000000"/>
          <w:sz w:val="21"/>
          <w:szCs w:val="21"/>
        </w:rPr>
        <w:t>OPC 服务</w:t>
      </w:r>
      <w:r>
        <w:rPr>
          <w:color w:val="000000"/>
          <w:sz w:val="21"/>
          <w:szCs w:val="21"/>
        </w:rPr>
        <w:t>：为企业提供定制化的流程管理或客户管理工具服务，支撑企业业务高效运转。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4. 业务逻辑闭环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本架构通过 “前端流量渠道获取客户 - 三大核心业务承接需求 - 标准化工具与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系统支撑交付” 的模式，实现业务的高效运转与规模化复制，同时通过内容渠道持续沉淀品牌价值，形成业务的正向循环。</w:t>
      </w:r>
    </w:p>
    <w:sectPr>
      <w:pgSz w:w="11906" w:h="16838"/>
      <w:pgMar w:top="1270" w:right="1080" w:bottom="127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83CA9"/>
    <w:multiLevelType w:val="singleLevel"/>
    <w:tmpl w:val="A0083CA9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">
    <w:nsid w:val="E3D35C5D"/>
    <w:multiLevelType w:val="multilevel"/>
    <w:tmpl w:val="E3D35C5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7A7502B2"/>
    <w:multiLevelType w:val="multilevel"/>
    <w:tmpl w:val="7A750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1CF38F8"/>
    <w:rsid w:val="32BB7A22"/>
    <w:rsid w:val="32F65A55"/>
    <w:rsid w:val="4AEF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2026-06-11T13:09:00Z</dcterms:created>
  <dc:creator>26878</dc:creator>
  <cp:lastModifiedBy>李超逸</cp:lastModifiedBy>
  <cp:lastPrinted>2026-06-15T01:05:20Z</cp:lastPrinted>
  <dcterms:modified xsi:type="dcterms:W3CDTF">2026-06-15T01:51:26Z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260996A984CB490B8E7E1338845FFCDF_12</vt:lpwstr>
  </property>
</Properties>
</file>