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DFKai-SB" w:hAnsi="DFKai-SB" w:eastAsia="標楷體"/>
          <w:b/>
          <w:sz w:val="28"/>
        </w:rPr>
        <w:t>Cyber4.0 2026 AI 創新競賽</w:t>
      </w:r>
    </w:p>
    <w:p>
      <w:pPr>
        <w:jc w:val="center"/>
      </w:pPr>
      <w:r>
        <w:rPr>
          <w:rFonts w:ascii="DFKai-SB" w:hAnsi="DFKai-SB" w:eastAsia="標楷體"/>
          <w:b/>
          <w:sz w:val="28"/>
        </w:rPr>
        <w:t>初審提案計畫書（Content Confidence Draft v0.3）</w:t>
      </w:r>
    </w:p>
    <w:p>
      <w:pPr>
        <w:jc w:val="center"/>
      </w:pPr>
      <w:r>
        <w:rPr>
          <w:rFonts w:ascii="DFKai-SB" w:hAnsi="DFKai-SB" w:eastAsia="標楷體"/>
          <w:b w:val="0"/>
          <w:sz w:val="28"/>
        </w:rPr>
      </w:r>
    </w:p>
    <w:p>
      <w:pPr>
        <w:jc w:val="center"/>
      </w:pPr>
      <w:r>
        <w:rPr>
          <w:rFonts w:ascii="DFKai-SB" w:hAnsi="DFKai-SB" w:eastAsia="標楷體"/>
          <w:b/>
          <w:sz w:val="28"/>
        </w:rPr>
        <w:t>提案名稱：PolyNexus：多 AI 協作、交叉審查與可信驗證工作平台</w:t>
      </w:r>
    </w:p>
    <w:p>
      <w:pPr>
        <w:jc w:val="center"/>
      </w:pPr>
      <w:r>
        <w:rPr>
          <w:rFonts w:ascii="DFKai-SB" w:hAnsi="DFKai-SB" w:eastAsia="標楷體"/>
          <w:b w:val="0"/>
          <w:sz w:val="28"/>
        </w:rPr>
        <w:t>應用領域：工作效率提升（核心場景：工程卓越，並可延伸專案與一般行政工作）</w:t>
      </w:r>
    </w:p>
    <w:p>
      <w:pPr>
        <w:jc w:val="center"/>
      </w:pPr>
      <w:r>
        <w:rPr>
          <w:rFonts w:ascii="DFKai-SB" w:hAnsi="DFKai-SB" w:eastAsia="標楷體"/>
          <w:b w:val="0"/>
          <w:sz w:val="28"/>
        </w:rPr>
        <w:t>文件日期：2026 年 8 月 27 日</w:t>
      </w:r>
    </w:p>
    <w:p>
      <w:pPr>
        <w:jc w:val="center"/>
      </w:pPr>
      <w:r>
        <w:rPr>
          <w:rFonts w:ascii="DFKai-SB" w:hAnsi="DFKai-SB" w:eastAsia="標楷體"/>
          <w:b w:val="0"/>
          <w:sz w:val="28"/>
        </w:rPr>
        <w:t>初審書審資料截止：2026 年 8 月 31 日（官方活動簡章；現行表單／公告覆蓋規則待 G03 確認）</w:t>
      </w:r>
    </w:p>
    <w:p>
      <w:pPr>
        <w:jc w:val="center"/>
      </w:pPr>
      <w:r>
        <w:rPr>
          <w:rFonts w:ascii="DFKai-SB" w:hAnsi="DFKai-SB" w:eastAsia="標楷體"/>
          <w:b w:val="0"/>
          <w:sz w:val="28"/>
        </w:rPr>
        <w:t>註：本文件為內容可信度 Draft v0.3；所有能力明確區分 Implemented / In Development / Planned V1 / Future。官方首頁與活動簡章已確認初審日期基線、20 頁上限與 50/30/20 評分；首頁 Demo 5–10 分鐘與簡章初選 Demo 3 分鐘內或截圖、效益說明表交件方式仍有 OFFICIAL_CONFLICT / NEED_ACTION，現行表單欄位／檔案限制待 G03 確認。不以規劃項目、歷史測試或 AI Opinion 宣稱已完成。</w:t>
      </w:r>
    </w:p>
    <w:p>
      <w:r>
        <w:br w:type="page"/>
      </w:r>
    </w:p>
    <w:p>
      <w:pPr>
        <w:pStyle w:val="Heading1"/>
      </w:pPr>
      <w:r>
        <w:rPr>
          <w:rFonts w:ascii="DFKai-SB" w:hAnsi="DFKai-SB" w:eastAsia="標楷體"/>
          <w:b/>
          <w:sz w:val="28"/>
        </w:rPr>
        <w:t>一、提案基本資訊</w:t>
      </w:r>
    </w:p>
    <w:p>
      <w:pPr>
        <w:pStyle w:val="Heading2"/>
      </w:pPr>
      <w:r>
        <w:rPr>
          <w:rFonts w:ascii="DFKai-SB" w:hAnsi="DFKai-SB" w:eastAsia="標楷體"/>
          <w:b/>
          <w:sz w:val="28"/>
        </w:rPr>
        <w:t>1. 提案名稱</w:t>
      </w:r>
    </w:p>
    <w:p>
      <w:r>
        <w:rPr>
          <w:rFonts w:ascii="DFKai-SB" w:hAnsi="DFKai-SB" w:eastAsia="標楷體"/>
          <w:b w:val="0"/>
          <w:sz w:val="28"/>
        </w:rPr>
        <w:t>PolyNexus：多 AI 協作、交叉審查與可信驗證工作平台</w:t>
      </w:r>
    </w:p>
    <w:p>
      <w:pPr>
        <w:pStyle w:val="Heading2"/>
      </w:pPr>
      <w:r>
        <w:rPr>
          <w:rFonts w:ascii="DFKai-SB" w:hAnsi="DFKai-SB" w:eastAsia="標楷體"/>
          <w:b/>
          <w:sz w:val="28"/>
        </w:rPr>
        <w:t>2. 提案摘要（300–500 字）</w:t>
      </w:r>
    </w:p>
    <w:p>
      <w:r>
        <w:rPr>
          <w:rFonts w:ascii="DFKai-SB" w:hAnsi="DFKai-SB" w:eastAsia="標楷體"/>
          <w:b w:val="0"/>
          <w:sz w:val="28"/>
        </w:rPr>
        <w:t>企業與個人在日常工作中同時使用多種 AI 與 runtime，但工具彼此孤立，使用者必須重複搬運脈絡、比較答案與整理結果；更大的問題是 AI 判斷常與真實測試、文件規則或人工核准混在一起，造成結果難以追溯、驗證與接續。PolyNexus 以 Local-first 為原則，提供 Project／Task／Run／Context Package／Artifact／History 的 bounded Workspace，以及 Council、Evidence、Finding、Decision 與 declarative Workflow 的協作與驗證基礎。當前可對外主張的是已接受的 Core slice：Project → Review → Runtime boundary → Finding／Evidence → Result → History。Codex／OpenCode vendor runtime、Web AI Level 3A、Local AI adapter、完整 routing policy、完整 V1 template breadth、完整 backup／restore 與 business outcome measurement 仍屬 In Development 或 Planned V1；dynamic marketplace、multi-user／enterprise IAM、full RAG 與 autonomous team 屬於 Future。</w:t>
      </w:r>
    </w:p>
    <w:p>
      <w:pPr>
        <w:pStyle w:val="Heading1"/>
      </w:pPr>
      <w:r>
        <w:rPr>
          <w:rFonts w:ascii="DFKai-SB" w:hAnsi="DFKai-SB" w:eastAsia="標楷體"/>
          <w:b/>
          <w:sz w:val="28"/>
        </w:rPr>
        <w:t>二、問題分析與解決方案</w:t>
      </w:r>
    </w:p>
    <w:p>
      <w:pPr>
        <w:pStyle w:val="Heading2"/>
      </w:pPr>
      <w:r>
        <w:rPr>
          <w:rFonts w:ascii="DFKai-SB" w:hAnsi="DFKai-SB" w:eastAsia="標楷體"/>
          <w:b/>
          <w:sz w:val="28"/>
        </w:rPr>
        <w:t>1. 問題描述</w:t>
      </w:r>
    </w:p>
    <w:p>
      <w:pPr>
        <w:ind w:left="340" w:hanging="227"/>
      </w:pPr>
      <w:r>
        <w:rPr>
          <w:rFonts w:ascii="DFKai-SB" w:hAnsi="DFKai-SB" w:eastAsia="標楷體"/>
          <w:sz w:val="28"/>
        </w:rPr>
        <w:t>● AI 工具快速增加，但工作脈絡分散在不同聊天、CLI、Web 與 Local AI，跨工具接續成本高。</w:t>
      </w:r>
    </w:p>
    <w:p>
      <w:pPr>
        <w:ind w:left="340" w:hanging="227"/>
      </w:pPr>
      <w:r>
        <w:rPr>
          <w:rFonts w:ascii="DFKai-SB" w:hAnsi="DFKai-SB" w:eastAsia="標楷體"/>
          <w:sz w:val="28"/>
        </w:rPr>
        <w:t>● 相同 Project 常需重複複製 Prompt、文件與背景，造成時間與 Token/Quota 浪費。</w:t>
      </w:r>
    </w:p>
    <w:p>
      <w:pPr>
        <w:ind w:left="340" w:hanging="227"/>
      </w:pPr>
      <w:r>
        <w:rPr>
          <w:rFonts w:ascii="DFKai-SB" w:hAnsi="DFKai-SB" w:eastAsia="標楷體"/>
          <w:sz w:val="28"/>
        </w:rPr>
        <w:t>● 多 AI 回答通常只靠人工並排閱讀；共識、分歧、風險與遺漏沒有標準化產物。</w:t>
      </w:r>
    </w:p>
    <w:p>
      <w:pPr>
        <w:ind w:left="340" w:hanging="227"/>
      </w:pPr>
      <w:r>
        <w:rPr>
          <w:rFonts w:ascii="DFKai-SB" w:hAnsi="DFKai-SB" w:eastAsia="標楷體"/>
          <w:sz w:val="28"/>
        </w:rPr>
        <w:t>● AI 自述「已測試／PASS」與實際 command、exit code、文件規則、人工核准常被混在一起，難以建立可信驗證。</w:t>
      </w:r>
    </w:p>
    <w:p>
      <w:pPr>
        <w:ind w:left="340" w:hanging="227"/>
      </w:pPr>
      <w:r>
        <w:rPr>
          <w:rFonts w:ascii="DFKai-SB" w:hAnsi="DFKai-SB" w:eastAsia="標楷體"/>
          <w:sz w:val="28"/>
        </w:rPr>
        <w:t>● Web AI、Coding Agent 與 Local AI 的操作介面不同，上游版本更新後也缺乏統一 Compatibility/Doctor 機制。</w:t>
      </w:r>
    </w:p>
    <w:p>
      <w:pPr>
        <w:ind w:left="340" w:hanging="227"/>
      </w:pPr>
      <w:r>
        <w:rPr>
          <w:rFonts w:ascii="DFKai-SB" w:hAnsi="DFKai-SB" w:eastAsia="標楷體"/>
          <w:sz w:val="28"/>
        </w:rPr>
        <w:t>● 個人開發與日常工作若只靠聊天歷史保存知識，長期容易遺失決策、Evidence 與交接資訊。</w:t>
      </w:r>
    </w:p>
    <w:p>
      <w:pPr>
        <w:pStyle w:val="Heading2"/>
      </w:pPr>
      <w:r>
        <w:rPr>
          <w:rFonts w:ascii="DFKai-SB" w:hAnsi="DFKai-SB" w:eastAsia="標楷體"/>
          <w:b/>
          <w:sz w:val="28"/>
        </w:rPr>
        <w:t>2. 解決方案</w:t>
      </w:r>
    </w:p>
    <w:p>
      <w:r>
        <w:rPr>
          <w:rFonts w:ascii="DFKai-SB" w:hAnsi="DFKai-SB" w:eastAsia="標楷體"/>
          <w:b w:val="0"/>
          <w:sz w:val="28"/>
        </w:rPr>
        <w:t>PolyNexus 不再建立另一個模型，而是位於 Model / Agent Runtime 之上的 Coordination Plane。現階段以 Project / Workspace 管理工作，並以 Discuss、Review、Validate 三種意圖啟動可重複 Workflow；已完成範圍為 bounded Core/API 與驗證基礎，vendor、browser、local integration 依 maturity separately gated。</w:t>
      </w:r>
    </w:p>
    <w:p>
      <w:pPr>
        <w:pStyle w:val="Heading2"/>
      </w:pPr>
      <w:r>
        <w:rPr>
          <w:rFonts w:ascii="DFKai-SB" w:hAnsi="DFKai-SB" w:eastAsia="標楷體"/>
          <w:b/>
          <w:sz w:val="28"/>
        </w:rPr>
        <w:t>3. 核心能力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vAlign w:val="center"/>
          </w:tcPr>
          <w:p>
            <w:r>
              <w:rPr>
                <w:rFonts w:ascii="DFKai-SB" w:hAnsi="DFKai-SB" w:eastAsia="標楷體"/>
                <w:sz w:val="24"/>
              </w:rPr>
              <w:t>能力</w:t>
            </w:r>
          </w:p>
        </w:tc>
        <w:tc>
          <w:tcPr>
            <w:tcW w:type="dxa" w:w="3213"/>
            <w:vAlign w:val="center"/>
          </w:tcPr>
          <w:p>
            <w:r>
              <w:rPr>
                <w:rFonts w:ascii="DFKai-SB" w:hAnsi="DFKai-SB" w:eastAsia="標楷體"/>
                <w:sz w:val="24"/>
              </w:rPr>
              <w:t>V1 作法</w:t>
            </w:r>
          </w:p>
        </w:tc>
        <w:tc>
          <w:tcPr>
            <w:tcW w:type="dxa" w:w="3213"/>
            <w:vAlign w:val="center"/>
          </w:tcPr>
          <w:p>
            <w:r>
              <w:rPr>
                <w:rFonts w:ascii="DFKai-SB" w:hAnsi="DFKai-SB" w:eastAsia="標楷體"/>
                <w:sz w:val="24"/>
              </w:rPr>
              <w:t>價值</w:t>
            </w:r>
          </w:p>
        </w:tc>
      </w:tr>
      <w:tr>
        <w:tc>
          <w:tcPr>
            <w:tcW w:type="dxa" w:w="3213"/>
            <w:vAlign w:val="center"/>
          </w:tcPr>
          <w:p>
            <w:r>
              <w:rPr>
                <w:rFonts w:ascii="DFKai-SB" w:hAnsi="DFKai-SB" w:eastAsia="標楷體"/>
                <w:sz w:val="24"/>
              </w:rPr>
              <w:t>Workspace / Context</w:t>
            </w:r>
          </w:p>
        </w:tc>
        <w:tc>
          <w:tcPr>
            <w:tcW w:type="dxa" w:w="3213"/>
            <w:vAlign w:val="center"/>
          </w:tcPr>
          <w:p>
            <w:r>
              <w:rPr>
                <w:rFonts w:ascii="DFKai-SB" w:hAnsi="DFKai-SB" w:eastAsia="標楷體"/>
                <w:sz w:val="24"/>
              </w:rPr>
              <w:t>IMPLEMENTED（bounded）：Project、Task、Context Package、Artifact、History</w:t>
            </w:r>
          </w:p>
        </w:tc>
        <w:tc>
          <w:tcPr>
            <w:tcW w:type="dxa" w:w="3213"/>
            <w:vAlign w:val="center"/>
          </w:tcPr>
          <w:p>
            <w:r>
              <w:rPr>
                <w:rFonts w:ascii="DFKai-SB" w:hAnsi="DFKai-SB" w:eastAsia="標楷體"/>
                <w:sz w:val="24"/>
              </w:rPr>
              <w:t>減少重複搬運與資訊遺失</w:t>
            </w:r>
          </w:p>
        </w:tc>
      </w:tr>
      <w:tr>
        <w:tc>
          <w:tcPr>
            <w:tcW w:type="dxa" w:w="3213"/>
            <w:vAlign w:val="center"/>
          </w:tcPr>
          <w:p>
            <w:r>
              <w:rPr>
                <w:rFonts w:ascii="DFKai-SB" w:hAnsi="DFKai-SB" w:eastAsia="標楷體"/>
                <w:sz w:val="24"/>
              </w:rPr>
              <w:t>Council</w:t>
            </w:r>
          </w:p>
        </w:tc>
        <w:tc>
          <w:tcPr>
            <w:tcW w:type="dxa" w:w="3213"/>
            <w:vAlign w:val="center"/>
          </w:tcPr>
          <w:p>
            <w:r>
              <w:rPr>
                <w:rFonts w:ascii="DFKai-SB" w:hAnsi="DFKai-SB" w:eastAsia="標楷體"/>
                <w:sz w:val="24"/>
              </w:rPr>
              <w:t>IMPLEMENTED（WP-12 bounded）：獨立分析、Cross Review、Synthesis</w:t>
            </w:r>
          </w:p>
        </w:tc>
        <w:tc>
          <w:tcPr>
            <w:tcW w:type="dxa" w:w="3213"/>
            <w:vAlign w:val="center"/>
          </w:tcPr>
          <w:p>
            <w:r>
              <w:rPr>
                <w:rFonts w:ascii="DFKai-SB" w:hAnsi="DFKai-SB" w:eastAsia="標楷體"/>
                <w:sz w:val="24"/>
              </w:rPr>
              <w:t>保留共識、分歧、風險與缺漏</w:t>
            </w:r>
          </w:p>
        </w:tc>
      </w:tr>
      <w:tr>
        <w:tc>
          <w:tcPr>
            <w:tcW w:type="dxa" w:w="3213"/>
            <w:vAlign w:val="center"/>
          </w:tcPr>
          <w:p>
            <w:r>
              <w:rPr>
                <w:rFonts w:ascii="DFKai-SB" w:hAnsi="DFKai-SB" w:eastAsia="標楷體"/>
                <w:sz w:val="24"/>
              </w:rPr>
              <w:t>Evidence</w:t>
            </w:r>
          </w:p>
        </w:tc>
        <w:tc>
          <w:tcPr>
            <w:tcW w:type="dxa" w:w="3213"/>
            <w:vAlign w:val="center"/>
          </w:tcPr>
          <w:p>
            <w:r>
              <w:rPr>
                <w:rFonts w:ascii="DFKai-SB" w:hAnsi="DFKai-SB" w:eastAsia="標楷體"/>
                <w:sz w:val="24"/>
              </w:rPr>
              <w:t>IMPLEMENTED（WP-13 bounded）：區分 AI Opinion / Tool / Runtime / Document / Human Evidence；Human decision fail closed</w:t>
            </w:r>
          </w:p>
        </w:tc>
        <w:tc>
          <w:tcPr>
            <w:tcW w:type="dxa" w:w="3213"/>
            <w:vAlign w:val="center"/>
          </w:tcPr>
          <w:p>
            <w:r>
              <w:rPr>
                <w:rFonts w:ascii="DFKai-SB" w:hAnsi="DFKai-SB" w:eastAsia="標楷體"/>
                <w:sz w:val="24"/>
              </w:rPr>
              <w:t>避免把 AI 判斷誤當成實證</w:t>
            </w:r>
          </w:p>
        </w:tc>
      </w:tr>
      <w:tr>
        <w:tc>
          <w:tcPr>
            <w:tcW w:type="dxa" w:w="3213"/>
            <w:vAlign w:val="center"/>
          </w:tcPr>
          <w:p>
            <w:r>
              <w:rPr>
                <w:rFonts w:ascii="DFKai-SB" w:hAnsi="DFKai-SB" w:eastAsia="標楷體"/>
                <w:sz w:val="24"/>
              </w:rPr>
              <w:t>Workflow</w:t>
            </w:r>
          </w:p>
        </w:tc>
        <w:tc>
          <w:tcPr>
            <w:tcW w:type="dxa" w:w="3213"/>
            <w:vAlign w:val="center"/>
          </w:tcPr>
          <w:p>
            <w:r>
              <w:rPr>
                <w:rFonts w:ascii="DFKai-SB" w:hAnsi="DFKai-SB" w:eastAsia="標楷體"/>
                <w:sz w:val="24"/>
              </w:rPr>
              <w:t>IMPLEMENTED（bounded）：Declarative fixed-node Workflow；目前 3 個 Built-in；完整 breadth planned</w:t>
            </w:r>
          </w:p>
        </w:tc>
        <w:tc>
          <w:tcPr>
            <w:tcW w:type="dxa" w:w="3213"/>
            <w:vAlign w:val="center"/>
          </w:tcPr>
          <w:p>
            <w:r>
              <w:rPr>
                <w:rFonts w:ascii="DFKai-SB" w:hAnsi="DFKai-SB" w:eastAsia="標楷體"/>
                <w:sz w:val="24"/>
              </w:rPr>
              <w:t>可跨工程、PM、行政情境複用</w:t>
            </w:r>
          </w:p>
        </w:tc>
      </w:tr>
      <w:tr>
        <w:tc>
          <w:tcPr>
            <w:tcW w:type="dxa" w:w="3213"/>
            <w:vAlign w:val="center"/>
          </w:tcPr>
          <w:p>
            <w:r>
              <w:rPr>
                <w:rFonts w:ascii="DFKai-SB" w:hAnsi="DFKai-SB" w:eastAsia="標楷體"/>
                <w:sz w:val="24"/>
              </w:rPr>
              <w:t>Runtime</w:t>
            </w:r>
          </w:p>
        </w:tc>
        <w:tc>
          <w:tcPr>
            <w:tcW w:type="dxa" w:w="3213"/>
            <w:vAlign w:val="center"/>
          </w:tcPr>
          <w:p>
            <w:r>
              <w:rPr>
                <w:rFonts w:ascii="DFKai-SB" w:hAnsi="DFKai-SB" w:eastAsia="標楷體"/>
                <w:sz w:val="24"/>
              </w:rPr>
              <w:t>IN DEVELOPMENT：Runtime Registry / Adapter / Reference lifecycle；Codex／OpenCode real CLI、network、credentials、production 未宣稱</w:t>
            </w:r>
          </w:p>
        </w:tc>
        <w:tc>
          <w:tcPr>
            <w:tcW w:type="dxa" w:w="3213"/>
            <w:vAlign w:val="center"/>
          </w:tcPr>
          <w:p>
            <w:r>
              <w:rPr>
                <w:rFonts w:ascii="DFKai-SB" w:hAnsi="DFKai-SB" w:eastAsia="標楷體"/>
                <w:sz w:val="24"/>
              </w:rPr>
              <w:t>降低單一工具綁定</w:t>
            </w:r>
          </w:p>
        </w:tc>
      </w:tr>
      <w:tr>
        <w:tc>
          <w:tcPr>
            <w:tcW w:type="dxa" w:w="3213"/>
            <w:vAlign w:val="center"/>
          </w:tcPr>
          <w:p>
            <w:r>
              <w:rPr>
                <w:rFonts w:ascii="DFKai-SB" w:hAnsi="DFKai-SB" w:eastAsia="標楷體"/>
                <w:sz w:val="24"/>
              </w:rPr>
              <w:t>Web AI</w:t>
            </w:r>
          </w:p>
        </w:tc>
        <w:tc>
          <w:tcPr>
            <w:tcW w:type="dxa" w:w="3213"/>
            <w:vAlign w:val="center"/>
          </w:tcPr>
          <w:p>
            <w:r>
              <w:rPr>
                <w:rFonts w:ascii="DFKai-SB" w:hAnsi="DFKai-SB" w:eastAsia="標楷體"/>
                <w:sz w:val="24"/>
              </w:rPr>
              <w:t>IN DEVELOPMENT：MV3 thin companion；drivers current DEGRADED；Level 3A 尚未宣稱</w:t>
            </w:r>
          </w:p>
        </w:tc>
        <w:tc>
          <w:tcPr>
            <w:tcW w:type="dxa" w:w="3213"/>
            <w:vAlign w:val="center"/>
          </w:tcPr>
          <w:p>
            <w:r>
              <w:rPr>
                <w:rFonts w:ascii="DFKai-SB" w:hAnsi="DFKai-SB" w:eastAsia="標楷體"/>
                <w:sz w:val="24"/>
              </w:rPr>
              <w:t>保留一般使用者既有 Web AI 習慣</w:t>
            </w:r>
          </w:p>
        </w:tc>
      </w:tr>
      <w:tr>
        <w:tc>
          <w:tcPr>
            <w:tcW w:type="dxa" w:w="3213"/>
            <w:vAlign w:val="center"/>
          </w:tcPr>
          <w:p>
            <w:r>
              <w:rPr>
                <w:rFonts w:ascii="DFKai-SB" w:hAnsi="DFKai-SB" w:eastAsia="標楷體"/>
                <w:sz w:val="24"/>
              </w:rPr>
              <w:t>Local AI</w:t>
            </w:r>
          </w:p>
        </w:tc>
        <w:tc>
          <w:tcPr>
            <w:tcW w:type="dxa" w:w="3213"/>
            <w:vAlign w:val="center"/>
          </w:tcPr>
          <w:p>
            <w:r>
              <w:rPr>
                <w:rFonts w:ascii="DFKai-SB" w:hAnsi="DFKai-SB" w:eastAsia="標楷體"/>
                <w:sz w:val="24"/>
              </w:rPr>
              <w:t>PLANNED V1：LM Studio / Ollama / Generic endpoint；current adapter evidence 不足</w:t>
            </w:r>
          </w:p>
        </w:tc>
        <w:tc>
          <w:tcPr>
            <w:tcW w:type="dxa" w:w="3213"/>
            <w:vAlign w:val="center"/>
          </w:tcPr>
          <w:p>
            <w:r>
              <w:rPr>
                <w:rFonts w:ascii="DFKai-SB" w:hAnsi="DFKai-SB" w:eastAsia="標楷體"/>
                <w:sz w:val="24"/>
              </w:rPr>
              <w:t>低成本、Local-first、敏感資料路由</w:t>
            </w:r>
          </w:p>
        </w:tc>
      </w:tr>
      <w:tr>
        <w:tc>
          <w:tcPr>
            <w:tcW w:type="dxa" w:w="3213"/>
            <w:vAlign w:val="center"/>
          </w:tcPr>
          <w:p>
            <w:r>
              <w:rPr>
                <w:rFonts w:ascii="DFKai-SB" w:hAnsi="DFKai-SB" w:eastAsia="標楷體"/>
                <w:sz w:val="24"/>
              </w:rPr>
              <w:t>Governance</w:t>
            </w:r>
          </w:p>
        </w:tc>
        <w:tc>
          <w:tcPr>
            <w:tcW w:type="dxa" w:w="3213"/>
            <w:vAlign w:val="center"/>
          </w:tcPr>
          <w:p>
            <w:r>
              <w:rPr>
                <w:rFonts w:ascii="DFKai-SB" w:hAnsi="DFKai-SB" w:eastAsia="標楷體"/>
                <w:sz w:val="24"/>
              </w:rPr>
              <w:t>PLANNED V1：classification / routing / local-only policy target；D11 gate 保留 fail-closed Human decision boundary</w:t>
            </w:r>
          </w:p>
        </w:tc>
        <w:tc>
          <w:tcPr>
            <w:tcW w:type="dxa" w:w="3213"/>
            <w:vAlign w:val="center"/>
          </w:tcPr>
          <w:p>
            <w:r>
              <w:rPr>
                <w:rFonts w:ascii="DFKai-SB" w:hAnsi="DFKai-SB" w:eastAsia="標楷體"/>
                <w:sz w:val="24"/>
              </w:rPr>
              <w:t>提供基本企業治理但不做大型 DLP</w:t>
            </w:r>
          </w:p>
        </w:tc>
      </w:tr>
    </w:tbl>
    <w:p/>
    <w:p>
      <w:pPr>
        <w:pStyle w:val="Heading2"/>
      </w:pPr>
      <w:r>
        <w:rPr>
          <w:rFonts w:ascii="DFKai-SB" w:hAnsi="DFKai-SB" w:eastAsia="標楷體"/>
          <w:b/>
          <w:sz w:val="28"/>
        </w:rPr>
        <w:t>4. 技術應用與執行方式</w:t>
      </w:r>
    </w:p>
    <w:p>
      <w:pPr>
        <w:ind w:left="340" w:hanging="227"/>
      </w:pPr>
      <w:r>
        <w:rPr>
          <w:rFonts w:ascii="DFKai-SB" w:hAnsi="DFKai-SB" w:eastAsia="標楷體"/>
          <w:sz w:val="28"/>
        </w:rPr>
        <w:t>● Coding Agent Runtime：Reference Adapter、Run Supervisor 與 Registry boundary 已有 bounded evidence；Codex／OpenCode real CLI、network、credentials、production integration 為 IN DEVELOPMENT，不宣稱完成。</w:t>
      </w:r>
    </w:p>
    <w:p>
      <w:pPr>
        <w:ind w:left="340" w:hanging="227"/>
      </w:pPr>
      <w:r>
        <w:rPr>
          <w:rFonts w:ascii="DFKai-SB" w:hAnsi="DFKai-SB" w:eastAsia="標楷體"/>
          <w:sz w:val="28"/>
        </w:rPr>
        <w:t>● Web AI Surface：ChatGPT、Claude、Gemini 的 MV3 thin companion 為 IN DEVELOPMENT；driver 目前 DEGRADED。Auto Fill、user-confirmed send、capture/normalize 與 browser E2E 尚未宣稱完成；fallback 是設計目標。</w:t>
      </w:r>
    </w:p>
    <w:p>
      <w:pPr>
        <w:ind w:left="340" w:hanging="227"/>
      </w:pPr>
      <w:r>
        <w:rPr>
          <w:rFonts w:ascii="DFKai-SB" w:hAnsi="DFKai-SB" w:eastAsia="標楷體"/>
          <w:sz w:val="28"/>
        </w:rPr>
        <w:t>● Local AI：LM Studio、Ollama 與 Generic Endpoint 為 PLANNED V1；OpenAI-compatible baseline 是規劃方向，current adapter／endpoint evidence 尚不足。</w:t>
      </w:r>
    </w:p>
    <w:p>
      <w:pPr>
        <w:ind w:left="340" w:hanging="227"/>
      </w:pPr>
      <w:r>
        <w:rPr>
          <w:rFonts w:ascii="DFKai-SB" w:hAnsi="DFKai-SB" w:eastAsia="標楷體"/>
          <w:sz w:val="28"/>
        </w:rPr>
        <w:t>● Workflow：以 YAML Authoring、Schema Validation、Canonical Model 與 Workflow Hard Gate Evidence 建立 bounded Declarative Workflow；目前可追溯 3 個 Built-in，AI 不是系統 Owner，完整 template breadth 為 PLANNED V1。</w:t>
      </w:r>
    </w:p>
    <w:p>
      <w:pPr>
        <w:ind w:left="340" w:hanging="227"/>
      </w:pPr>
      <w:r>
        <w:rPr>
          <w:rFonts w:ascii="DFKai-SB" w:hAnsi="DFKai-SB" w:eastAsia="標楷體"/>
          <w:sz w:val="28"/>
        </w:rPr>
        <w:t>● Data Routing：PUBLIC / INTERNAL / CONFIDENTIAL / RESTRICTED 與敏感資料不得 silent cloud fallback 是 PLANNED V1 policy target；current runtime 不宣稱已具完整 egress enforcement。</w:t>
      </w:r>
    </w:p>
    <w:p>
      <w:pPr>
        <w:ind w:left="340" w:hanging="227"/>
      </w:pPr>
      <w:r>
        <w:rPr>
          <w:rFonts w:ascii="DFKai-SB" w:hAnsi="DFKai-SB" w:eastAsia="標楷體"/>
          <w:sz w:val="28"/>
        </w:rPr>
        <w:t>● Extension：目前是 Plugin-ready static architecture、Contract / Manifest / Registry / Conformance foundation；Browser Companion 採 Chrome MV3 Thin Companion，不把 Web DOM 邏輯放進 Core。dynamic marketplace、remote install、signing、auto-update 為 FUTURE。</w:t>
      </w:r>
    </w:p>
    <w:p>
      <w:pPr>
        <w:pStyle w:val="Heading2"/>
      </w:pPr>
      <w:r>
        <w:rPr>
          <w:rFonts w:ascii="DFKai-SB" w:hAnsi="DFKai-SB" w:eastAsia="標楷體"/>
          <w:b/>
          <w:sz w:val="28"/>
        </w:rPr>
        <w:t>5. 服務創新</w:t>
      </w:r>
    </w:p>
    <w:p>
      <w:r>
        <w:rPr>
          <w:rFonts w:ascii="DFKai-SB" w:hAnsi="DFKai-SB" w:eastAsia="標楷體"/>
          <w:b w:val="0"/>
          <w:sz w:val="28"/>
        </w:rPr>
        <w:t>PolyNexus 的創新不是「同時問更多 AI」，而是將多 AI 使用從個人聊天行為提升成具有 Workflow、Cross Review、Evidence、Assurance 與 History 的可驗證工作方式。現階段可主張的是 bounded Core／gate foundation；一般任務可採 Flexible，正式交付的 Verified 仍須依 deterministic evidence 與 Human decision boundary fail closed。</w:t>
      </w:r>
    </w:p>
    <w:p>
      <w:pPr>
        <w:pStyle w:val="Heading1"/>
      </w:pPr>
      <w:r>
        <w:rPr>
          <w:rFonts w:ascii="DFKai-SB" w:hAnsi="DFKai-SB" w:eastAsia="標楷體"/>
          <w:b/>
          <w:sz w:val="28"/>
        </w:rPr>
        <w:t>三、架構與資源需求</w:t>
      </w:r>
    </w:p>
    <w:p>
      <w:pPr>
        <w:pStyle w:val="Heading2"/>
      </w:pPr>
      <w:r>
        <w:rPr>
          <w:rFonts w:ascii="DFKai-SB" w:hAnsi="DFKai-SB" w:eastAsia="標楷體"/>
          <w:b/>
          <w:sz w:val="28"/>
        </w:rPr>
        <w:t>1. 邏輯架構</w:t>
      </w:r>
    </w:p>
    <w:p>
      <w:r>
        <w:rPr>
          <w:rFonts w:ascii="DFKai-SB" w:hAnsi="DFKai-SB" w:eastAsia="標楷體"/>
          <w:b w:val="0"/>
          <w:sz w:val="28"/>
        </w:rPr>
        <w:t>Human → React/TypeScript/Vite Local Web UI → REST/WebSocket → Python/FastAPI Core → Workspace / Workflow / Council / Evidence / Policy / Run Supervisor → Runtime Adapter / Local Model Endpoint / Chrome MV3 Web Surface Driver / Tool Connector。這是架構 target；目前 evidence 只支持 bounded Core、reference runtime 與 contract boundary。V1 metadata 使用 SQLite，Artifact 使用 filesystem；Secret 僅以 SecretRef 進 Domain，實際值由 OS-backed SecretStore 管理。</w:t>
      </w:r>
    </w:p>
    <w:p>
      <w:pPr>
        <w:pStyle w:val="Heading2"/>
      </w:pPr>
      <w:r>
        <w:rPr>
          <w:rFonts w:ascii="DFKai-SB" w:hAnsi="DFKai-SB" w:eastAsia="標楷體"/>
          <w:b/>
          <w:sz w:val="28"/>
        </w:rPr>
        <w:t>2. 開發工具與協作方式</w:t>
      </w:r>
    </w:p>
    <w:p>
      <w:pPr>
        <w:ind w:left="340" w:hanging="227"/>
      </w:pPr>
      <w:r>
        <w:rPr>
          <w:rFonts w:ascii="DFKai-SB" w:hAnsi="DFKai-SB" w:eastAsia="標楷體"/>
          <w:sz w:val="28"/>
        </w:rPr>
        <w:t>● Codex：Architecture / Core / high-coupling issue / critical review。</w:t>
      </w:r>
    </w:p>
    <w:p>
      <w:pPr>
        <w:ind w:left="340" w:hanging="227"/>
      </w:pPr>
      <w:r>
        <w:rPr>
          <w:rFonts w:ascii="DFKai-SB" w:hAnsi="DFKai-SB" w:eastAsia="標楷體"/>
          <w:sz w:val="28"/>
        </w:rPr>
        <w:t>● OpenCode Go：大量 implementation、tests、fixtures、templates、routine refactor。</w:t>
      </w:r>
    </w:p>
    <w:p>
      <w:pPr>
        <w:ind w:left="340" w:hanging="227"/>
      </w:pPr>
      <w:r>
        <w:rPr>
          <w:rFonts w:ascii="DFKai-SB" w:hAnsi="DFKai-SB" w:eastAsia="標楷體"/>
          <w:sz w:val="28"/>
        </w:rPr>
        <w:t>● Google Antigravity：Browser Companion、E2E、full user journey、milestone red team。</w:t>
      </w:r>
    </w:p>
    <w:p>
      <w:pPr>
        <w:ind w:left="340" w:hanging="227"/>
      </w:pPr>
      <w:r>
        <w:rPr>
          <w:rFonts w:ascii="DFKai-SB" w:hAnsi="DFKai-SB" w:eastAsia="標楷體"/>
          <w:sz w:val="28"/>
        </w:rPr>
        <w:t>● 三套工具共用同一 Git Repo，但採 Single Active Writer；Project knowledge 存在 Git 文件與共用 Skills，不鎖在聊天 Context。</w:t>
      </w:r>
    </w:p>
    <w:p>
      <w:pPr>
        <w:pStyle w:val="Heading2"/>
      </w:pPr>
      <w:r>
        <w:rPr>
          <w:rFonts w:ascii="DFKai-SB" w:hAnsi="DFKai-SB" w:eastAsia="標楷體"/>
          <w:b/>
          <w:sz w:val="28"/>
        </w:rPr>
        <w:t>3. 主要資源</w:t>
      </w:r>
    </w:p>
    <w:p>
      <w:pPr>
        <w:ind w:left="340" w:hanging="227"/>
      </w:pPr>
      <w:r>
        <w:rPr>
          <w:rFonts w:ascii="DFKai-SB" w:hAnsi="DFKai-SB" w:eastAsia="標楷體"/>
          <w:sz w:val="28"/>
        </w:rPr>
        <w:t>● 現有個人開發工作站與 Windows 11 開發環境。</w:t>
      </w:r>
    </w:p>
    <w:p>
      <w:pPr>
        <w:ind w:left="340" w:hanging="227"/>
      </w:pPr>
      <w:r>
        <w:rPr>
          <w:rFonts w:ascii="DFKai-SB" w:hAnsi="DFKai-SB" w:eastAsia="標楷體"/>
          <w:sz w:val="28"/>
        </w:rPr>
        <w:t>● Codex / OpenCode Go / Antigravity 等既有 AI 開發工具。</w:t>
      </w:r>
    </w:p>
    <w:p>
      <w:pPr>
        <w:ind w:left="340" w:hanging="227"/>
      </w:pPr>
      <w:r>
        <w:rPr>
          <w:rFonts w:ascii="DFKai-SB" w:hAnsi="DFKai-SB" w:eastAsia="標楷體"/>
          <w:sz w:val="28"/>
        </w:rPr>
        <w:t>● Local AI 測試資源可規劃使用 LM Studio / Ollama；目前 adapter evidence 仍為 PLANNED V1。雲端 Web AI integration 仍依 driver maturity 與合法授權分開驗證。</w:t>
      </w:r>
    </w:p>
    <w:p>
      <w:pPr>
        <w:ind w:left="340" w:hanging="227"/>
      </w:pPr>
      <w:r>
        <w:rPr>
          <w:rFonts w:ascii="DFKai-SB" w:hAnsi="DFKai-SB" w:eastAsia="標楷體"/>
          <w:sz w:val="28"/>
        </w:rPr>
        <w:t>● 競賽及測試資料採公開或 synthetic project，不使用外部客戶交易、個資、商業資料或正在交付的客戶專案。</w:t>
      </w:r>
    </w:p>
    <w:p>
      <w:pPr>
        <w:pStyle w:val="Heading1"/>
      </w:pPr>
      <w:r>
        <w:rPr>
          <w:rFonts w:ascii="DFKai-SB" w:hAnsi="DFKai-SB" w:eastAsia="標楷體"/>
          <w:b/>
          <w:sz w:val="28"/>
        </w:rPr>
        <w:t>四、商業價值與效益評估</w:t>
      </w:r>
    </w:p>
    <w:p>
      <w:pPr>
        <w:pStyle w:val="Heading2"/>
      </w:pPr>
      <w:r>
        <w:rPr>
          <w:rFonts w:ascii="DFKai-SB" w:hAnsi="DFKai-SB" w:eastAsia="標楷體"/>
          <w:b/>
          <w:sz w:val="28"/>
        </w:rPr>
        <w:t>1. 企業價值</w:t>
      </w:r>
    </w:p>
    <w:p>
      <w:r>
        <w:rPr>
          <w:rFonts w:ascii="DFKai-SB" w:hAnsi="DFKai-SB" w:eastAsia="標楷體"/>
          <w:b w:val="0"/>
          <w:sz w:val="28"/>
        </w:rPr>
        <w:t>PolyNexus 目標將分散的 AI 使用方式統一成可重複 Workflow。對工程可量測多工具切換、Code Review 整理與驗收報告成本；對 PM、行政與主管，Consensus、Disagreement、Risk、Missing Information 與 Decision 是延伸使用情境，不是本版已完成的完整企業流程。</w:t>
      </w:r>
    </w:p>
    <w:p>
      <w:pPr>
        <w:pStyle w:val="Heading2"/>
      </w:pPr>
      <w:r>
        <w:rPr>
          <w:rFonts w:ascii="DFKai-SB" w:hAnsi="DFKai-SB" w:eastAsia="標楷體"/>
          <w:b/>
          <w:sz w:val="28"/>
        </w:rPr>
        <w:t>2. 效益量測方式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rFonts w:ascii="DFKai-SB" w:hAnsi="DFKai-SB" w:eastAsia="標楷體"/>
                <w:sz w:val="24"/>
              </w:rPr>
              <w:t>指標</w:t>
            </w:r>
          </w:p>
        </w:tc>
        <w:tc>
          <w:tcPr>
            <w:tcW w:type="dxa" w:w="3213"/>
          </w:tcPr>
          <w:p>
            <w:r>
              <w:rPr>
                <w:rFonts w:ascii="DFKai-SB" w:hAnsi="DFKai-SB" w:eastAsia="標楷體"/>
                <w:sz w:val="24"/>
              </w:rPr>
              <w:t>量測方式</w:t>
            </w:r>
          </w:p>
        </w:tc>
        <w:tc>
          <w:tcPr>
            <w:tcW w:type="dxa" w:w="3213"/>
          </w:tcPr>
          <w:p>
            <w:r>
              <w:rPr>
                <w:rFonts w:ascii="DFKai-SB" w:hAnsi="DFKai-SB" w:eastAsia="標楷體"/>
                <w:sz w:val="24"/>
              </w:rPr>
              <w:t>規劃用法（非實測）</w:t>
            </w:r>
          </w:p>
        </w:tc>
      </w:tr>
      <w:tr>
        <w:tc>
          <w:tcPr>
            <w:tcW w:type="dxa" w:w="3213"/>
          </w:tcPr>
          <w:p>
            <w:r>
              <w:rPr>
                <w:rFonts w:ascii="DFKai-SB" w:hAnsi="DFKai-SB" w:eastAsia="標楷體"/>
                <w:sz w:val="24"/>
              </w:rPr>
              <w:t>任務完成時間</w:t>
            </w:r>
          </w:p>
        </w:tc>
        <w:tc>
          <w:tcPr>
            <w:tcW w:type="dxa" w:w="3213"/>
          </w:tcPr>
          <w:p>
            <w:r>
              <w:rPr>
                <w:rFonts w:ascii="DFKai-SB" w:hAnsi="DFKai-SB" w:eastAsia="標楷體"/>
                <w:sz w:val="24"/>
              </w:rPr>
              <w:t>同一任務傳統流程 vs PolyNexus</w:t>
            </w:r>
          </w:p>
        </w:tc>
        <w:tc>
          <w:tcPr>
            <w:tcW w:type="dxa" w:w="3213"/>
          </w:tcPr>
          <w:p>
            <w:r>
              <w:rPr>
                <w:rFonts w:ascii="DFKai-SB" w:hAnsi="DFKai-SB" w:eastAsia="標楷體"/>
                <w:sz w:val="24"/>
              </w:rPr>
              <w:t>觀察是否降低整理與切換時間</w:t>
            </w:r>
          </w:p>
        </w:tc>
      </w:tr>
      <w:tr>
        <w:tc>
          <w:tcPr>
            <w:tcW w:type="dxa" w:w="3213"/>
          </w:tcPr>
          <w:p>
            <w:r>
              <w:rPr>
                <w:rFonts w:ascii="DFKai-SB" w:hAnsi="DFKai-SB" w:eastAsia="標楷體"/>
                <w:sz w:val="24"/>
              </w:rPr>
              <w:t>人工操作次數</w:t>
            </w:r>
          </w:p>
        </w:tc>
        <w:tc>
          <w:tcPr>
            <w:tcW w:type="dxa" w:w="3213"/>
          </w:tcPr>
          <w:p>
            <w:r>
              <w:rPr>
                <w:rFonts w:ascii="DFKai-SB" w:hAnsi="DFKai-SB" w:eastAsia="標楷體"/>
                <w:sz w:val="24"/>
              </w:rPr>
              <w:t>Copy/Paste、切換工具、手工整理次數</w:t>
            </w:r>
          </w:p>
        </w:tc>
        <w:tc>
          <w:tcPr>
            <w:tcW w:type="dxa" w:w="3213"/>
          </w:tcPr>
          <w:p>
            <w:r>
              <w:rPr>
                <w:rFonts w:ascii="DFKai-SB" w:hAnsi="DFKai-SB" w:eastAsia="標楷體"/>
                <w:sz w:val="24"/>
              </w:rPr>
              <w:t>Web/Runtime workflow 自動記錄</w:t>
            </w:r>
          </w:p>
        </w:tc>
      </w:tr>
      <w:tr>
        <w:tc>
          <w:tcPr>
            <w:tcW w:type="dxa" w:w="3213"/>
          </w:tcPr>
          <w:p>
            <w:r>
              <w:rPr>
                <w:rFonts w:ascii="DFKai-SB" w:hAnsi="DFKai-SB" w:eastAsia="標楷體"/>
                <w:sz w:val="24"/>
              </w:rPr>
              <w:t>Unique Findings</w:t>
            </w:r>
          </w:p>
        </w:tc>
        <w:tc>
          <w:tcPr>
            <w:tcW w:type="dxa" w:w="3213"/>
          </w:tcPr>
          <w:p>
            <w:r>
              <w:rPr>
                <w:rFonts w:ascii="DFKai-SB" w:hAnsi="DFKai-SB" w:eastAsia="標楷體"/>
                <w:sz w:val="24"/>
              </w:rPr>
              <w:t>多 Reviewer 產生且被接受的獨立發現</w:t>
            </w:r>
          </w:p>
        </w:tc>
        <w:tc>
          <w:tcPr>
            <w:tcW w:type="dxa" w:w="3213"/>
          </w:tcPr>
          <w:p>
            <w:r>
              <w:rPr>
                <w:rFonts w:ascii="DFKai-SB" w:hAnsi="DFKai-SB" w:eastAsia="標楷體"/>
                <w:sz w:val="24"/>
              </w:rPr>
              <w:t>衡量交叉審查增益</w:t>
            </w:r>
          </w:p>
        </w:tc>
      </w:tr>
      <w:tr>
        <w:tc>
          <w:tcPr>
            <w:tcW w:type="dxa" w:w="3213"/>
          </w:tcPr>
          <w:p>
            <w:r>
              <w:rPr>
                <w:rFonts w:ascii="DFKai-SB" w:hAnsi="DFKai-SB" w:eastAsia="標楷體"/>
                <w:sz w:val="24"/>
              </w:rPr>
              <w:t>Evidence Coverage</w:t>
            </w:r>
          </w:p>
        </w:tc>
        <w:tc>
          <w:tcPr>
            <w:tcW w:type="dxa" w:w="3213"/>
          </w:tcPr>
          <w:p>
            <w:r>
              <w:rPr>
                <w:rFonts w:ascii="DFKai-SB" w:hAnsi="DFKai-SB" w:eastAsia="標楷體"/>
                <w:sz w:val="24"/>
              </w:rPr>
              <w:t>正式 Verdict 有多少具 Tool/Document/Human Evidence</w:t>
            </w:r>
          </w:p>
        </w:tc>
        <w:tc>
          <w:tcPr>
            <w:tcW w:type="dxa" w:w="3213"/>
          </w:tcPr>
          <w:p>
            <w:r>
              <w:rPr>
                <w:rFonts w:ascii="DFKai-SB" w:hAnsi="DFKai-SB" w:eastAsia="標楷體"/>
                <w:sz w:val="24"/>
              </w:rPr>
              <w:t>衡量可驗證程度</w:t>
            </w:r>
          </w:p>
        </w:tc>
      </w:tr>
      <w:tr>
        <w:tc>
          <w:tcPr>
            <w:tcW w:type="dxa" w:w="3213"/>
          </w:tcPr>
          <w:p>
            <w:r>
              <w:rPr>
                <w:rFonts w:ascii="DFKai-SB" w:hAnsi="DFKai-SB" w:eastAsia="標楷體"/>
                <w:sz w:val="24"/>
              </w:rPr>
              <w:t>Fallback Rate</w:t>
            </w:r>
          </w:p>
        </w:tc>
        <w:tc>
          <w:tcPr>
            <w:tcW w:type="dxa" w:w="3213"/>
          </w:tcPr>
          <w:p>
            <w:r>
              <w:rPr>
                <w:rFonts w:ascii="DFKai-SB" w:hAnsi="DFKai-SB" w:eastAsia="標楷體"/>
                <w:sz w:val="24"/>
              </w:rPr>
              <w:t>Web auto capture/fill 失敗改用 fallback 次數</w:t>
            </w:r>
          </w:p>
        </w:tc>
        <w:tc>
          <w:tcPr>
            <w:tcW w:type="dxa" w:w="3213"/>
          </w:tcPr>
          <w:p>
            <w:r>
              <w:rPr>
                <w:rFonts w:ascii="DFKai-SB" w:hAnsi="DFKai-SB" w:eastAsia="標楷體"/>
                <w:sz w:val="24"/>
              </w:rPr>
              <w:t>決定後續 Web driver 優先改善項</w:t>
            </w:r>
          </w:p>
        </w:tc>
      </w:tr>
      <w:tr>
        <w:tc>
          <w:tcPr>
            <w:tcW w:type="dxa" w:w="3213"/>
          </w:tcPr>
          <w:p>
            <w:r>
              <w:rPr>
                <w:rFonts w:ascii="DFKai-SB" w:hAnsi="DFKai-SB" w:eastAsia="標楷體"/>
                <w:sz w:val="24"/>
              </w:rPr>
              <w:t>Finding Acceptance</w:t>
            </w:r>
          </w:p>
        </w:tc>
        <w:tc>
          <w:tcPr>
            <w:tcW w:type="dxa" w:w="3213"/>
          </w:tcPr>
          <w:p>
            <w:r>
              <w:rPr>
                <w:rFonts w:ascii="DFKai-SB" w:hAnsi="DFKai-SB" w:eastAsia="標楷體"/>
                <w:sz w:val="24"/>
              </w:rPr>
              <w:t>AI finding 被採納/拒絕</w:t>
            </w:r>
          </w:p>
        </w:tc>
        <w:tc>
          <w:tcPr>
            <w:tcW w:type="dxa" w:w="3213"/>
          </w:tcPr>
          <w:p>
            <w:r>
              <w:rPr>
                <w:rFonts w:ascii="DFKai-SB" w:hAnsi="DFKai-SB" w:eastAsia="標楷體"/>
                <w:sz w:val="24"/>
              </w:rPr>
              <w:t>未來評估不同 AI/Role 實際品質</w:t>
            </w:r>
          </w:p>
        </w:tc>
      </w:tr>
    </w:tbl>
    <w:p/>
    <w:p>
      <w:pPr>
        <w:pStyle w:val="Heading2"/>
      </w:pPr>
      <w:r>
        <w:rPr>
          <w:rFonts w:ascii="DFKai-SB" w:hAnsi="DFKai-SB" w:eastAsia="標楷體"/>
          <w:b/>
          <w:sz w:val="28"/>
        </w:rPr>
        <w:t>3. 落地成熟度與時程</w:t>
      </w:r>
    </w:p>
    <w:p>
      <w:pPr>
        <w:ind w:left="340" w:hanging="227"/>
      </w:pPr>
      <w:r>
        <w:rPr>
          <w:rFonts w:ascii="DFKai-SB" w:hAnsi="DFKai-SB" w:eastAsia="標楷體"/>
          <w:sz w:val="28"/>
        </w:rPr>
        <w:t>● 2026/08/25：提案與 AI Use Case 簡報內容 v1 為 internal planning version；G02 補充 content-confidence matrix。</w:t>
      </w:r>
    </w:p>
    <w:p>
      <w:pPr>
        <w:ind w:left="340" w:hanging="227"/>
      </w:pPr>
      <w:r>
        <w:rPr>
          <w:rFonts w:ascii="DFKai-SB" w:hAnsi="DFKai-SB" w:eastAsia="標楷體"/>
          <w:sz w:val="28"/>
        </w:rPr>
        <w:t>● 2026/08/31：official brief initial-review document deadline；2026/09/01–09/24 initial review；2026/09/30 result notification。Repository 2026/09/07 僅為歷史 planning record；current form／announcement override 仍需 G03 確認，不代表已授權上傳。</w:t>
      </w:r>
    </w:p>
    <w:p>
      <w:pPr>
        <w:ind w:left="340" w:hanging="227"/>
      </w:pPr>
      <w:r>
        <w:rPr>
          <w:rFonts w:ascii="DFKai-SB" w:hAnsi="DFKai-SB" w:eastAsia="標楷體"/>
          <w:sz w:val="28"/>
        </w:rPr>
        <w:t>● 2026/09/20：Core Product 主要路徑 roadmap target；不代表 G02 當前已完成 Codex／OpenCode real runtime。</w:t>
      </w:r>
    </w:p>
    <w:p>
      <w:pPr>
        <w:ind w:left="340" w:hanging="227"/>
      </w:pPr>
      <w:r>
        <w:rPr>
          <w:rFonts w:ascii="DFKai-SB" w:hAnsi="DFKai-SB" w:eastAsia="標楷體"/>
          <w:sz w:val="28"/>
        </w:rPr>
        <w:t>● 2026/10/04：Web AI、Local AI、Data Policy baseline roadmap target；目前分屬 IN DEVELOPMENT／PLANNED V1。</w:t>
      </w:r>
    </w:p>
    <w:p>
      <w:pPr>
        <w:ind w:left="340" w:hanging="227"/>
      </w:pPr>
      <w:r>
        <w:rPr>
          <w:rFonts w:ascii="DFKai-SB" w:hAnsi="DFKai-SB" w:eastAsia="標楷體"/>
          <w:sz w:val="28"/>
        </w:rPr>
        <w:t>● 2026/10/18：V1 Feature Freeze planned milestone。</w:t>
      </w:r>
    </w:p>
    <w:p>
      <w:pPr>
        <w:ind w:left="340" w:hanging="227"/>
      </w:pPr>
      <w:r>
        <w:rPr>
          <w:rFonts w:ascii="DFKai-SB" w:hAnsi="DFKai-SB" w:eastAsia="標楷體"/>
          <w:sz w:val="28"/>
        </w:rPr>
        <w:t>● 2026/10/31：V1 Development + Acceptance Complete 是 roadmap target；仍需實際 deterministic evidence、independent review 與 Human acceptance。</w:t>
      </w:r>
    </w:p>
    <w:p>
      <w:pPr>
        <w:pStyle w:val="Heading2"/>
      </w:pPr>
      <w:r>
        <w:rPr>
          <w:rFonts w:ascii="DFKai-SB" w:hAnsi="DFKai-SB" w:eastAsia="標楷體"/>
          <w:b/>
          <w:sz w:val="28"/>
        </w:rPr>
        <w:t>4. 風險與因應</w:t>
      </w:r>
    </w:p>
    <w:p>
      <w:pPr>
        <w:ind w:left="340" w:hanging="227"/>
      </w:pPr>
      <w:r>
        <w:rPr>
          <w:rFonts w:ascii="DFKai-SB" w:hAnsi="DFKai-SB" w:eastAsia="標楷體"/>
          <w:sz w:val="28"/>
        </w:rPr>
        <w:t>● Web AI UI 改版：薄 Driver + manual fallback + failure isolation 是 IN DEVELOPMENT 設計方向；current drivers 為 DEGRADED。</w:t>
      </w:r>
    </w:p>
    <w:p>
      <w:pPr>
        <w:ind w:left="340" w:hanging="227"/>
      </w:pPr>
      <w:r>
        <w:rPr>
          <w:rFonts w:ascii="DFKai-SB" w:hAnsi="DFKai-SB" w:eastAsia="標楷體"/>
          <w:sz w:val="28"/>
        </w:rPr>
        <w:t>● Runtime 版本快速變動：Certified Version Matrix + Doctor + Conformance 是 development gate；reference foundation 不等於 real vendor runtime certified。</w:t>
      </w:r>
    </w:p>
    <w:p>
      <w:pPr>
        <w:ind w:left="340" w:hanging="227"/>
      </w:pPr>
      <w:r>
        <w:rPr>
          <w:rFonts w:ascii="DFKai-SB" w:hAnsi="DFKai-SB" w:eastAsia="標楷體"/>
          <w:sz w:val="28"/>
        </w:rPr>
        <w:t>● 範圍過大：CORE / BASELINE / COMPATIBILITY / FUTURE 分級；10/18 後禁止新增功能。</w:t>
      </w:r>
    </w:p>
    <w:p>
      <w:pPr>
        <w:ind w:left="340" w:hanging="227"/>
      </w:pPr>
      <w:r>
        <w:rPr>
          <w:rFonts w:ascii="DFKai-SB" w:hAnsi="DFKai-SB" w:eastAsia="標楷體"/>
          <w:sz w:val="28"/>
        </w:rPr>
        <w:t>● Token / Quota：OpenCode 承擔大量工程工作、Codex 保留給高價值核心、Antigravity 保留 Browser/E2E；每個 Task 原則 1 Writer + 1 Reviewer。</w:t>
      </w:r>
    </w:p>
    <w:p>
      <w:pPr>
        <w:ind w:left="340" w:hanging="227"/>
      </w:pPr>
      <w:r>
        <w:rPr>
          <w:rFonts w:ascii="DFKai-SB" w:hAnsi="DFKai-SB" w:eastAsia="標楷體"/>
          <w:sz w:val="28"/>
        </w:rPr>
        <w:t>● AI 錯誤共識：AI Opinion 與 deterministic Evidence 分離；Hard Gate FAIL 不能被 AI 投票改成 PASS。</w:t>
      </w:r>
    </w:p>
    <w:p>
      <w:pPr>
        <w:ind w:left="340" w:hanging="227"/>
      </w:pPr>
      <w:r>
        <w:rPr>
          <w:rFonts w:ascii="DFKai-SB" w:hAnsi="DFKai-SB" w:eastAsia="標楷體"/>
          <w:sz w:val="28"/>
        </w:rPr>
        <w:t>● 資料外洩：Local-only route 與 egress policy 為 PLANNED V1 target；secret reference 與競賽 synthetic/public data boundary 已保留，不宣稱完整 policy enforcement。</w:t>
      </w:r>
    </w:p>
    <w:p>
      <w:pPr>
        <w:pStyle w:val="Heading2"/>
      </w:pPr>
      <w:r>
        <w:rPr>
          <w:rFonts w:ascii="DFKai-SB" w:hAnsi="DFKai-SB" w:eastAsia="標楷體"/>
          <w:b/>
          <w:sz w:val="28"/>
        </w:rPr>
        <w:t>5. 常態化與規模化</w:t>
      </w:r>
    </w:p>
    <w:p>
      <w:r>
        <w:rPr>
          <w:rFonts w:ascii="DFKai-SB" w:hAnsi="DFKai-SB" w:eastAsia="標楷體"/>
          <w:b w:val="0"/>
          <w:sz w:val="28"/>
        </w:rPr>
        <w:t>第一階段先確保個人真的能持續使用，並以工程 Workflow 規劃 Usage 與 Quality 指標。若後續 evidence 證明有價值，再以同一套 Declarative Workflow / Adapter / Evidence Domain 增加部門 Template、Personal Hub、共享 Workflow 與公司 Policy；department／enterprise rollout 是 evolution path，不是本版已交付能力。</w:t>
      </w:r>
    </w:p>
    <w:p>
      <w:pPr>
        <w:pStyle w:val="Heading1"/>
      </w:pPr>
      <w:r>
        <w:rPr>
          <w:rFonts w:ascii="DFKai-SB" w:hAnsi="DFKai-SB" w:eastAsia="標楷體"/>
          <w:b/>
          <w:sz w:val="28"/>
        </w:rPr>
        <w:t>五、其他附件與佐證規劃</w:t>
      </w:r>
    </w:p>
    <w:p>
      <w:pPr>
        <w:ind w:left="340" w:hanging="227"/>
      </w:pPr>
      <w:r>
        <w:rPr>
          <w:rFonts w:ascii="DFKai-SB" w:hAnsi="DFKai-SB" w:eastAsia="標楷體"/>
          <w:sz w:val="28"/>
        </w:rPr>
        <w:t>● PolyNexus Scope Baseline / PRD / SA / SD。</w:t>
      </w:r>
    </w:p>
    <w:p>
      <w:pPr>
        <w:ind w:left="340" w:hanging="227"/>
      </w:pPr>
      <w:r>
        <w:rPr>
          <w:rFonts w:ascii="DFKai-SB" w:hAnsi="DFKai-SB" w:eastAsia="標楷體"/>
          <w:sz w:val="28"/>
        </w:rPr>
        <w:t>● Architecture diagram / UI mockup。</w:t>
      </w:r>
    </w:p>
    <w:p>
      <w:pPr>
        <w:ind w:left="340" w:hanging="227"/>
      </w:pPr>
      <w:r>
        <w:rPr>
          <w:rFonts w:ascii="DFKai-SB" w:hAnsi="DFKai-SB" w:eastAsia="標楷體"/>
          <w:sz w:val="28"/>
        </w:rPr>
        <w:t>● Development roadmap / Project checklist。</w:t>
      </w:r>
    </w:p>
    <w:p>
      <w:pPr>
        <w:ind w:left="340" w:hanging="227"/>
      </w:pPr>
      <w:r>
        <w:rPr>
          <w:rFonts w:ascii="DFKai-SB" w:hAnsi="DFKai-SB" w:eastAsia="標楷體"/>
          <w:sz w:val="28"/>
        </w:rPr>
        <w:t>● 10 月 roadmap target：以實際 Runtime Conformance、Release Validation Evidence、Compatibility Matrix、Known Limitations 支持後續 acceptance；本版不提前宣稱完成。</w:t>
      </w:r>
    </w:p>
    <w:p>
      <w:pPr>
        <w:ind w:left="340" w:hanging="227"/>
      </w:pPr>
      <w:r>
        <w:rPr>
          <w:rFonts w:ascii="DFKai-SB" w:hAnsi="DFKai-SB" w:eastAsia="標楷體"/>
          <w:sz w:val="28"/>
        </w:rPr>
        <w:t>● 競賽用 Demo/截圖僅使用公開或 synthetic project。</w:t>
      </w:r>
    </w:p>
    <w:p>
      <w:pPr>
        <w:pStyle w:val="Heading1"/>
      </w:pPr>
      <w:r>
        <w:rPr>
          <w:rFonts w:ascii="DFKai-SB" w:hAnsi="DFKai-SB" w:eastAsia="標楷體"/>
          <w:b/>
          <w:sz w:val="28"/>
        </w:rPr>
        <w:t>目前完成狀態（2026-08-27；content-confidence draft）</w:t>
      </w:r>
    </w:p>
    <w:p>
      <w:r>
        <w:rPr>
          <w:rFonts w:ascii="DFKai-SB" w:hAnsi="DFKai-SB" w:eastAsia="標楷體"/>
          <w:b w:val="0"/>
          <w:sz w:val="28"/>
        </w:rPr>
        <w:t>已接受／checkpointed bounded evidence：產品定位、Scope Decisions D01–D10、V1 成熟度策略、ADR-001～010 技術架構 Freeze、Git / Shared Memory / Skills、PRD / SA / SD Development Baseline v1.0，以及 React/FastAPI/MV3/Workflow Schema repository foundation；另有 WP-12 Council、WP-13 gate 與 reference runtime evidence，均依其 bounded scope 解讀。</w:t>
      </w:r>
    </w:p>
    <w:p>
      <w:r>
        <w:rPr>
          <w:rFonts w:ascii="DFKai-SB" w:hAnsi="DFKai-SB" w:eastAsia="標楷體"/>
          <w:b w:val="0"/>
          <w:sz w:val="28"/>
        </w:rPr>
        <w:t>進行中：目標 Windows 環境 Baseline 驗證、競賽簡報與架構圖、content-confidence review、Runtime Adapter conformance、以及 First Vertical Slice（Project → Review → Runtime → Finding/Evidence → Result → History）的後續 component gates。</w:t>
      </w:r>
    </w:p>
    <w:p>
      <w:r>
        <w:rPr>
          <w:rFonts w:ascii="DFKai-SB" w:hAnsi="DFKai-SB" w:eastAsia="標楷體"/>
          <w:b w:val="0"/>
          <w:sz w:val="28"/>
        </w:rPr>
        <w:t>尚未宣稱完成：完整 PolyNexus V1、Codex/OpenCode real CLI/network/credential/production runtime、Web AI Level 3A、Local AI adapter、完整 routing/egress enforcement、9 個 Workflow Template、完整 backup/restore、實測效益、Browser E2E、Windows symlink containment 與 true concurrent HTTP；這些依 maturity、roadmap 與實際 evidence 分別處理。</w:t>
      </w:r>
    </w:p>
    <w:p>
      <w:pPr>
        <w:pStyle w:val="Heading1"/>
      </w:pPr>
      <w:r>
        <w:rPr>
          <w:rFonts w:ascii="DFKai-SB" w:hAnsi="DFKai-SB" w:eastAsia="標楷體"/>
          <w:b/>
          <w:sz w:val="28"/>
        </w:rPr>
        <w:t>六、內容可信度與官方要求查證</w:t>
      </w:r>
    </w:p>
    <w:p>
      <w:r>
        <w:rPr>
          <w:rFonts w:ascii="DFKai-SB" w:hAnsi="DFKai-SB" w:eastAsia="標楷體"/>
          <w:b w:val="0"/>
          <w:sz w:val="28"/>
        </w:rPr>
        <w:t>來源—claim matrix：competition/G02_SOURCE_TO_CLAIM_MATRIX.md；20 個產品 claim 已逐列標示 evidence、maturity、限制與修正說法。計數：IMPLEMENTED 8、IN DEVELOPMENT 3、PLANNED V1 5、FUTURE 4。</w:t>
      </w:r>
    </w:p>
    <w:p>
      <w:r>
        <w:rPr>
          <w:rFonts w:ascii="DFKai-SB" w:hAnsi="DFKai-SB" w:eastAsia="標楷體"/>
          <w:b w:val="0"/>
          <w:sz w:val="28"/>
        </w:rPr>
        <w:t>官方查證狀態：2026-08-27 以唯讀 Node fetch 取得官方首頁 HTTP 200；H1 為 2026 Cyber4.0 AI創新競賽，主辦單位為 Cyber4.0 推動任務小組，並取得初審表單連結。官方首頁與公開活動簡章已確認初審時程基線、20 頁上限與 50/30/20 評分；首頁 Demo 5–10 分鐘與簡章初選 Demo 3 分鐘內或截圖、效益說明表是否獨立交件仍為 OFFICIAL_CONFLICT / NEED_ACTION。本輪未登入、填寫、上傳或送出。</w:t>
      </w:r>
    </w:p>
    <w:p>
      <w:r>
        <w:rPr>
          <w:rFonts w:ascii="DFKai-SB" w:hAnsi="DFKai-SB" w:eastAsia="標楷體"/>
          <w:b w:val="0"/>
          <w:sz w:val="28"/>
        </w:rPr>
        <w:t>內容限制：Reference Runtime／Registry、Council、Evidence gate 只能按 bounded scope 描述。Real Codex/OpenCode execution、Web AI Level 3A、Local AI、完整 policy、Browser E2E、Windows symlink containment 與 true concurrent HTTP 不得寫成已完成；歷史測試與內部日期不替代 current evidence。</w:t>
      </w:r>
    </w:p>
    <w:p>
      <w:pPr>
        <w:pStyle w:val="Heading1"/>
      </w:pPr>
      <w:r>
        <w:rPr>
          <w:rFonts w:ascii="DFKai-SB" w:hAnsi="DFKai-SB" w:eastAsia="標楷體"/>
          <w:b/>
          <w:sz w:val="28"/>
        </w:rPr>
        <w:t>參考</w:t>
      </w:r>
    </w:p>
    <w:p>
      <w:r>
        <w:rPr>
          <w:rFonts w:ascii="DFKai-SB" w:hAnsi="DFKai-SB" w:eastAsia="標楷體"/>
          <w:b w:val="0"/>
          <w:sz w:val="28"/>
        </w:rPr>
        <w:t>Cyber4.0 AI Innovation Challenge 2026 活動網站：https://ai-challenge-2026.cybersoft.tw/（2026-08-27 Node fetch HTTP 200；H1 與主辦單位已確認）；初審表單：https://forms.cloud.microsoft/r/e6PyFrYNR9</w:t>
      </w:r>
    </w:p>
    <w:p>
      <w:r>
        <w:rPr>
          <w:rFonts w:ascii="DFKai-SB" w:hAnsi="DFKai-SB" w:eastAsia="標楷體"/>
          <w:b w:val="0"/>
          <w:sz w:val="28"/>
        </w:rPr>
        <w:t>官方活動簡章：https://ai-challenge-2026.cybersoft.tw/assets/%E6%B4%BB%E5%8B%95%E7%B0%A1%E7%AB%A0.docx（HTTP 200；cover date 中華民國115年6月）：初審書審資料截止 2026.08.31；proposal 與 AI Use Case deck 各 20 頁上限；proposal 為 A4 直式、標楷體 12 級、1.0 倍行距並編列頁碼；初選 Demo 為 3 分鐘內或截圖。首頁 5–10 分鐘 Demo 與效益說明表交件方式衝突待 G03／Human 確認；2026-09-07 僅為 repository 歷史規劃日期。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DFKai-SB" w:hAnsi="DFKai-SB" w:eastAsia="標楷體"/>
        <w:sz w:val="24"/>
      </w:rPr>
      <w:t xml:space="preserve">第 </w:t>
      <w:fldChar w:fldCharType="begin"/>
      <w:instrText xml:space="preserve"> PAGE </w:instrText>
      <w:fldChar w:fldCharType="end"/>
    </w:r>
    <w:r>
      <w:rPr>
        <w:rFonts w:ascii="DFKai-SB" w:hAnsi="DFKai-SB" w:eastAsia="標楷體"/>
        <w:sz w:val="24"/>
      </w:rPr>
      <w:t xml:space="preserve"> 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40" w:before="0"/>
    </w:pPr>
    <w:rPr>
      <w:rFonts w:ascii="DFKai-SB" w:hAnsi="DFKai-SB" w:eastAsia="標楷體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40"/>
      <w:outlineLvl w:val="0"/>
    </w:pPr>
    <w:rPr>
      <w:rFonts w:asciiTheme="majorHAnsi" w:eastAsiaTheme="majorEastAsia" w:hAnsiTheme="majorHAnsi" w:cstheme="majorBidi" w:ascii="DFKai-SB" w:hAnsi="DFKai-SB" w:eastAsia="標楷體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 w:ascii="DFKai-SB" w:hAnsi="DFKai-SB" w:eastAsia="標楷體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40"/>
      <w:outlineLvl w:val="2"/>
    </w:pPr>
    <w:rPr>
      <w:rFonts w:asciiTheme="majorHAnsi" w:eastAsiaTheme="majorEastAsia" w:hAnsiTheme="majorHAnsi" w:cstheme="majorBidi" w:ascii="DFKai-SB" w:hAnsi="DFKai-SB" w:eastAsia="標楷體"/>
      <w:b/>
      <w:bCs/>
      <w:color w:val="4F81BD" w:themeColor="accent1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DFKai-SB" w:hAnsi="DFKai-SB" w:eastAsia="標楷體"/>
      <w:color w:val="17365D" w:themeColor="text2" w:themeShade="BF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