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7248E" w14:textId="77777777" w:rsidR="0071694F" w:rsidRDefault="0071694F" w:rsidP="0071694F">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One form of gene-environment interplay is gene-environment interaction (GxE), where genetic effects are moderated by the quality of social environments. H</w:t>
      </w:r>
      <w:r w:rsidRPr="00F66E7E">
        <w:rPr>
          <w:rFonts w:ascii="Times New Roman" w:hAnsi="Times New Roman" w:cs="Times New Roman"/>
          <w:sz w:val="24"/>
          <w:szCs w:val="24"/>
        </w:rPr>
        <w:t>istorically</w:t>
      </w:r>
      <w:r>
        <w:rPr>
          <w:rFonts w:ascii="Times New Roman" w:hAnsi="Times New Roman" w:cs="Times New Roman"/>
          <w:sz w:val="24"/>
          <w:szCs w:val="24"/>
        </w:rPr>
        <w:t>, t</w:t>
      </w:r>
      <w:r w:rsidRPr="00F66E7E">
        <w:rPr>
          <w:rFonts w:ascii="Times New Roman" w:hAnsi="Times New Roman" w:cs="Times New Roman"/>
          <w:sz w:val="24"/>
          <w:szCs w:val="24"/>
        </w:rPr>
        <w:t xml:space="preserve">he </w:t>
      </w:r>
      <w:r>
        <w:rPr>
          <w:rFonts w:ascii="Times New Roman" w:hAnsi="Times New Roman" w:cs="Times New Roman"/>
          <w:sz w:val="24"/>
          <w:szCs w:val="24"/>
        </w:rPr>
        <w:t>field</w:t>
      </w:r>
      <w:r w:rsidRPr="00F66E7E">
        <w:rPr>
          <w:rFonts w:ascii="Times New Roman" w:hAnsi="Times New Roman" w:cs="Times New Roman"/>
          <w:sz w:val="24"/>
          <w:szCs w:val="24"/>
        </w:rPr>
        <w:t xml:space="preserve"> has </w:t>
      </w:r>
      <w:r>
        <w:rPr>
          <w:rFonts w:ascii="Times New Roman" w:hAnsi="Times New Roman" w:cs="Times New Roman"/>
          <w:sz w:val="24"/>
          <w:szCs w:val="24"/>
        </w:rPr>
        <w:t>disproportionally centered the</w:t>
      </w:r>
      <w:r w:rsidRPr="00F66E7E">
        <w:rPr>
          <w:rFonts w:ascii="Times New Roman" w:hAnsi="Times New Roman" w:cs="Times New Roman"/>
          <w:sz w:val="24"/>
          <w:szCs w:val="24"/>
        </w:rPr>
        <w:t xml:space="preserve"> investigation</w:t>
      </w:r>
      <w:r>
        <w:rPr>
          <w:rFonts w:ascii="Times New Roman" w:hAnsi="Times New Roman" w:cs="Times New Roman"/>
          <w:sz w:val="24"/>
          <w:szCs w:val="24"/>
        </w:rPr>
        <w:t xml:space="preserve">s around GxE, such that sometimes gene-environment interplay has become interchangeable with GxE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{"citationID":"OPTyJe1m","properties":{"formattedCitation":"(Burt, 2011)","plainCitation":"(Burt, 2011)","noteIndex":0},"citationItems":[{"id":991,"uris":["http://zotero.org/users/10101336/items/7N8Z27JV"],"itemData":{"id":991,"type":"article-journal","abstract":"Gene–environment interaction (GxE) is thought to constitute a fundamental mechanism though which genes influence human behavior. In the excitement about GxE, however, the deliberative approach that typically characterizes empirical social science research has been inconsistently applied. The current review highlights areas where more work is needed. First, although most GxE research to date has focused on the augmentation of genetic influences by extreme environmental pathogens, normal-range environmental risk factors may also act via GxE. Second, environmental risk and protective factors may serve to “deactivate”, rather than augment, genetic influences. Finally, few GxE studies have meaningfully considered the role of development.","container-title":"Research in Human Development","DOI":"10.1080/15427609.2011.625323","ISSN":"1542-7609","issue":"3-4","note":"publisher: Routledge\n_eprint: https://doi.org/10.1080/15427609.2011.625323","page":"192-210","source":"Taylor and Francis+NEJM","title":"Some Key Issues in the Study of Gene–Environment Interplay: Activation, Deactivation, and the Role of Development","title-short":"Some Key Issues in the Study of Gene–Environment Interplay","volume":"8","author":[{"family":"Burt","given":"Alex"}],"issued":{"date-parts":[["2011",7,1]]}}}],"schema":"https://github.com/citation-style-language/schema/raw/master/csl-citation.json"} </w:instrText>
      </w:r>
      <w:r>
        <w:rPr>
          <w:rFonts w:ascii="Times New Roman" w:hAnsi="Times New Roman" w:cs="Times New Roman"/>
          <w:sz w:val="24"/>
          <w:szCs w:val="24"/>
        </w:rPr>
        <w:fldChar w:fldCharType="separate"/>
      </w:r>
      <w:r w:rsidRPr="00853A5E">
        <w:rPr>
          <w:rFonts w:ascii="Times New Roman" w:hAnsi="Times New Roman" w:cs="Times New Roman"/>
          <w:sz w:val="24"/>
        </w:rPr>
        <w:t>(Burt, 2011)</w:t>
      </w:r>
      <w:r>
        <w:rPr>
          <w:rFonts w:ascii="Times New Roman" w:hAnsi="Times New Roman" w:cs="Times New Roman"/>
          <w:sz w:val="24"/>
          <w:szCs w:val="24"/>
        </w:rPr>
        <w:fldChar w:fldCharType="end"/>
      </w:r>
      <w:r>
        <w:rPr>
          <w:rFonts w:ascii="Times New Roman" w:hAnsi="Times New Roman" w:cs="Times New Roman"/>
          <w:sz w:val="24"/>
          <w:szCs w:val="24"/>
        </w:rPr>
        <w:t xml:space="preserve">. The prominence of </w:t>
      </w:r>
      <w:r w:rsidRPr="009D6F55">
        <w:rPr>
          <w:rFonts w:ascii="Times New Roman" w:hAnsi="Times New Roman" w:cs="Times New Roman"/>
          <w:sz w:val="24"/>
          <w:szCs w:val="24"/>
        </w:rPr>
        <w:t>GxE effects for EXT behaviors</w:t>
      </w:r>
      <w:r>
        <w:rPr>
          <w:rFonts w:ascii="Times New Roman" w:hAnsi="Times New Roman" w:cs="Times New Roman"/>
          <w:sz w:val="24"/>
          <w:szCs w:val="24"/>
        </w:rPr>
        <w:t xml:space="preserve"> have been well-characterized in</w:t>
      </w:r>
      <w:r w:rsidRPr="009D6F55">
        <w:rPr>
          <w:rFonts w:ascii="Times New Roman" w:hAnsi="Times New Roman" w:cs="Times New Roman"/>
          <w:sz w:val="24"/>
          <w:szCs w:val="24"/>
        </w:rPr>
        <w:t xml:space="preserve"> twin studies </w:t>
      </w:r>
      <w:r w:rsidRPr="009D6F55">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{"citationID":"bStSgCSI","properties":{"formattedCitation":"(Hicks et al., 2009)","plainCitation":"(Hicks et al., 2009)","noteIndex":0},"citationItems":[{"id":247,"uris":["http://zotero.org/users/10101336/items/4YT4C87N"],"itemData":{"id":247,"type":"article-journal","container-title":"Archives of General Psychiatry","DOI":"10.1001/archgenpsychiatry.2008.554","ISSN":"0003-990X","issue":"6","journalAbbreviation":"Arch Gen Psychiatry","language":"en","page":"640","source":"DOI.org (Crossref)","title":"Environmental Adversity and Increasing Genetic Risk for Externalizing Disorders","volume":"66","author":[{"family":"Hicks","given":"Brian M."},{"family":"South","given":"Susan C."},{"family":"DiRago","given":"Ana C."},{"family":"Iacono","given":"William G."},{"family":"McGue","given":"Matt"}],"issued":{"date-parts":[["2009",6,1]]}},"label":"page"}],"schema":"https://github.com/citation-style-language/schema/raw/master/csl-citation.json"} </w:instrText>
      </w:r>
      <w:r w:rsidRPr="009D6F55">
        <w:rPr>
          <w:rFonts w:ascii="Times New Roman" w:hAnsi="Times New Roman" w:cs="Times New Roman"/>
          <w:sz w:val="24"/>
          <w:szCs w:val="24"/>
        </w:rPr>
        <w:fldChar w:fldCharType="separate"/>
      </w:r>
      <w:r w:rsidRPr="00A64B62">
        <w:rPr>
          <w:rFonts w:ascii="Times New Roman" w:hAnsi="Times New Roman" w:cs="Times New Roman"/>
          <w:sz w:val="24"/>
        </w:rPr>
        <w:t>(Hicks et al., 2009)</w:t>
      </w:r>
      <w:r w:rsidRPr="009D6F55">
        <w:rPr>
          <w:rFonts w:ascii="Times New Roman" w:hAnsi="Times New Roman" w:cs="Times New Roman"/>
          <w:sz w:val="24"/>
          <w:szCs w:val="24"/>
        </w:rPr>
        <w:fldChar w:fldCharType="end"/>
      </w:r>
      <w:r>
        <w:rPr>
          <w:rFonts w:ascii="Times New Roman" w:hAnsi="Times New Roman" w:cs="Times New Roman"/>
          <w:sz w:val="24"/>
          <w:szCs w:val="24"/>
        </w:rPr>
        <w:t>, where the genetic contribution to the development of EXT behaviors were found to be stronger in more adverse environments</w:t>
      </w:r>
      <w:r w:rsidRPr="009D6F55">
        <w:rPr>
          <w:rFonts w:ascii="Times New Roman" w:hAnsi="Times New Roman" w:cs="Times New Roman"/>
          <w:sz w:val="24"/>
          <w:szCs w:val="24"/>
        </w:rPr>
        <w:t xml:space="preserve"> </w:t>
      </w:r>
      <w:r w:rsidRPr="009D6F55">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{"citationID":"5DXuFly3","properties":{"formattedCitation":"(Samek et al., 2017)","plainCitation":"(Samek et al., 2017)","noteIndex":0},"citationItems":[{"id":243,"uris":["http://zotero.org/users/10101336/items/798CJUZH"],"itemData":{"id":243,"type":"article-journal","abstract":"Abstract\n            Gene × Environment interaction contributes to externalizing disorders in childhood and adolescence, but little is known about whether such effects are long lasting or present in adulthood. We examined gene–environment interplay in the concurrent and prospective associations between antisocial peer affiliation and externalizing disorders (antisocial behavior and substance use disorders) at ages 17, 20, 24, and 29. The sample included 1,382 same-sex twin pairs participating in the Minnesota Twin Family Study. We detected a Gene × Environment interaction at age 17, such that additive genetic influences on antisocial behavior and substance use disorders were greater in the context of greater antisocial peer affiliation. This Gene × Environment interaction was not present for antisocial behavior symptoms after age 17, but it was for substance use disorder symptoms through age 29 (though effect sizes were largest at age 17). The results suggest adolescence is a critical period for the development of externalizing disorders wherein exposure to greater environmental adversity is associated with a greater expression of genetic risk. This form of Gene × Environment interaction may persist through young adulthood for substance use disorders, but it appears to be limited to adolescence for antisocial behavior.","container-title":"Development and Psychopathology","DOI":"10.1017/S0954579416000109","ISSN":"0954-5794, 1469-2198","issue":"1","journalAbbreviation":"Dev Psychopathol","language":"en","page":"155-172","source":"DOI.org (Crossref)","title":"Antisocial peer affiliation and externalizing disorders: Evidence for Gene × Environment × Development interaction","title-short":"Antisocial peer affiliation and externalizing disorders","volume":"29","author":[{"family":"Samek","given":"Diana R."},{"family":"Hicks","given":"Brian M."},{"family":"Keyes","given":"Margaret A."},{"family":"Iacono","given":"William G."},{"family":"McGue","given":"Matt"}],"issued":{"date-parts":[["2017",2]]}}}],"schema":"https://github.com/citation-style-language/schema/raw/master/csl-citation.json"} </w:instrText>
      </w:r>
      <w:r w:rsidRPr="009D6F55">
        <w:rPr>
          <w:rFonts w:ascii="Times New Roman" w:hAnsi="Times New Roman" w:cs="Times New Roman"/>
          <w:sz w:val="24"/>
          <w:szCs w:val="24"/>
        </w:rPr>
        <w:fldChar w:fldCharType="separate"/>
      </w:r>
      <w:r w:rsidRPr="00A64B62">
        <w:rPr>
          <w:rFonts w:ascii="Times New Roman" w:hAnsi="Times New Roman" w:cs="Times New Roman"/>
          <w:sz w:val="24"/>
        </w:rPr>
        <w:t>(Samek et al., 2017)</w:t>
      </w:r>
      <w:r w:rsidRPr="009D6F55">
        <w:rPr>
          <w:rFonts w:ascii="Times New Roman" w:hAnsi="Times New Roman" w:cs="Times New Roman"/>
          <w:sz w:val="24"/>
          <w:szCs w:val="24"/>
        </w:rPr>
        <w:fldChar w:fldCharType="end"/>
      </w:r>
      <w:r w:rsidRPr="009D6F55">
        <w:rPr>
          <w:rFonts w:ascii="Times New Roman" w:hAnsi="Times New Roman" w:cs="Times New Roman"/>
          <w:sz w:val="24"/>
          <w:szCs w:val="24"/>
        </w:rPr>
        <w:t xml:space="preserve">. </w:t>
      </w:r>
      <w:r>
        <w:rPr>
          <w:rFonts w:ascii="Times New Roman" w:hAnsi="Times New Roman" w:cs="Times New Roman"/>
          <w:sz w:val="24"/>
          <w:szCs w:val="24"/>
        </w:rPr>
        <w:t xml:space="preserve">However, the findings from twin studies were not replicated in the post-GWAS era, as the results from studies employing state-of-the-art polygenic scores have either failed to detect any GxE effects or detected GxE effects of minimal effect sizes among multiple statistical tests conducted.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{"citationID":"OTS0pazv","properties":{"formattedCitation":"(Acland et al., 2024; Hannigan et al., 2024; He &amp; Li, 2022; Ksinan et al., 2022; Plomin et al., 2022; Su et al., 2022; Trevino et al., 2024)","plainCitation":"(Acland et al., 2024; Hannigan et al., 2024; He &amp; Li, 2022; Ksinan et al., 2022; Plomin et al., 2022; Su et al., 2022; Trevino et al., 2024)","noteIndex":0},"citationItems":[{"id":967,"uris":["http://zotero.org/users/10101336/items/VJSAP5GF"],"itemData":{"id":967,"type":"article-journal","abstract":"Adverse environments are linked to elevated youth antisocial behavior. However, this relation is thought to depend, in part, on genetic susceptibility. The present study investigated whether polygenic risk for antisociality moderates relations between hostile environments and stable as well as dynamic antisocial behaviors across adolescence. We derived two antisocial-linked polygenic risk scores (PRS) (N = 721) based on previous genome-wide association studies. Forms of antisocial behavior (nonaggressive conduct problems, physical aggression, social aggression) and environmental hostility (harsh parenting and school violence) were assessed at age 13, 15, and 17 years. Relations to individual differences stable across adolescence (latent stability) vs. time-specific states (timepoint residual variance) of antisocial behavior were assessed via structural equation models. Higher antisocial PRS, harsh parenting, and school violence were linked to stable elevations in antisocial behaviors across adolescence. We identified a consistent polygenic-environment interaction suggestive of differential susceptibility in late adolescence. At age 17, harsher parenting was linked to higher social aggression in those with higher antisocial PRS, and lower social aggression in those with lower antisocial PRS. This suggests that genetics and environmental hostility relate to stable youth antisocial behaviors, and that genetic susceptibility moderates home environment-antisocial associations specifically in late adolescence.","container-title":"Development and Psychopathology","DOI":"10.1017/S095457942400004X","ISSN":"0954-5794, 1469-2198","language":"en","page":"1-13","source":"Cambridge University Press","title":"Polygenic risk and hostile environments: Links to stable and dynamic antisocial behaviors across adolescence","title-short":"Polygenic risk and hostile environments","author":[{"family":"Acland","given":"E. L."},{"family":"Pocuca","given":"N."},{"family":"Paquin","given":"S."},{"family":"Boivin","given":"M."},{"family":"Ouellet-Morin","given":"I."},{"family":"Andlauer","given":"T. F. M."},{"family":"Gouin","given":"J. P."},{"family":"Côté","given":"S. M."},{"family":"Tremblay","given":"R. E."},{"family":"Geoffroy","given":"M."},{"family":"Castellanos-Ryan","given":"N."}],"issued":{"date-parts":[["2024",2,8]]}}},{"id":964,"uris":["http://zotero.org/users/10101336/items/V6Z2N3Y8"],"itemData":{"id":964,"type":"article-journal","abstract":"BackgroundWhile maternal at-risk drinking is associated with children's emotional and behavioral problems, there is a paucity of research that properly accounts for genetic confounding and gene–environment interplay. Therefore, it remains uncertain what mechanisms underlie these associations. We assess the moderation of associations between maternal at-risk drinking and childhood emotional and behavioral problems by common genetic variants linked to environmental sensitivity (genotype-by-environment [G × E] interaction) while accounting for shared genetic risk between mothers and offspring (GE correlation).MethodsWe use data from 109 727 children born to 90 873 mothers enrolled in the Norwegian Mother, Father, and Child Cohort Study. Women self-reported alcohol consumption and reported emotional and behavioral problems when children were 1.5/3/5 years old. We included child polygenic scores (PGSs) for traits linked to environmental sensitivity as moderators.ResultsAssociations between maternal drinking and child emotional (β1 = 0.04 [95% confidence interval (CI) 0.03–0.05]) and behavioral (β1 = 0.07 [0.06–0.08]) outcomes attenuated after controlling for measured confounders and were almost zero when we accounted for unmeasured confounding (emotional: β1 = 0.01 [0.00–0.02]; behavioral: β1 = 0.01 [0.00–0.02]). We observed no moderation of these adjusted exposure effects by any of the PGS.ConclusionsThe lack of strong evidence for G × E interaction may indicate that the mechanism is not implicated in this kind of intergenerational association. It may also reflect insufficient power or the relatively benign nature of the exposure in this sample.","container-title":"Psychological Medicine","DOI":"10.1017/S0033291723003057","ISSN":"0033-2917, 1469-8978","issue":"1","language":"en","page":"203-214","source":"Cambridge University Press","title":"Genotype–environment interplay in associations between maternal drinking and offspring emotional and behavioral problems","volume":"54","author":[{"family":"Hannigan","given":"Laurie John"},{"family":"Lund","given":"Ingunn Olea"},{"family":"Askelund","given":"Adrian Dahl"},{"family":"Ystrom","given":"Eivind"},{"family":"Corfield","given":"Elizabeth C."},{"family":"Ask","given":"Helga"},{"family":"Havdahl","given":"Alexandra"}],"issued":{"date-parts":[["2024",1]]}}},{"id":60,"uris":["http://zotero.org/users/10101336/items/8W2PCTE2"],"itemData":{"id":60,"type":"article-journal","container-title":"Research on Child and Adolescent Psychopathology","DOI":"10.1007/s10802-021-00873-2","ISSN":"2730-7166, 2730-7174","issue":"3","journalAbbreviation":"Res Child Adolesc Psychopathol","language":"en","page":"309-319","source":"DOI.org (Crossref)","title":"A Gene-Environment Interaction Study of Polygenic Scores and Maltreatment on Childhood ADHD","volume":"50","author":[{"family":"He","given":"Quanfa"},{"family":"Li","given":"James J."}],"issued":{"date-parts":[["2022",3]]}}},{"id":206,"uris":["http://zotero.org/users/10101336/items/H4GWEGXI"],"itemData":{"id":206,"type":"article-journal","container-title":"Behavior Genetics","DOI":"10.1007/s10519-021-10079-3","ISSN":"0001-8244, 1573-3297","issue":"1","journalAbbreviation":"Behav Genet","language":"en","page":"26-37","source":"DOI.org (Crossref)","title":"The Associations of Polygenic Scores for Risky Behaviors and Parenting Behaviors with Adolescent Externalizing Problems","volume":"52","author":[{"family":"Ksinan","given":"Albert J."},{"family":"Smith","given":"Rebecca L."},{"family":"Barr","given":"Peter B."},{"family":"Vazsonyi","given":"Alexander T."}],"issued":{"date-parts":[["2022",1]]}}},{"id":355,"uris":["http://zotero.org/users/10101336/items/TJVRDQWH"],"itemData":{"id":355,"type":"article-journal","abstract":"The DNA revolution has energized research on interactions between genes and environments (GxE) by creating indices of G (polygenic scores) that are powerful predictors of behavioral traits. Here, we test the extent to which polygenic scores for attention-deficit/hyperactivity disorder and neuroticism moderate associations between parent reports of their children’s environmental risk (E) at ages 3 and 4 and teacher ratings of behavior problems (hyperactivity/inattention, conduct problems, emotional symptoms, and peer relationship problems) at ages 7, 9 and 12. The sampling frame included up to 6687 twins from the Twins Early Development Study. Our analyses focused on relative effect sizes of G, E and GxE in predicting behavior problems. G, E and GxE predicted up to 2%, 2% and 0.4%, respectively, of the variance in externalizing behavior problems (hyperactivity/inattention and conduct problems) across ages 7, 9 and 12, with no clear developmental trends. G and E predictions of emotional symptoms and peer relationship problems were weaker. A quarter (12 of 48) of our tests of GxE were nominally significant (p = .05). Increasing the predictive power of G and E would enhance the search for GxE.","container-title":"Development and Psychopathology","DOI":"10.1017/S0954579422000931","ISSN":"0954-5794, 1469-2198","issue":"5","language":"en","note":"publisher: Cambridge University Press","page":"1816-1826","source":"Cambridge University Press","title":"Gene–environment interaction using polygenic scores: Do polygenic scores for psychopathology moderate predictions from environmental risk to behavior problems?","title-short":"Gene–environment interaction using polygenic scores","volume":"34","author":[{"family":"Plomin","given":"Robert"},{"family":"Gidziela","given":"Agnieszka"},{"family":"Malanchini","given":"Margherita"},{"family":"Stumm","given":"Sophie","dropping-particle":"von"}],"issued":{"date-parts":[["2022",12]]}}},{"id":963,"uris":["http://zotero.org/users/10101336/items/2KF8HH2Y"],"itemData":{"id":963,"type":"article-journal","abstract":"This study examined the independent and interactive effects of genetic risk for alcohol use disorder (AUD), parenting behaviors, and family environment on childhood impulsivity. Data were drawn from White (n = 5,991), Black/African American (n = 1,693), and Hispanic/Latino (n = 2,118) youth who completed the baseline assessment (age 9–10) and had genotypic data available from the Adolescent Brain Cognitive Development Study. Participants completed questionnaires and provided saliva or blood samples for genotyping. Results indicated no significant main effects of AUD genome-wide polygenic scores (AUD-PRS) on childhood impulsivity as measured by the UPPS-P scale across racial/ethnic groups. In general, parental monitoring and parental acceptance were associated with lower impulsivity; family conflict was associated with higher impulsivity. There was an interaction effect between AUD-PRS and family conflict, such that family conflict exacerbated the association between AUD-PRS and positive urgency, only among Black/African American youth. This was the only significant interaction effect detected from a total of 45 tests (five impulsivity dimensions, three subsamples, and three family factors), and thus may be a false positive and needs to be replicated. These findings highlight the important role of parenting behaviors and family conflict in relation to impulsivity among children.","container-title":"Development and Psychopathology","DOI":"10.1017/S095457942200092X","ISSN":"0954-5794, 1469-2198","issue":"5","language":"en","page":"1827-1840","source":"Cambridge University Press","title":"Genetic risk of AUDs and childhood impulsivity: Examining the role of parenting and family environment","title-short":"Genetic risk of AUDs and childhood impulsivity","volume":"34","author":[{"family":"Su","given":"Jinni"},{"family":"Trevino","given":"Angel"},{"family":"Jamil","given":"Belal"},{"family":"Aliev","given":"Fazil"}],"issued":{"date-parts":[["2022",12]]}}},{"id":965,"uris":["http://zotero.org/users/10101336/items/UY7W4GYI"],"itemData":{"id":965,"type":"article-journal","abstract":"This study examined the independent and interactive effects of alcohol use disorder genome-wide polygenic scores (AUD-PGS) and parenting and family conflict on early adolescent externalizing behaviors. Data were drawn from White (N = 6181, 46.9% female), Black/African American (N = 1784, 50.1% female), and Hispanic/Latinx (N = 2410, 48.0% female) youth from the adolescent brain cognitive development Study (ABCD). Parents reported on youth externalizing behaviors at baseline (T1, age 9/10), 1-year (T2, age 10/11) and 2-year (T3, age 11/12) assessments. Youth reported on parenting and family environment at T1 and provided saliva or blood samples for genotyping. Results from latent growth models indicated that in general externalizing behaviors decreased from T1 to T3. Across all groups, higher family conflict was associated with more externalizing behaviors at T1, and we did not find significant associations between parental monitoring and early adolescent externalizing behaviors. Parental acceptance was associated with lower externalizing behaviors among White and Hispanic youth, but not among Black youth. Results indicated no significant main effect of AUD-PGS nor interaction effect between AUD-PGS and family variables on early adolescent externalizing behaviors. Post hoc exploratory analysis uncovered an interaction between AUD-PGS and parental acceptance such that AUD-PGS was positively associated with externalizing rule-breaking behaviors among Hispanic youth, but only when parental acceptance was very low. Findings highlight the important role of family conflict and parental acceptance in externalizing behaviors among early adolescents, and emphasize the need to examine other developmental pathways underlying genetic risk for AUD across diverse populations.","container-title":"Behavior Genetics","DOI":"10.1007/s10519-023-10155-w","ISSN":"1573-3297","issue":"1","journalAbbreviation":"Behav Genet","language":"en","page":"101-118","source":"Springer Link","title":"Alcohol Use Disorder Polygenic Risk Scores and Trajectories of Early Adolescent Externalizing Behaviors: Examining the Role of Parenting and Family Conflict in the Racially/Ethnically Diverse ABCD Sample","title-short":"Alcohol Use Disorder Polygenic Risk Scores and Trajectories of Early Adolescent Externalizing Behaviors","volume":"54","author":[{"family":"Trevino","given":"Angel D."},{"family":"Jamil","given":"Belal"},{"family":"Su","given":"Jinni"},{"family":"Aliev","given":"Fazil"},{"family":"Elam","given":"Kit K."},{"family":"Lemery-Chalfant","given":"Kathryn"}],"issued":{"date-parts":[["2024",1,1]]}}}],"schema":"https://github.com/citation-style-language/schema/raw/master/csl-citation.json"} </w:instrText>
      </w:r>
      <w:r>
        <w:rPr>
          <w:rFonts w:ascii="Times New Roman" w:hAnsi="Times New Roman" w:cs="Times New Roman"/>
          <w:sz w:val="24"/>
          <w:szCs w:val="24"/>
        </w:rPr>
        <w:fldChar w:fldCharType="separate"/>
      </w:r>
      <w:r w:rsidRPr="00C92ECD">
        <w:rPr>
          <w:rFonts w:ascii="Times New Roman" w:hAnsi="Times New Roman" w:cs="Times New Roman"/>
          <w:sz w:val="24"/>
        </w:rPr>
        <w:t>(Acland et al., 2024; Hannigan et al., 2024; He &amp; Li, 2022; Ksinan et al., 2022; Plomin et al., 2022; Su et al., 2022; Trevino et al., 2024)</w:t>
      </w:r>
      <w:r>
        <w:rPr>
          <w:rFonts w:ascii="Times New Roman" w:hAnsi="Times New Roman" w:cs="Times New Roman"/>
          <w:sz w:val="24"/>
          <w:szCs w:val="24"/>
        </w:rPr>
        <w:fldChar w:fldCharType="end"/>
      </w:r>
      <w:r>
        <w:rPr>
          <w:rFonts w:ascii="Times New Roman" w:hAnsi="Times New Roman" w:cs="Times New Roman"/>
          <w:sz w:val="24"/>
          <w:szCs w:val="24"/>
        </w:rPr>
        <w:t xml:space="preserve">. While various explanations for the failure to replicate exist, such discussion is beyond the scope of this article. </w:t>
      </w:r>
    </w:p>
    <w:p w14:paraId="3D2C0AFC" w14:textId="77777777" w:rsidR="0071694F" w:rsidRDefault="0071694F" w:rsidP="00D3611D">
      <w:pPr>
        <w:spacing w:after="0" w:line="480" w:lineRule="auto"/>
        <w:rPr>
          <w:rFonts w:ascii="Times New Roman" w:hAnsi="Times New Roman" w:cs="Times New Roman"/>
          <w:b/>
          <w:bCs/>
          <w:i/>
          <w:iCs/>
          <w:sz w:val="24"/>
          <w:szCs w:val="24"/>
        </w:rPr>
      </w:pPr>
    </w:p>
    <w:p w14:paraId="0229DA7A" w14:textId="77777777" w:rsidR="0071694F" w:rsidRDefault="0071694F" w:rsidP="00D3611D">
      <w:pPr>
        <w:spacing w:after="0" w:line="480" w:lineRule="auto"/>
        <w:rPr>
          <w:rFonts w:ascii="Times New Roman" w:hAnsi="Times New Roman" w:cs="Times New Roman"/>
          <w:b/>
          <w:bCs/>
          <w:i/>
          <w:iCs/>
          <w:sz w:val="24"/>
          <w:szCs w:val="24"/>
        </w:rPr>
      </w:pPr>
    </w:p>
    <w:p w14:paraId="7070778A" w14:textId="5DAE48C0" w:rsidR="00D3611D" w:rsidRPr="00FA257A" w:rsidRDefault="00D3611D" w:rsidP="00D3611D">
      <w:pPr>
        <w:spacing w:after="0" w:line="480" w:lineRule="auto"/>
        <w:rPr>
          <w:rFonts w:ascii="Times New Roman" w:hAnsi="Times New Roman" w:cs="Times New Roman"/>
          <w:i/>
          <w:iCs/>
          <w:sz w:val="24"/>
          <w:szCs w:val="24"/>
        </w:rPr>
      </w:pPr>
      <w:r>
        <w:rPr>
          <w:rFonts w:ascii="Times New Roman" w:hAnsi="Times New Roman" w:cs="Times New Roman"/>
          <w:b/>
          <w:bCs/>
          <w:i/>
          <w:iCs/>
          <w:sz w:val="24"/>
          <w:szCs w:val="24"/>
        </w:rPr>
        <w:t>Childhood ADHD</w:t>
      </w:r>
    </w:p>
    <w:p w14:paraId="25A6E9A3" w14:textId="77777777" w:rsidR="00D3611D" w:rsidRDefault="00D3611D" w:rsidP="00D3611D">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 xml:space="preserve">ADHD symptoms </w:t>
      </w:r>
      <w:r w:rsidRPr="00A2739A">
        <w:rPr>
          <w:rFonts w:ascii="Times New Roman" w:hAnsi="Times New Roman" w:cs="Times New Roman"/>
          <w:sz w:val="24"/>
          <w:szCs w:val="24"/>
        </w:rPr>
        <w:t>during age 5-12</w:t>
      </w:r>
      <w:r>
        <w:rPr>
          <w:rFonts w:ascii="Times New Roman" w:hAnsi="Times New Roman" w:cs="Times New Roman"/>
          <w:sz w:val="24"/>
          <w:szCs w:val="24"/>
        </w:rPr>
        <w:t xml:space="preserve"> were assessed retrospectively at Wave 3 with participant self-report on seventeen items, including symptoms of inattention (e.g., forgetfulness, losing things), hyperactivity (e.g., fidgeting, leaving seat), and impulsivity (e.g., making careless mistakes, difficulty in taking turns).</w:t>
      </w:r>
      <w:r w:rsidRPr="003D3D06">
        <w:rPr>
          <w:rFonts w:ascii="Times New Roman" w:hAnsi="Times New Roman" w:cs="Times New Roman"/>
          <w:sz w:val="24"/>
          <w:szCs w:val="24"/>
        </w:rPr>
        <w:t xml:space="preserve"> </w:t>
      </w:r>
      <w:r w:rsidRPr="00D20ACC">
        <w:rPr>
          <w:rFonts w:ascii="Times New Roman" w:hAnsi="Times New Roman" w:cs="Times New Roman"/>
          <w:sz w:val="24"/>
          <w:szCs w:val="24"/>
        </w:rPr>
        <w:t>These items were rated</w:t>
      </w:r>
      <w:r>
        <w:rPr>
          <w:rFonts w:ascii="Times New Roman" w:hAnsi="Times New Roman" w:cs="Times New Roman"/>
          <w:sz w:val="24"/>
          <w:szCs w:val="24"/>
        </w:rPr>
        <w:t xml:space="preserve"> categorically</w:t>
      </w:r>
      <w:r w:rsidRPr="00D20ACC">
        <w:rPr>
          <w:rFonts w:ascii="Times New Roman" w:hAnsi="Times New Roman" w:cs="Times New Roman"/>
          <w:sz w:val="24"/>
          <w:szCs w:val="24"/>
        </w:rPr>
        <w:t xml:space="preserve"> on </w:t>
      </w:r>
      <w:r>
        <w:rPr>
          <w:rFonts w:ascii="Times New Roman" w:hAnsi="Times New Roman" w:cs="Times New Roman"/>
          <w:sz w:val="24"/>
          <w:szCs w:val="24"/>
        </w:rPr>
        <w:t>a</w:t>
      </w:r>
      <w:r w:rsidRPr="00D20ACC">
        <w:rPr>
          <w:rFonts w:ascii="Times New Roman" w:hAnsi="Times New Roman" w:cs="Times New Roman"/>
          <w:sz w:val="24"/>
          <w:szCs w:val="24"/>
        </w:rPr>
        <w:t xml:space="preserve"> </w:t>
      </w:r>
      <w:r>
        <w:rPr>
          <w:rFonts w:ascii="Times New Roman" w:hAnsi="Times New Roman" w:cs="Times New Roman"/>
          <w:sz w:val="24"/>
          <w:szCs w:val="24"/>
        </w:rPr>
        <w:t>four</w:t>
      </w:r>
      <w:r w:rsidRPr="00D20ACC">
        <w:rPr>
          <w:rFonts w:ascii="Times New Roman" w:hAnsi="Times New Roman" w:cs="Times New Roman"/>
          <w:sz w:val="24"/>
          <w:szCs w:val="24"/>
        </w:rPr>
        <w:t xml:space="preserve">-point </w:t>
      </w:r>
      <w:r>
        <w:rPr>
          <w:rFonts w:ascii="Times New Roman" w:hAnsi="Times New Roman" w:cs="Times New Roman"/>
          <w:sz w:val="24"/>
          <w:szCs w:val="24"/>
        </w:rPr>
        <w:t xml:space="preserve">Likert </w:t>
      </w:r>
      <w:r w:rsidRPr="00D20ACC">
        <w:rPr>
          <w:rFonts w:ascii="Times New Roman" w:hAnsi="Times New Roman" w:cs="Times New Roman"/>
          <w:sz w:val="24"/>
          <w:szCs w:val="24"/>
        </w:rPr>
        <w:t xml:space="preserve">scale and showed high reliability (α = .77). </w:t>
      </w:r>
      <w:r w:rsidRPr="007266C7">
        <w:rPr>
          <w:rFonts w:ascii="Times New Roman" w:hAnsi="Times New Roman" w:cs="Times New Roman"/>
          <w:sz w:val="24"/>
          <w:szCs w:val="24"/>
        </w:rPr>
        <w:t xml:space="preserve"> </w:t>
      </w:r>
    </w:p>
    <w:p w14:paraId="1E6CC6D5" w14:textId="77777777" w:rsidR="00D3611D" w:rsidRDefault="00D3611D" w:rsidP="00F72EE2">
      <w:pPr>
        <w:spacing w:after="0" w:line="480" w:lineRule="auto"/>
        <w:rPr>
          <w:rFonts w:ascii="Times New Roman" w:hAnsi="Times New Roman" w:cs="Times New Roman"/>
          <w:b/>
          <w:bCs/>
          <w:i/>
          <w:iCs/>
          <w:sz w:val="24"/>
          <w:szCs w:val="24"/>
        </w:rPr>
      </w:pPr>
    </w:p>
    <w:p w14:paraId="23A9CB2C" w14:textId="55E9BE82" w:rsidR="00A0071E" w:rsidRDefault="00A0071E" w:rsidP="00F72EE2">
      <w:pPr>
        <w:spacing w:after="0" w:line="480" w:lineRule="auto"/>
        <w:rPr>
          <w:rFonts w:ascii="Times New Roman" w:hAnsi="Times New Roman" w:cs="Times New Roman"/>
          <w:b/>
          <w:bCs/>
          <w:i/>
          <w:iCs/>
          <w:sz w:val="24"/>
          <w:szCs w:val="24"/>
        </w:rPr>
      </w:pPr>
      <w:r>
        <w:rPr>
          <w:rFonts w:ascii="Times New Roman" w:hAnsi="Times New Roman" w:cs="Times New Roman"/>
          <w:sz w:val="24"/>
          <w:szCs w:val="24"/>
        </w:rPr>
        <w:lastRenderedPageBreak/>
        <w:t>in follow-up analyses, nonparametric estimation of indirect effects which is conceptually similar to the p</w:t>
      </w:r>
      <w:r w:rsidRPr="0094482F">
        <w:rPr>
          <w:rFonts w:ascii="Times New Roman" w:hAnsi="Times New Roman" w:cs="Times New Roman"/>
          <w:sz w:val="24"/>
          <w:szCs w:val="24"/>
        </w:rPr>
        <w:t xml:space="preserve">ercentile bootstrapping procedures </w:t>
      </w:r>
      <w:r w:rsidRPr="0094482F">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{"citationID":"MMVOO4pk","properties":{"formattedCitation":"(Preacher &amp; Hayes, 2008)","plainCitation":"(Preacher &amp; Hayes, 2008)","noteIndex":0},"citationItems":[{"id":1088,"uris":["http://zotero.org/users/10101336/items/DCCAR3WC"],"itemData":{"id":1088,"type":"article-journal","container-title":"Behavior Research Methods","DOI":"10.3758/BRM.40.3.879","ISSN":"1554-351X, 1554-3528","issue":"3","journalAbbreviation":"Behavior Research Methods","language":"en","license":"http://www.springer.com/tdm","page":"879-891","source":"DOI.org (Crossref)","title":"Asymptotic and resampling strategies for assessing and comparing indirect effects in multiple mediator models","volume":"40","author":[{"family":"Preacher","given":"Kristopher J."},{"family":"Hayes","given":"Andrew F."}],"issued":{"date-parts":[["2008",8]]}},"label":"page"}],"schema":"https://github.com/citation-style-language/schema/raw/master/csl-citation.json"} </w:instrText>
      </w:r>
      <w:r w:rsidRPr="0094482F">
        <w:rPr>
          <w:rFonts w:ascii="Times New Roman" w:hAnsi="Times New Roman" w:cs="Times New Roman"/>
          <w:sz w:val="24"/>
          <w:szCs w:val="24"/>
        </w:rPr>
        <w:fldChar w:fldCharType="separate"/>
      </w:r>
      <w:r w:rsidRPr="00BE0C60">
        <w:rPr>
          <w:rFonts w:ascii="Times New Roman" w:hAnsi="Times New Roman" w:cs="Times New Roman"/>
          <w:sz w:val="24"/>
        </w:rPr>
        <w:t>(Preacher &amp; Hayes, 2008)</w:t>
      </w:r>
      <w:r w:rsidRPr="0094482F">
        <w:rPr>
          <w:rFonts w:ascii="Times New Roman" w:hAnsi="Times New Roman" w:cs="Times New Roman"/>
          <w:sz w:val="24"/>
          <w:szCs w:val="24"/>
        </w:rPr>
        <w:fldChar w:fldCharType="end"/>
      </w:r>
    </w:p>
    <w:p w14:paraId="23462AEE" w14:textId="77777777" w:rsidR="00A0071E" w:rsidRDefault="00A0071E" w:rsidP="00F72EE2">
      <w:pPr>
        <w:spacing w:after="0" w:line="480" w:lineRule="auto"/>
        <w:rPr>
          <w:rFonts w:ascii="Times New Roman" w:hAnsi="Times New Roman" w:cs="Times New Roman"/>
          <w:b/>
          <w:bCs/>
          <w:i/>
          <w:iCs/>
          <w:sz w:val="24"/>
          <w:szCs w:val="24"/>
        </w:rPr>
      </w:pPr>
    </w:p>
    <w:p w14:paraId="4FACDFF7" w14:textId="0F5DD97A" w:rsidR="00F72EE2" w:rsidRPr="008E5185" w:rsidRDefault="00F72EE2" w:rsidP="00F72EE2">
      <w:pPr>
        <w:spacing w:after="0" w:line="480" w:lineRule="auto"/>
        <w:rPr>
          <w:rFonts w:ascii="Times New Roman" w:hAnsi="Times New Roman" w:cs="Times New Roman"/>
          <w:b/>
          <w:bCs/>
          <w:i/>
          <w:iCs/>
          <w:sz w:val="24"/>
          <w:szCs w:val="24"/>
        </w:rPr>
      </w:pPr>
      <w:r>
        <w:rPr>
          <w:rFonts w:ascii="Times New Roman" w:hAnsi="Times New Roman" w:cs="Times New Roman"/>
          <w:b/>
          <w:bCs/>
          <w:i/>
          <w:iCs/>
          <w:sz w:val="24"/>
          <w:szCs w:val="24"/>
        </w:rPr>
        <w:t>Follow-Up Analysis</w:t>
      </w:r>
    </w:p>
    <w:p w14:paraId="3618D508" w14:textId="77777777" w:rsidR="00F72EE2" w:rsidRDefault="00F72EE2" w:rsidP="00F72EE2">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 xml:space="preserve">Depending on results from main analysis, we planned two sets of follow-up analyses using the same Bayesian SEM pipeline as described above. First, in a </w:t>
      </w:r>
      <w:r w:rsidRPr="0000304D">
        <w:rPr>
          <w:rFonts w:ascii="Times New Roman" w:hAnsi="Times New Roman" w:cs="Times New Roman"/>
          <w:sz w:val="24"/>
          <w:szCs w:val="24"/>
        </w:rPr>
        <w:t>random</w:t>
      </w:r>
      <w:r>
        <w:rPr>
          <w:rFonts w:ascii="Times New Roman" w:hAnsi="Times New Roman" w:cs="Times New Roman"/>
          <w:sz w:val="24"/>
          <w:szCs w:val="24"/>
        </w:rPr>
        <w:t>-</w:t>
      </w:r>
      <w:r w:rsidRPr="0000304D">
        <w:rPr>
          <w:rFonts w:ascii="Times New Roman" w:hAnsi="Times New Roman" w:cs="Times New Roman"/>
          <w:sz w:val="24"/>
          <w:szCs w:val="24"/>
        </w:rPr>
        <w:t>intercept</w:t>
      </w:r>
      <w:r>
        <w:rPr>
          <w:rFonts w:ascii="Times New Roman" w:hAnsi="Times New Roman" w:cs="Times New Roman"/>
          <w:sz w:val="24"/>
          <w:szCs w:val="24"/>
        </w:rPr>
        <w:t xml:space="preserve"> multilevel regression model, we tested whether the within-family associations between PGS</w:t>
      </w:r>
      <w:r w:rsidRPr="004A4C75">
        <w:rPr>
          <w:rFonts w:ascii="Times New Roman" w:hAnsi="Times New Roman" w:cs="Times New Roman"/>
          <w:sz w:val="24"/>
          <w:szCs w:val="24"/>
          <w:vertAlign w:val="subscript"/>
        </w:rPr>
        <w:t>EXT</w:t>
      </w:r>
      <w:r>
        <w:rPr>
          <w:rFonts w:ascii="Times New Roman" w:hAnsi="Times New Roman" w:cs="Times New Roman"/>
          <w:sz w:val="24"/>
          <w:szCs w:val="24"/>
        </w:rPr>
        <w:t xml:space="preserve"> and the social environments were attenuated after accounting for manifested EXT behaviors in adolescence (i.e., at Wave 1). We also estimated the proportion of PGS</w:t>
      </w:r>
      <w:r w:rsidRPr="008274BE">
        <w:rPr>
          <w:rFonts w:ascii="Times New Roman" w:hAnsi="Times New Roman" w:cs="Times New Roman"/>
          <w:sz w:val="24"/>
          <w:szCs w:val="24"/>
          <w:vertAlign w:val="subscript"/>
        </w:rPr>
        <w:t>EXT</w:t>
      </w:r>
      <w:r>
        <w:rPr>
          <w:rFonts w:ascii="Times New Roman" w:hAnsi="Times New Roman" w:cs="Times New Roman"/>
          <w:sz w:val="24"/>
          <w:szCs w:val="24"/>
        </w:rPr>
        <w:t xml:space="preserve"> effect on social environments that is accounted for vs. not accounted for by adolescent EXT phenotypes. Second, we estimated </w:t>
      </w:r>
      <w:r w:rsidRPr="0000304D">
        <w:rPr>
          <w:rFonts w:ascii="Times New Roman" w:hAnsi="Times New Roman" w:cs="Times New Roman"/>
          <w:sz w:val="24"/>
          <w:szCs w:val="24"/>
        </w:rPr>
        <w:t>random</w:t>
      </w:r>
      <w:r>
        <w:rPr>
          <w:rFonts w:ascii="Times New Roman" w:hAnsi="Times New Roman" w:cs="Times New Roman"/>
          <w:sz w:val="24"/>
          <w:szCs w:val="24"/>
        </w:rPr>
        <w:t>-</w:t>
      </w:r>
      <w:r w:rsidRPr="0000304D">
        <w:rPr>
          <w:rFonts w:ascii="Times New Roman" w:hAnsi="Times New Roman" w:cs="Times New Roman"/>
          <w:sz w:val="24"/>
          <w:szCs w:val="24"/>
        </w:rPr>
        <w:t>intercept</w:t>
      </w:r>
      <w:r>
        <w:rPr>
          <w:rFonts w:ascii="Times New Roman" w:hAnsi="Times New Roman" w:cs="Times New Roman"/>
          <w:sz w:val="24"/>
          <w:szCs w:val="24"/>
        </w:rPr>
        <w:t xml:space="preserve"> multilevel mediation models where the social environments in adolescence mediated PGS</w:t>
      </w:r>
      <w:r w:rsidRPr="002C75BB">
        <w:rPr>
          <w:rFonts w:ascii="Times New Roman" w:hAnsi="Times New Roman" w:cs="Times New Roman"/>
          <w:sz w:val="24"/>
          <w:szCs w:val="24"/>
          <w:vertAlign w:val="subscript"/>
        </w:rPr>
        <w:t>EXT</w:t>
      </w:r>
      <w:r>
        <w:rPr>
          <w:rFonts w:ascii="Times New Roman" w:hAnsi="Times New Roman" w:cs="Times New Roman"/>
          <w:sz w:val="24"/>
          <w:szCs w:val="24"/>
        </w:rPr>
        <w:t xml:space="preserve"> effect on EXT behaviors in early adulthood (i.e., at Wave 3).</w:t>
      </w:r>
    </w:p>
    <w:p w14:paraId="4CD6515E" w14:textId="77777777" w:rsidR="00E5793B" w:rsidRDefault="00E5793B"/>
    <w:p w14:paraId="00EF1591" w14:textId="77777777" w:rsidR="0062017A" w:rsidRDefault="0062017A"/>
    <w:p w14:paraId="682F86C7" w14:textId="77777777" w:rsidR="0062017A" w:rsidRDefault="0062017A" w:rsidP="0062017A">
      <w:pPr>
        <w:spacing w:after="0" w:line="480" w:lineRule="auto"/>
        <w:ind w:firstLineChars="200" w:firstLine="480"/>
        <w:rPr>
          <w:rFonts w:ascii="Times New Roman" w:hAnsi="Times New Roman" w:cs="Times New Roman"/>
          <w:sz w:val="24"/>
          <w:szCs w:val="24"/>
        </w:rPr>
      </w:pPr>
      <w:r w:rsidRPr="00EE6AEA">
        <w:rPr>
          <w:rFonts w:ascii="Times New Roman" w:hAnsi="Times New Roman" w:cs="Times New Roman"/>
          <w:b/>
          <w:bCs/>
          <w:sz w:val="24"/>
          <w:szCs w:val="24"/>
        </w:rPr>
        <w:t>Follow-up analysis.</w:t>
      </w:r>
      <w:r>
        <w:rPr>
          <w:rFonts w:ascii="Times New Roman" w:hAnsi="Times New Roman" w:cs="Times New Roman"/>
          <w:sz w:val="24"/>
          <w:szCs w:val="24"/>
        </w:rPr>
        <w:t xml:space="preserve"> In our follow-up analysis, we focused on the within-family effects of PGS</w:t>
      </w:r>
      <w:r w:rsidRPr="00AA2E38">
        <w:rPr>
          <w:rFonts w:ascii="Times New Roman" w:hAnsi="Times New Roman" w:cs="Times New Roman"/>
          <w:sz w:val="24"/>
          <w:szCs w:val="24"/>
          <w:vertAlign w:val="subscript"/>
        </w:rPr>
        <w:t>EXT</w:t>
      </w:r>
      <w:r>
        <w:rPr>
          <w:rFonts w:ascii="Times New Roman" w:hAnsi="Times New Roman" w:cs="Times New Roman"/>
          <w:sz w:val="24"/>
          <w:szCs w:val="24"/>
        </w:rPr>
        <w:t xml:space="preserve"> on parental relationships because these effects have more robust statistical evidence. Figure 3 shows the focal estimates from our follow-up models where the effects of adolescent EXT phenotypes were accounted for. After accounting for SUB and ASB at Wave 1 and childhood ADHD symptoms, higher PGS</w:t>
      </w:r>
      <w:r w:rsidRPr="00780E33">
        <w:rPr>
          <w:rFonts w:ascii="Times New Roman" w:hAnsi="Times New Roman" w:cs="Times New Roman"/>
          <w:sz w:val="24"/>
          <w:szCs w:val="24"/>
          <w:vertAlign w:val="subscript"/>
        </w:rPr>
        <w:t>EXT</w:t>
      </w:r>
      <w:r>
        <w:rPr>
          <w:rFonts w:ascii="Times New Roman" w:hAnsi="Times New Roman" w:cs="Times New Roman"/>
          <w:sz w:val="24"/>
          <w:szCs w:val="24"/>
        </w:rPr>
        <w:t xml:space="preserve"> is 93.8% likely associated with lower parent-report parental relationship (</w:t>
      </w:r>
      <w:r w:rsidRPr="00427B53">
        <w:rPr>
          <w:rFonts w:ascii="Times New Roman" w:hAnsi="Times New Roman" w:cs="Times New Roman"/>
          <w:sz w:val="24"/>
          <w:szCs w:val="24"/>
        </w:rPr>
        <w:t>β</w:t>
      </w:r>
      <w:r>
        <w:rPr>
          <w:rFonts w:ascii="Times New Roman" w:hAnsi="Times New Roman" w:cs="Times New Roman"/>
          <w:sz w:val="24"/>
          <w:szCs w:val="24"/>
        </w:rPr>
        <w:t xml:space="preserve"> = -.062, 95% CI = </w:t>
      </w:r>
      <w:r w:rsidRPr="00780E33">
        <w:rPr>
          <w:rFonts w:ascii="Times New Roman" w:hAnsi="Times New Roman" w:cs="Times New Roman"/>
          <w:sz w:val="24"/>
          <w:szCs w:val="24"/>
        </w:rPr>
        <w:t>-.140 ~ .017</w:t>
      </w:r>
      <w:r>
        <w:rPr>
          <w:rFonts w:ascii="Times New Roman" w:hAnsi="Times New Roman" w:cs="Times New Roman"/>
          <w:sz w:val="24"/>
          <w:szCs w:val="24"/>
        </w:rPr>
        <w:t>) and 89.0% likely associated with lower child-report parental relationship (</w:t>
      </w:r>
      <w:r w:rsidRPr="00427B53">
        <w:rPr>
          <w:rFonts w:ascii="Times New Roman" w:hAnsi="Times New Roman" w:cs="Times New Roman"/>
          <w:sz w:val="24"/>
          <w:szCs w:val="24"/>
        </w:rPr>
        <w:t>β</w:t>
      </w:r>
      <w:r>
        <w:rPr>
          <w:rFonts w:ascii="Times New Roman" w:hAnsi="Times New Roman" w:cs="Times New Roman"/>
          <w:sz w:val="24"/>
          <w:szCs w:val="24"/>
        </w:rPr>
        <w:t xml:space="preserve"> = -.056, 95% CI = </w:t>
      </w:r>
      <w:r w:rsidRPr="00F817DF">
        <w:rPr>
          <w:rFonts w:ascii="Times New Roman" w:hAnsi="Times New Roman" w:cs="Times New Roman"/>
          <w:sz w:val="24"/>
          <w:szCs w:val="24"/>
        </w:rPr>
        <w:t>-.146 ~ .034</w:t>
      </w:r>
      <w:r>
        <w:rPr>
          <w:rFonts w:ascii="Times New Roman" w:hAnsi="Times New Roman" w:cs="Times New Roman"/>
          <w:sz w:val="24"/>
          <w:szCs w:val="24"/>
        </w:rPr>
        <w:t>), and the within-family effect of PGS</w:t>
      </w:r>
      <w:r w:rsidRPr="00F817DF">
        <w:rPr>
          <w:rFonts w:ascii="Times New Roman" w:hAnsi="Times New Roman" w:cs="Times New Roman"/>
          <w:sz w:val="24"/>
          <w:szCs w:val="24"/>
          <w:vertAlign w:val="subscript"/>
        </w:rPr>
        <w:t>EXT</w:t>
      </w:r>
      <w:r>
        <w:rPr>
          <w:rFonts w:ascii="Times New Roman" w:hAnsi="Times New Roman" w:cs="Times New Roman"/>
          <w:sz w:val="24"/>
          <w:szCs w:val="24"/>
        </w:rPr>
        <w:t xml:space="preserve"> only attenuated by 32.8% and 39.6% for parent- and child-report parental relationship, respectively. In summary, while EXT variables may partially explain the effect of </w:t>
      </w:r>
      <w:r>
        <w:rPr>
          <w:rFonts w:ascii="Times New Roman" w:hAnsi="Times New Roman" w:cs="Times New Roman"/>
          <w:sz w:val="24"/>
          <w:szCs w:val="24"/>
        </w:rPr>
        <w:lastRenderedPageBreak/>
        <w:t>PGS</w:t>
      </w:r>
      <w:r w:rsidRPr="004E17A3">
        <w:rPr>
          <w:rFonts w:ascii="Times New Roman" w:hAnsi="Times New Roman" w:cs="Times New Roman"/>
          <w:sz w:val="24"/>
          <w:szCs w:val="24"/>
          <w:vertAlign w:val="subscript"/>
        </w:rPr>
        <w:t>EXT</w:t>
      </w:r>
      <w:r>
        <w:rPr>
          <w:rFonts w:ascii="Times New Roman" w:hAnsi="Times New Roman" w:cs="Times New Roman"/>
          <w:sz w:val="24"/>
          <w:szCs w:val="24"/>
        </w:rPr>
        <w:t xml:space="preserve"> on parental relationship within the family, other unmeasured variables likely also contributed to the rGE effect related to parental relationships.</w:t>
      </w:r>
    </w:p>
    <w:p w14:paraId="02527C01" w14:textId="77777777" w:rsidR="0062017A" w:rsidRDefault="0062017A" w:rsidP="0062017A">
      <w:pPr>
        <w:spacing w:after="0" w:line="480" w:lineRule="auto"/>
        <w:ind w:firstLineChars="200" w:firstLine="480"/>
        <w:rPr>
          <w:rFonts w:ascii="Times New Roman" w:hAnsi="Times New Roman" w:cs="Times New Roman"/>
          <w:sz w:val="24"/>
          <w:szCs w:val="24"/>
        </w:rPr>
      </w:pPr>
      <w:r w:rsidRPr="0092678B">
        <w:rPr>
          <w:rFonts w:ascii="Times New Roman" w:hAnsi="Times New Roman" w:cs="Times New Roman"/>
          <w:sz w:val="24"/>
          <w:szCs w:val="24"/>
        </w:rPr>
        <w:t xml:space="preserve">Finally, </w:t>
      </w:r>
      <w:r>
        <w:rPr>
          <w:rFonts w:ascii="Times New Roman" w:hAnsi="Times New Roman" w:cs="Times New Roman"/>
          <w:sz w:val="24"/>
          <w:szCs w:val="24"/>
        </w:rPr>
        <w:t>Figure 4 shows the focal estimates from our follow-up models where the within-family effects of PGS</w:t>
      </w:r>
      <w:r w:rsidRPr="00B916DA">
        <w:rPr>
          <w:rFonts w:ascii="Times New Roman" w:hAnsi="Times New Roman" w:cs="Times New Roman"/>
          <w:sz w:val="24"/>
          <w:szCs w:val="24"/>
          <w:vertAlign w:val="subscript"/>
        </w:rPr>
        <w:t xml:space="preserve">EXT </w:t>
      </w:r>
      <w:r>
        <w:rPr>
          <w:rFonts w:ascii="Times New Roman" w:hAnsi="Times New Roman" w:cs="Times New Roman"/>
          <w:sz w:val="24"/>
          <w:szCs w:val="24"/>
        </w:rPr>
        <w:t>on Wave 3 ASB were mediated by the social environments. The same model was not estimated for Wave 3 SUB because of its unexpected association with PGS</w:t>
      </w:r>
      <w:r w:rsidRPr="00B916DA">
        <w:rPr>
          <w:rFonts w:ascii="Times New Roman" w:hAnsi="Times New Roman" w:cs="Times New Roman"/>
          <w:sz w:val="24"/>
          <w:szCs w:val="24"/>
          <w:vertAlign w:val="subscript"/>
        </w:rPr>
        <w:t>EXT</w:t>
      </w:r>
      <w:r>
        <w:rPr>
          <w:rFonts w:ascii="Times New Roman" w:hAnsi="Times New Roman" w:cs="Times New Roman"/>
          <w:sz w:val="24"/>
          <w:szCs w:val="24"/>
        </w:rPr>
        <w:t xml:space="preserve"> in the opposite direction. In this mediation model,</w:t>
      </w:r>
      <w:r w:rsidRPr="0092678B">
        <w:rPr>
          <w:rFonts w:ascii="Times New Roman" w:hAnsi="Times New Roman" w:cs="Times New Roman"/>
          <w:sz w:val="24"/>
          <w:szCs w:val="24"/>
        </w:rPr>
        <w:t xml:space="preserve"> robust effect of PGS on young-adulthood ASB or SUB was </w:t>
      </w:r>
      <w:r>
        <w:rPr>
          <w:rFonts w:ascii="Times New Roman" w:hAnsi="Times New Roman" w:cs="Times New Roman"/>
          <w:sz w:val="24"/>
          <w:szCs w:val="24"/>
        </w:rPr>
        <w:t xml:space="preserve">not </w:t>
      </w:r>
      <w:r w:rsidRPr="0092678B">
        <w:rPr>
          <w:rFonts w:ascii="Times New Roman" w:hAnsi="Times New Roman" w:cs="Times New Roman"/>
          <w:sz w:val="24"/>
          <w:szCs w:val="24"/>
        </w:rPr>
        <w:t>observed, either as direct effect or indirect effect mediated by the social environments.</w:t>
      </w:r>
    </w:p>
    <w:p w14:paraId="7C29BC73" w14:textId="77777777" w:rsidR="0062017A" w:rsidRDefault="0062017A"/>
    <w:p w14:paraId="082D3075" w14:textId="77777777" w:rsidR="002A3F57" w:rsidRDefault="002A3F57"/>
    <w:p w14:paraId="009D45A6" w14:textId="77777777" w:rsidR="002A3F57" w:rsidRDefault="002A3F57" w:rsidP="002A3F57">
      <w:pPr>
        <w:spacing w:after="0" w:line="480" w:lineRule="auto"/>
        <w:ind w:firstLineChars="200" w:firstLine="480"/>
        <w:rPr>
          <w:rFonts w:ascii="Times New Roman" w:hAnsi="Times New Roman" w:cs="Times New Roman"/>
          <w:sz w:val="24"/>
          <w:szCs w:val="24"/>
        </w:rPr>
      </w:pPr>
      <w:r>
        <w:rPr>
          <w:rFonts w:ascii="Times New Roman" w:hAnsi="Times New Roman" w:cs="Times New Roman"/>
          <w:sz w:val="24"/>
          <w:szCs w:val="24"/>
        </w:rPr>
        <w:t xml:space="preserve">Howe and colleagues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{"citationID":"hWhRwThp","properties":{"formattedCitation":"(2022)","plainCitation":"(2022)","noteIndex":0},"citationItems":[{"id":59,"uris":["http://zotero.org/users/10101336/items/F9R7BM3P"],"itemData":{"id":59,"type":"article-journal","abstract":"Abstract\n            Estimates from genome-wide association studies (GWAS) of unrelated individuals capture effects of inherited variation (direct effects), demography (population stratification, assortative mating) and relatives (indirect genetic effects). Family-based GWAS designs can control for demographic and indirect genetic effects, but large-scale family datasets have been lacking. We combined data from 178,086 siblings from 19 cohorts to generate population (between-family) and within-sibship (within-family) GWAS estimates for 25 phenotypes. Within-sibship GWAS estimates were smaller than population estimates for height, educational attainment, age at first birth, number of children, cognitive ability, depressive symptoms and smoking. Some differences were observed in downstream SNP heritability, genetic correlations and Mendelian randomization analyses. For example, the within-sibship genetic correlation between educational attainment and body mass index attenuated towards zero. In contrast, analyses of most molecular phenotypes (for example, low-density lipoprotein-cholesterol) were generally consistent. We also found within-sibship evidence of polygenic adaptation on taller height. Here, we illustrate the importance of family-based GWAS data for phenotypes influenced by demographic and indirect genetic effects.","container-title":"Nature Genetics","DOI":"10.1038/s41588-022-01062-7","ISSN":"1061-4036, 1546-1718","issue":"5","journalAbbreviation":"Nat Genet","language":"en","page":"581-592","source":"DOI.org (Crossref)","title":"Within-sibship genome-wide association analyses decrease bias in estimates of direct genetic effects","volume":"54","author":[{"family":"Howe","given":"Laurence J."},{"family":"Nivard","given":"Michel G."},{"family":"Morris","given":"Tim T."},{"family":"Hansen","given":"Ailin F."},{"family":"Rasheed","given":"Humaira"},{"family":"Cho","given":"Yoonsu"},{"family":"Chittoor","given":"Geetha"},{"family":"Ahlskog","given":"Rafael"},{"family":"Lind","given":"Penelope A."},{"family":"Palviainen","given":"Teemu"},{"family":"Zee","given":"Matthijs D.","non-dropping-particle":"van der"},{"family":"Cheesman","given":"Rosa"},{"family":"Mangino","given":"Massimo"},{"family":"Wang","given":"Yunzhang"},{"family":"Li","given":"Shuai"},{"family":"Klaric","given":"Lucija"},{"family":"Ratliff","given":"Scott M."},{"family":"Bielak","given":"Lawrence F."},{"family":"Nygaard","given":"Marianne"},{"family":"Giannelis","given":"Alexandros"},{"family":"Willoughby","given":"Emily A."},{"family":"Reynolds","given":"Chandra A."},{"family":"Balbona","given":"Jared V."},{"family":"Andreassen","given":"Ole A."},{"family":"Ask","given":"Helga"},{"family":"Baras","given":"Aris"},{"family":"Bauer","given":"Christopher R."},{"family":"Boomsma","given":"Dorret I."},{"family":"Campbell","given":"Archie"},{"family":"Campbell","given":"Harry"},{"family":"Chen","given":"Zhengming"},{"family":"Christofidou","given":"Paraskevi"},{"family":"Corfield","given":"Elizabeth"},{"family":"Dahm","given":"Christina C."},{"family":"Dokuru","given":"Deepika R."},{"family":"Evans","given":"Luke M."},{"family":"Geus","given":"Eco J. C.","non-dropping-particle":"de"},{"family":"Giddaluru","given":"Sudheer"},{"family":"Gordon","given":"Scott D."},{"family":"Harden","given":"K. Paige"},{"family":"Hill","given":"W. David"},{"family":"Hughes","given":"Amanda"},{"family":"Kerr","given":"Shona M."},{"family":"Kim","given":"Yongkang"},{"family":"Kweon","given":"Hyeokmoon"},{"family":"Latvala","given":"Antti"},{"family":"Lawlor","given":"Deborah A."},{"family":"Li","given":"Liming"},{"family":"Lin","given":"Kuang"},{"family":"Magnus","given":"Per"},{"family":"Magnusson","given":"Patrik K. E."},{"family":"Mallard","given":"Travis T."},{"family":"Martikainen","given":"Pekka"},{"family":"Mills","given":"Melinda C."},{"family":"Njølstad","given":"Pål Rasmus"},{"family":"Overton","given":"John D."},{"family":"Pedersen","given":"Nancy L."},{"family":"Porteous","given":"David J."},{"family":"Reid","given":"Jeffrey"},{"family":"Silventoinen","given":"Karri"},{"family":"Southey","given":"Melissa C."},{"family":"Stoltenberg","given":"Camilla"},{"family":"Tucker-Drob","given":"Elliot M."},{"family":"Wright","given":"Margaret J."},{"literal":"Social Science Genetic Association Consortium"},{"family":"Kweon","given":"Hyeokmoon"},{"family":"Koellinger","given":"Philipp D."},{"family":"Benjamin","given":"Daniel J."},{"family":"Turley","given":"Patrick"},{"literal":"Within Family Consortium"},{"family":"Howe","given":"Laurence J."},{"family":"Nivard","given":"Michel G."},{"family":"Morris","given":"Tim T."},{"family":"Hansen","given":"Ailin F."},{"family":"Rasheed","given":"Humaira"},{"family":"Cho","given":"Yoonsu"},{"family":"Chittoor","given":"Geetha"},{"family":"Ahlskog","given":"Rafael"},{"family":"Lind","given":"Penelope A."},{"family":"Palviainen","given":"Teemu"},{"family":"Zee","given":"Matthijs D.","non-dropping-particle":"van der"},{"family":"Cheesman","given":"Rosa"},{"family":"Mangino","given":"Massimo"},{"family":"Wang","given":"Yunzhang"},{"family":"Li","given":"Shuai"},{"family":"Klaric","given":"Lucija"},{"family":"Ratliff","given":"Scott M."},{"family":"Bielak","given":"Lawrence F."},{"family":"Nygaard","given":"Marianne"},{"family":"Giannelis","given":"Alexandros"},{"family":"Willoughby","given":"Emily A."},{"family":"Reynolds","given":"Chandra A."},{"family":"Balbona","given":"Jared V."},{"family":"Andreassen","given":"Ole A."},{"family":"Ask","given":"Helga"},{"family":"Boomsma","given":"Dorret I."},{"family":"Campbell","given":"Archie"},{"family":"Campbell","given":"Harry"},{"family":"Chen","given":"Zhengming"},{"family":"Christofidou","given":"Paraskevi"},{"family":"Corfield","given":"Elizabeth"},{"family":"Dahm","given":"Christina C."},{"family":"Dokuru","given":"Deepika R."},{"family":"Evans","given":"Luke M."},{"family":"Geus","given":"Eco J. C.","non-dropping-particle":"de"},{"family":"Giddaluru","given":"Sudheer"},{"family":"Gordon","given":"Scott D."},{"family":"Harden","given":"K. Paige"},{"family":"Hill","given":"W. David"},{"family":"Hughes","given":"Amanda"},{"family":"Kerr","given":"Shona M."},{"family":"Kim","given":"Yongkang"},{"family":"Latvala","given":"Antti"},{"family":"Lawlor","given":"Deborah A."},{"family":"Li","given":"Liming"},{"family":"Lin","given":"Kuang"},{"family":"Magnus","given":"Per"},{"family":"Magnusson","given":"Patrik K. E."},{"family":"Mallard","given":"Travis T."},{"family":"Martikainen","given":"Pekka"},{"family":"Mills","given":"Melinda C."},{"family":"Njølstad","given":"Pål Rasmus"},{"family":"Pedersen","given":"Nancy L."},{"family":"Porteous","given":"David J."},{"family":"Silventoinen","given":"Karri"},{"family":"Southey","given":"Melissa C."},{"family":"Stoltenberg","given":"Camilla"},{"family":"Tucker-Drob","given":"Elliot M."},{"family":"Wright","given":"Margaret J."},{"family":"Hewitt","given":"John K."},{"family":"Keller","given":"Matthew C."},{"family":"Stallings","given":"Michael C."},{"family":"Lee","given":"James J."},{"family":"Christensen","given":"Kaare"},{"family":"Kardia","given":"Sharon L. R."},{"family":"Peyser","given":"Patricia A."},{"family":"Smith","given":"Jennifer A."},{"family":"Wilson","given":"James F."},{"family":"Hopper","given":"John L."},{"family":"Hägg","given":"Sara"},{"family":"Spector","given":"Tim D."},{"family":"Pingault","given":"Jean-Baptiste"},{"family":"Plomin","given":"Robert"},{"family":"Havdahl","given":"Alexandra"},{"family":"Bartels","given":"Meike"},{"family":"Martin","given":"Nicholas G."},{"family":"Oskarsson","given":"Sven"},{"family":"Justice","given":"Anne E."},{"family":"Millwood","given":"Iona Y."},{"family":"Hveem","given":"Kristian"},{"family":"Naess","given":"Øyvind"},{"family":"Willer","given":"Cristen J."},{"family":"Åsvold","given":"Bjørn Olav"},{"family":"Kaprio","given":"Jaakko"},{"family":"Medland","given":"Sarah E."},{"family":"Walters","given":"Robin G."},{"family":"Evans","given":"David M."},{"family":"Smith","given":"George Davey"},{"family":"Hayward","given":"Caroline"},{"family":"Brumpton","given":"Ben"},{"family":"Hemani","given":"Gibran"},{"family":"Davies","given":"Neil M."},{"family":"Hewitt","given":"John K."},{"family":"Keller","given":"Matthew C."},{"family":"Stallings","given":"Michael C."},{"family":"Lee","given":"James J."},{"family":"Christensen","given":"Kaare"},{"family":"Kardia","given":"Sharon L. R."},{"family":"Peyser","given":"Patricia A."},{"family":"Smith","given":"Jennifer A."},{"family":"Wilson","given":"James F."},{"family":"Hopper","given":"John L."},{"family":"Hägg","given":"Sara"},{"family":"Spector","given":"Tim D."},{"family":"Pingault","given":"Jean-Baptiste"},{"family":"Plomin","given":"Robert"},{"family":"Havdahl","given":"Alexandra"},{"family":"Bartels","given":"Meike"},{"family":"Martin","given":"Nicholas G."},{"family":"Oskarsson","given":"Sven"},{"family":"Justice","given":"Anne E."},{"family":"Millwood","given":"Iona Y."},{"family":"Hveem","given":"Kristian"},{"family":"Naess","given":"Øyvind"},{"family":"Willer","given":"Cristen J."},{"family":"Åsvold","given":"Bjørn Olav"},{"family":"Koellinger","given":"Philipp D."},{"family":"Kaprio","given":"Jaakko"},{"family":"Medland","given":"Sarah E."},{"family":"Walters","given":"Robin G."},{"family":"Benjamin","given":"Daniel J."},{"family":"Turley","given":"Patrick"},{"family":"Evans","given":"David M."},{"family":"Davey Smith","given":"George"},{"family":"Hayward","given":"Caroline"},{"family":"Brumpton","given":"Ben"},{"family":"Hemani","given":"Gibran"},{"family":"Davies","given":"Neil M."}],"issued":{"date-parts":[["2022",5]]}},"label":"page","suppress-author":true}],"schema":"https://github.com/citation-style-language/schema/raw/master/csl-citation.json"} </w:instrText>
      </w:r>
      <w:r>
        <w:rPr>
          <w:rFonts w:ascii="Times New Roman" w:hAnsi="Times New Roman" w:cs="Times New Roman"/>
          <w:sz w:val="24"/>
          <w:szCs w:val="24"/>
        </w:rPr>
        <w:fldChar w:fldCharType="separate"/>
      </w:r>
      <w:r w:rsidRPr="00E34910">
        <w:rPr>
          <w:rFonts w:ascii="Times New Roman" w:hAnsi="Times New Roman" w:cs="Times New Roman"/>
          <w:sz w:val="24"/>
        </w:rPr>
        <w:t>(2022)</w:t>
      </w:r>
      <w:r>
        <w:rPr>
          <w:rFonts w:ascii="Times New Roman" w:hAnsi="Times New Roman" w:cs="Times New Roman"/>
          <w:sz w:val="24"/>
          <w:szCs w:val="24"/>
        </w:rPr>
        <w:fldChar w:fldCharType="end"/>
      </w:r>
      <w:r>
        <w:rPr>
          <w:rFonts w:ascii="Times New Roman" w:hAnsi="Times New Roman" w:cs="Times New Roman"/>
          <w:sz w:val="24"/>
          <w:szCs w:val="24"/>
        </w:rPr>
        <w:t xml:space="preserve"> conducted a within-sibship GWASs, but polygenic scores based on their GWASs typically suffers from substantial measurement error due to small discovery sample sizes. The most widely used approach is one where the environments are regressed on both child PGS and parental PGS. For example, Kretschmer and colleagues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{"citationID":"oKqId6xw","properties":{"formattedCitation":"(2022)","plainCitation":"(2022)","noteIndex":0},"citationItems":[{"id":386,"uris":["http://zotero.org/users/10101336/items/7TRSIGWZ"],"itemData":{"id":386,"type":"article-journal","abstract":"Background\n              Genetic and environmental influences on externalizing problems are often studied separately. Here, we extended prior work by investigating the implications of gene–environment interplay in childhood for early adult externalizing behavior. Genetic nurture would be indicated if parents' genetic predisposition for externalizing behavior operates through the family environment in predicting offspring early adult externalizing behavior. Evocative gene–environment correlation would be indicated if offspring genetic predisposition for externalizing behavior operates through child externalizing behavior in affecting the family environment and later early adult externalizing behavior.\n            \n            \n              Method\n              \n                Longitudinal data from seven waves of the TRacking Adolescents' Individual Lives Survey, a prospective cohort study of Dutch adolescents followed from age 11 to age 29 (\n                n\n                at baseline = 2,734) were used. Child externalizing behavior was assessed using self and parent reports. Family dysfunction was assessed by parents. Early adult externalizing behavior was assessed using self</w:instrText>
      </w:r>
      <w:r>
        <w:rPr>
          <w:rFonts w:ascii="Times New Roman" w:hAnsi="Times New Roman" w:cs="Times New Roman" w:hint="eastAsia"/>
          <w:sz w:val="24"/>
          <w:szCs w:val="24"/>
        </w:rPr>
        <w:instrText>‐</w:instrText>
      </w:r>
      <w:r>
        <w:rPr>
          <w:rFonts w:ascii="Times New Roman" w:hAnsi="Times New Roman" w:cs="Times New Roman"/>
          <w:sz w:val="24"/>
          <w:szCs w:val="24"/>
        </w:rPr>
        <w:instrText>reports. Genome</w:instrText>
      </w:r>
      <w:r>
        <w:rPr>
          <w:rFonts w:ascii="Times New Roman" w:hAnsi="Times New Roman" w:cs="Times New Roman" w:hint="eastAsia"/>
          <w:sz w:val="24"/>
          <w:szCs w:val="24"/>
        </w:rPr>
        <w:instrText>‐</w:instrText>
      </w:r>
      <w:r>
        <w:rPr>
          <w:rFonts w:ascii="Times New Roman" w:hAnsi="Times New Roman" w:cs="Times New Roman"/>
          <w:sz w:val="24"/>
          <w:szCs w:val="24"/>
        </w:rPr>
        <w:instrText xml:space="preserve">wide polygenic scores for externalizing problems were constructed for mothers, fathers, and offspring.\n              \n            \n            \n              Results\n              Offspring polygenic score and child behavior each predicted early adult externalizing problems, as did family dysfunction to a small extent. Parents' polygenic scores were not associated with offspring's early adult externalizing behavior. Indirect effect tests indicated that offspring polygenic score was associated with greater family dysfunction via child externalizing behavior (evocative gene–environment correlation) but the effect was just significant and the effect size was very small. Parents' polygenic scores did not predict family dysfunction, thus the data do not provide support for genetic nurture.\n            \n            \n              Conclusions\n              A very small evocative gene–environment correlation was detected but effect sizes were much more pronounced for stability in externalizing behavior from childhood through early adulthood, which highlights the necessity to intervene early to prevent later problems.","container-title":"Journal of Child Psychology and Psychiatry","DOI":"10.1111/jcpp.13652","ISSN":"0021-9630, 1469-7610","issue":"10","journalAbbreviation":"Child Psychology Psychiatry","language":"en","page":"1206-1213","source":"DOI.org (Crossref)","title":"Gene–environment interplay in externalizing behavior from childhood through adulthood","volume":"63","author":[{"family":"Kretschmer","given":"Tina"},{"family":"Vrijen","given":"Charlotte"},{"family":"Nolte","given":"Ilja Maria"},{"family":"Wertz","given":"Jasmin"},{"family":"Hartman","given":"Catharina Annette"}],"issued":{"date-parts":[["2022",10]]}},"label":"page","suppress-author":true}],"schema":"https://github.com/citation-style-language/schema/raw/master/csl-citation.json"} </w:instrText>
      </w:r>
      <w:r>
        <w:rPr>
          <w:rFonts w:ascii="Times New Roman" w:hAnsi="Times New Roman" w:cs="Times New Roman"/>
          <w:sz w:val="24"/>
          <w:szCs w:val="24"/>
        </w:rPr>
        <w:fldChar w:fldCharType="separate"/>
      </w:r>
      <w:r w:rsidRPr="00A64B62">
        <w:rPr>
          <w:rFonts w:ascii="Times New Roman" w:hAnsi="Times New Roman" w:cs="Times New Roman"/>
          <w:sz w:val="24"/>
        </w:rPr>
        <w:t>(2022)</w:t>
      </w:r>
      <w:r>
        <w:rPr>
          <w:rFonts w:ascii="Times New Roman" w:hAnsi="Times New Roman" w:cs="Times New Roman"/>
          <w:sz w:val="24"/>
          <w:szCs w:val="24"/>
        </w:rPr>
        <w:fldChar w:fldCharType="end"/>
      </w:r>
      <w:r w:rsidRPr="000B4543">
        <w:rPr>
          <w:rFonts w:ascii="Times New Roman" w:hAnsi="Times New Roman" w:cs="Times New Roman"/>
          <w:sz w:val="24"/>
          <w:szCs w:val="24"/>
        </w:rPr>
        <w:t xml:space="preserve"> </w:t>
      </w:r>
      <w:r>
        <w:rPr>
          <w:rFonts w:ascii="Times New Roman" w:hAnsi="Times New Roman" w:cs="Times New Roman"/>
          <w:sz w:val="24"/>
          <w:szCs w:val="24"/>
        </w:rPr>
        <w:t>leveraged a Dutch longitudinal sample of adolescents (</w:t>
      </w:r>
      <w:r w:rsidRPr="0023407E">
        <w:rPr>
          <w:rFonts w:ascii="Times New Roman" w:hAnsi="Times New Roman" w:cs="Times New Roman"/>
          <w:i/>
          <w:iCs/>
          <w:sz w:val="24"/>
          <w:szCs w:val="24"/>
        </w:rPr>
        <w:t>N</w:t>
      </w:r>
      <w:r>
        <w:rPr>
          <w:rFonts w:ascii="Times New Roman" w:hAnsi="Times New Roman" w:cs="Times New Roman"/>
          <w:sz w:val="24"/>
          <w:szCs w:val="24"/>
        </w:rPr>
        <w:t xml:space="preserve"> = 2,734; </w:t>
      </w:r>
      <w:r w:rsidRPr="009F097A">
        <w:rPr>
          <w:rFonts w:ascii="Times New Roman" w:hAnsi="Times New Roman" w:cs="Times New Roman"/>
          <w:sz w:val="24"/>
          <w:szCs w:val="24"/>
        </w:rPr>
        <w:t>TRacking Adolescents’ Individual Lives</w:t>
      </w:r>
      <w:r>
        <w:rPr>
          <w:rFonts w:ascii="Times New Roman" w:hAnsi="Times New Roman" w:cs="Times New Roman"/>
          <w:sz w:val="24"/>
          <w:szCs w:val="24"/>
        </w:rPr>
        <w:t xml:space="preserve"> </w:t>
      </w:r>
      <w:r w:rsidRPr="009F097A">
        <w:rPr>
          <w:rFonts w:ascii="Times New Roman" w:hAnsi="Times New Roman" w:cs="Times New Roman"/>
          <w:sz w:val="24"/>
          <w:szCs w:val="24"/>
        </w:rPr>
        <w:t>Survey</w:t>
      </w:r>
      <w:r>
        <w:rPr>
          <w:rFonts w:ascii="Times New Roman" w:hAnsi="Times New Roman" w:cs="Times New Roman"/>
          <w:sz w:val="24"/>
          <w:szCs w:val="24"/>
        </w:rPr>
        <w:t xml:space="preserve">) to investigate mechanisms of rGE for EXT related to </w:t>
      </w:r>
      <w:r w:rsidRPr="007536B7">
        <w:rPr>
          <w:rFonts w:ascii="Times New Roman" w:hAnsi="Times New Roman" w:cs="Times New Roman"/>
          <w:sz w:val="24"/>
          <w:szCs w:val="24"/>
        </w:rPr>
        <w:t>family dysfunction</w:t>
      </w:r>
      <w:r>
        <w:rPr>
          <w:rFonts w:ascii="Times New Roman" w:hAnsi="Times New Roman" w:cs="Times New Roman"/>
          <w:sz w:val="24"/>
          <w:szCs w:val="24"/>
        </w:rPr>
        <w:t xml:space="preserve"> by controlling for parental PGS for EXT. Similarly, Kuo and colleagues elicited parental and adolescent PGS in the </w:t>
      </w:r>
      <w:r w:rsidRPr="003C1622">
        <w:rPr>
          <w:rFonts w:ascii="Times New Roman" w:hAnsi="Times New Roman" w:cs="Times New Roman"/>
          <w:sz w:val="24"/>
          <w:szCs w:val="24"/>
        </w:rPr>
        <w:t>Collaborative Study on the Genetics of Alcoholism (COGA) sample</w:t>
      </w:r>
      <w:r>
        <w:rPr>
          <w:rFonts w:ascii="Times New Roman" w:hAnsi="Times New Roman" w:cs="Times New Roman"/>
          <w:sz w:val="24"/>
          <w:szCs w:val="24"/>
        </w:rPr>
        <w:t xml:space="preserve"> to examine rGE mechanisms for EXT behaviors in various aspects of parent-child relationships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{"citationID":"Bar4G7We","properties":{"formattedCitation":"(2022)","plainCitation":"(2022)","noteIndex":0},"citationItems":[{"id":1204,"uris":["http://zotero.org/users/10101336/items/AVIQE89S"],"itemData":{"id":1204,"type":"article-journal","abstract":"The purpose of this study was to examine possible pathways by which genetic risk associated with externalizing is transmitted in families. We used molecular data to disentangle the genetic and environmental pathways contributing to adolescent externalizing behavior in a sample of 1,111 adolescents (50% female; 719 European and 392 African ancestry) and their parents from the Collaborative Study on the Genetics of Alcoholism. We found evidence for genetic nurture such that parental externalizing polygenic scores were associated with adolescent externalizing behavior, over and above the effect of adolescents’ own externalizing polygenic scores. Mediation analysis indicated that parental externalizing psychopathology partly explained the effect of parental genotype on children’s externalizing behavior. We also found evidence for evocative gene-environment correlation, whereby adolescent externalizing polygenic scores were associated with lower parent–child communication, less parent–child closeness, and lower parental knowledge, controlling for parental genotype. These effects were observed among participants of European ancestry but not African ancestry, likely due to the limited predictive power of polygenic scores across ancestral background. These results demonstrate that in addition to genetic transmission, genes influence offspring behavior through the influence of parental genotypes on their children’s environmental experiences, and the role of children’s genotypes in shaping parent–child relationships.","container-title":"Development and Psychopathology","DOI":"10.1017/S0954579422000700","ISSN":"0954-5794, 1469-2198","issue":"5","language":"en","page":"1865-1875","source":"Cambridge University Press","title":"The role of parental genotype in the intergenerational transmission of externalizing behavior: Evidence for genetic nurturance","title-short":"The role of parental genotype in the intergenerational transmission of externalizing behavior","volume":"34","author":[{"family":"Kuo","given":"Sally I.-Chun"},{"family":"Poore","given":"Holly E."},{"family":"Barr","given":"Peter B."},{"family":"Chirico","given":"Isabella S."},{"family":"Aliev","given":"Fazil"},{"family":"Bucholz","given":"Kathleen K."},{"family":"Chan","given":"Grace"},{"family":"Kamarajan","given":"Chella"},{"family":"Kramer","given":"John R."},{"family":"McCutcheon","given":"Vivia V."},{"family":"Plawecki","given":"Martin H."},{"family":"Dick","given":"Danielle M."}],"issued":{"date-parts":[["2022",12]]}},"label":"page","suppress-author":true}],"schema":"https://github.com/citation-style-language/schema/raw/master/csl-citation.json"} </w:instrText>
      </w:r>
      <w:r>
        <w:rPr>
          <w:rFonts w:ascii="Times New Roman" w:hAnsi="Times New Roman" w:cs="Times New Roman"/>
          <w:sz w:val="24"/>
          <w:szCs w:val="24"/>
        </w:rPr>
        <w:fldChar w:fldCharType="separate"/>
      </w:r>
      <w:r w:rsidRPr="0025526C">
        <w:rPr>
          <w:rFonts w:ascii="Times New Roman" w:hAnsi="Times New Roman" w:cs="Times New Roman"/>
          <w:sz w:val="24"/>
        </w:rPr>
        <w:t>(2022)</w:t>
      </w:r>
      <w:r>
        <w:rPr>
          <w:rFonts w:ascii="Times New Roman" w:hAnsi="Times New Roman" w:cs="Times New Roman"/>
          <w:sz w:val="24"/>
          <w:szCs w:val="24"/>
        </w:rPr>
        <w:fldChar w:fldCharType="end"/>
      </w:r>
      <w:r>
        <w:rPr>
          <w:rFonts w:ascii="Times New Roman" w:hAnsi="Times New Roman" w:cs="Times New Roman"/>
          <w:sz w:val="24"/>
          <w:szCs w:val="24"/>
        </w:rPr>
        <w:t>. However, samples with parental genotypes are rare, and the interpretation of the conditional effects of child and parental PGSs remains unclear due to the nature of PGS as a composite score combining true genetic and confounding signals.</w:t>
      </w:r>
      <w:r w:rsidRPr="00A06F04">
        <w:rPr>
          <w:rFonts w:ascii="Times New Roman" w:hAnsi="Times New Roman" w:cs="Times New Roman"/>
          <w:sz w:val="24"/>
          <w:szCs w:val="24"/>
        </w:rPr>
        <w:t xml:space="preserve"> </w:t>
      </w:r>
      <w:r>
        <w:rPr>
          <w:rFonts w:ascii="Times New Roman" w:hAnsi="Times New Roman" w:cs="Times New Roman"/>
          <w:sz w:val="24"/>
          <w:szCs w:val="24"/>
        </w:rPr>
        <w:t xml:space="preserve">Notably, no single methodological approach allows for substantive conclusion, and findings for the above studies </w:t>
      </w:r>
      <w:r>
        <w:rPr>
          <w:rFonts w:ascii="Times New Roman" w:hAnsi="Times New Roman" w:cs="Times New Roman"/>
          <w:sz w:val="24"/>
          <w:szCs w:val="24"/>
        </w:rPr>
        <w:lastRenderedPageBreak/>
        <w:t>utilizing parent-offspring PGS are best joined with converging evidence from studies that have triangulating methodologies.</w:t>
      </w:r>
    </w:p>
    <w:p w14:paraId="0C24F37A" w14:textId="77777777" w:rsidR="002A3F57" w:rsidRDefault="002A3F57"/>
    <w:sectPr w:rsidR="002A3F5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E90"/>
    <w:rsid w:val="002A3F57"/>
    <w:rsid w:val="004F4507"/>
    <w:rsid w:val="005F30B2"/>
    <w:rsid w:val="0062017A"/>
    <w:rsid w:val="006B5865"/>
    <w:rsid w:val="0071694F"/>
    <w:rsid w:val="0086619A"/>
    <w:rsid w:val="00A0071E"/>
    <w:rsid w:val="00A92A0D"/>
    <w:rsid w:val="00B246D6"/>
    <w:rsid w:val="00D14585"/>
    <w:rsid w:val="00D3611D"/>
    <w:rsid w:val="00E5793B"/>
    <w:rsid w:val="00F72EE2"/>
    <w:rsid w:val="00FB6E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E2A2A"/>
  <w15:chartTrackingRefBased/>
  <w15:docId w15:val="{08E292E0-5E23-4A21-9569-99922EC57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2EE2"/>
    <w:pPr>
      <w:spacing w:line="259" w:lineRule="auto"/>
    </w:pPr>
    <w:rPr>
      <w:kern w:val="0"/>
      <w:sz w:val="22"/>
      <w:szCs w:val="22"/>
      <w14:ligatures w14:val="none"/>
    </w:rPr>
  </w:style>
  <w:style w:type="paragraph" w:styleId="Heading1">
    <w:name w:val="heading 1"/>
    <w:basedOn w:val="Normal"/>
    <w:next w:val="Normal"/>
    <w:link w:val="Heading1Char"/>
    <w:uiPriority w:val="9"/>
    <w:qFormat/>
    <w:rsid w:val="00FB6E9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B6E9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B6E90"/>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B6E90"/>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FB6E90"/>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FB6E90"/>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FB6E90"/>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FB6E90"/>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FB6E90"/>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E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6E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6E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6E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6E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6E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E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E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E90"/>
    <w:rPr>
      <w:rFonts w:eastAsiaTheme="majorEastAsia" w:cstheme="majorBidi"/>
      <w:color w:val="272727" w:themeColor="text1" w:themeTint="D8"/>
    </w:rPr>
  </w:style>
  <w:style w:type="paragraph" w:styleId="Title">
    <w:name w:val="Title"/>
    <w:basedOn w:val="Normal"/>
    <w:next w:val="Normal"/>
    <w:link w:val="TitleChar"/>
    <w:uiPriority w:val="10"/>
    <w:qFormat/>
    <w:rsid w:val="00FB6E90"/>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B6E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E90"/>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B6E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E90"/>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B6E90"/>
    <w:rPr>
      <w:i/>
      <w:iCs/>
      <w:color w:val="404040" w:themeColor="text1" w:themeTint="BF"/>
    </w:rPr>
  </w:style>
  <w:style w:type="paragraph" w:styleId="ListParagraph">
    <w:name w:val="List Paragraph"/>
    <w:basedOn w:val="Normal"/>
    <w:uiPriority w:val="34"/>
    <w:qFormat/>
    <w:rsid w:val="00FB6E90"/>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FB6E90"/>
    <w:rPr>
      <w:i/>
      <w:iCs/>
      <w:color w:val="0F4761" w:themeColor="accent1" w:themeShade="BF"/>
    </w:rPr>
  </w:style>
  <w:style w:type="paragraph" w:styleId="IntenseQuote">
    <w:name w:val="Intense Quote"/>
    <w:basedOn w:val="Normal"/>
    <w:next w:val="Normal"/>
    <w:link w:val="IntenseQuoteChar"/>
    <w:uiPriority w:val="30"/>
    <w:qFormat/>
    <w:rsid w:val="00FB6E90"/>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FB6E90"/>
    <w:rPr>
      <w:i/>
      <w:iCs/>
      <w:color w:val="0F4761" w:themeColor="accent1" w:themeShade="BF"/>
    </w:rPr>
  </w:style>
  <w:style w:type="character" w:styleId="IntenseReference">
    <w:name w:val="Intense Reference"/>
    <w:basedOn w:val="DefaultParagraphFont"/>
    <w:uiPriority w:val="32"/>
    <w:qFormat/>
    <w:rsid w:val="00FB6E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6520</Words>
  <Characters>34887</Characters>
  <Application>Microsoft Office Word</Application>
  <DocSecurity>0</DocSecurity>
  <Lines>1744</Lines>
  <Paragraphs>1478</Paragraphs>
  <ScaleCrop>false</ScaleCrop>
  <Company/>
  <LinksUpToDate>false</LinksUpToDate>
  <CharactersWithSpaces>39929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lichen dong</dc:creator>
  <cp:keywords/>
  <dc:description/>
  <cp:lastModifiedBy>lichen dong</cp:lastModifiedBy>
  <cp:revision>7</cp:revision>
  <dcterms:created xsi:type="dcterms:W3CDTF">2025-04-24T16:17:00Z</dcterms:created>
  <dcterms:modified xsi:type="dcterms:W3CDTF">2025-09-12T16:12:00Z</dcterms:modified>
</cp:coreProperties>
</file>