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79002" w14:textId="60C0BD8E" w:rsidR="00416591" w:rsidRDefault="00DB445F">
      <w:pPr>
        <w:spacing w:after="200"/>
      </w:pPr>
      <w:r>
        <w:rPr>
          <w:b/>
          <w:bCs/>
        </w:rPr>
        <w:t xml:space="preserve">Response Letter for </w:t>
      </w:r>
      <w:r w:rsidR="00E01C56" w:rsidRPr="00E01C56">
        <w:rPr>
          <w:b/>
          <w:bCs/>
        </w:rPr>
        <w:t>PSM-D-26-00925</w:t>
      </w:r>
      <w:r>
        <w:rPr>
          <w:b/>
          <w:bCs/>
        </w:rPr>
        <w:t>: "Re-Examining Polygenic Risks and Psychosocial Environments: Are Gene-Environment Correlations Really That Pervasive?"</w:t>
      </w:r>
    </w:p>
    <w:p w14:paraId="4F7603CF" w14:textId="36FCCBC4" w:rsidR="00416591" w:rsidRDefault="00DB445F" w:rsidP="001D191D">
      <w:pPr>
        <w:spacing w:after="200"/>
      </w:pPr>
      <w:r>
        <w:t xml:space="preserve">Reviewer comments are in </w:t>
      </w:r>
      <w:r>
        <w:rPr>
          <w:b/>
          <w:bCs/>
        </w:rPr>
        <w:t>bold</w:t>
      </w:r>
      <w:r>
        <w:t xml:space="preserve"> and authors' responses are in regular typeface. </w:t>
      </w:r>
    </w:p>
    <w:p w14:paraId="7D7CF523" w14:textId="77777777" w:rsidR="00416591" w:rsidRDefault="00DB445F">
      <w:pPr>
        <w:spacing w:before="300" w:after="200"/>
      </w:pPr>
      <w:r>
        <w:rPr>
          <w:b/>
          <w:bCs/>
          <w:sz w:val="26"/>
          <w:szCs w:val="26"/>
        </w:rPr>
        <w:t>Reviewer 1</w:t>
      </w:r>
    </w:p>
    <w:p w14:paraId="3DD530DB" w14:textId="28292DEA" w:rsidR="00416591" w:rsidRPr="00B11FC6" w:rsidRDefault="008271AC" w:rsidP="00B11FC6">
      <w:pPr>
        <w:pStyle w:val="ListParagraph"/>
        <w:numPr>
          <w:ilvl w:val="0"/>
          <w:numId w:val="2"/>
        </w:numPr>
        <w:spacing w:after="200"/>
        <w:rPr>
          <w:b/>
          <w:bCs/>
        </w:rPr>
      </w:pPr>
      <w:r w:rsidRPr="00B11FC6">
        <w:rPr>
          <w:b/>
          <w:bCs/>
        </w:rPr>
        <w:t>The manuscript at times suggests that within-family models can distinguish "causal" from "confounded" rGE, isolate active or evocative rGE, or fully remove confounding attributable to parental genotype and assortative mating. I encourage the authors to consider tempering these claims, as the current design does not appear to support these stronger inferences.</w:t>
      </w:r>
      <w:r w:rsidR="00B11FC6">
        <w:rPr>
          <w:b/>
          <w:bCs/>
        </w:rPr>
        <w:br/>
      </w:r>
      <w:r w:rsidR="00B11FC6">
        <w:rPr>
          <w:b/>
          <w:bCs/>
        </w:rPr>
        <w:br/>
      </w:r>
      <w:r w:rsidRPr="00B11FC6">
        <w:rPr>
          <w:b/>
          <w:bCs/>
        </w:rPr>
        <w:t>Within-family comparisons can reduce bias from factors shared by siblings, including broad population structure, shared family-level environmental exposures, and aspects of parental genotype that are common across offspring. This is an important, clear strength of the design. However, a within-family association between the PGS and a psychosocial measure does not, by itself, establish a causal effect of the focal adolescent's genetic liability on that experience, nor does it specifically identify active or evocative rGE</w:t>
      </w:r>
      <w:r w:rsidR="00B11FC6" w:rsidRPr="00B11FC6">
        <w:rPr>
          <w:b/>
          <w:bCs/>
        </w:rPr>
        <w:t>.</w:t>
      </w:r>
      <w:r w:rsidR="00B11FC6">
        <w:rPr>
          <w:b/>
          <w:bCs/>
        </w:rPr>
        <w:br/>
      </w:r>
      <w:r w:rsidR="00B11FC6">
        <w:rPr>
          <w:b/>
          <w:bCs/>
        </w:rPr>
        <w:br/>
      </w:r>
      <w:r w:rsidRPr="00B11FC6">
        <w:rPr>
          <w:b/>
          <w:bCs/>
        </w:rPr>
        <w:t>Within-family analyses do not address nonshared or individual-specific confounding. For example, an unmeasured stressor, peer context, health event, or other exposure affecting only one sibling could be associated with that sibling's psychosocial experience. Differential parenting, sibling interaction, reporting processes, and unmeasured child behavior or temperament may also contribute to within-family associations. I recommend also explicitly acknowledging residual nonshared confounding as a limitation.</w:t>
      </w:r>
      <w:r w:rsidR="00B11FC6">
        <w:rPr>
          <w:b/>
          <w:bCs/>
        </w:rPr>
        <w:br/>
      </w:r>
      <w:r w:rsidR="00B11FC6">
        <w:rPr>
          <w:b/>
          <w:bCs/>
        </w:rPr>
        <w:br/>
      </w:r>
      <w:r w:rsidRPr="00B11FC6">
        <w:rPr>
          <w:b/>
          <w:bCs/>
        </w:rPr>
        <w:t>Similarly, attenuation from between-family to within-family estimates is consistent with a role for family-shared or population-level factors, but it cannot identify the specific source of that attenuation. For example, the difference could reflect parental genotype, assortative mating, population stratification, shared socioeconomic context, or other shared family processes. I encourage the authors to frame the study more cautiously as testing whether PGS-psychosocial-experience associations persist after accounting for factors shared within families, rather than as distinguishing causal from confounded rGE.</w:t>
      </w:r>
    </w:p>
    <w:p w14:paraId="36C02630" w14:textId="77777777" w:rsidR="00416591" w:rsidRDefault="00DB445F">
      <w:pPr>
        <w:spacing w:after="200"/>
      </w:pPr>
      <w:r>
        <w:t>We agree with the reviewer that our language overstated what a within-family design can establish. We have revised the Abstract, Introduction, and Discussion throughout to reframe our aim as testing whether PGSEXT–psychosocial-environment associations persist after accounting for factors shared within families, rather than as adjudicating between causal and confounded rGE, or as isolating active/evocative rGE specifically. For example, our revised Abstract now reads:</w:t>
      </w:r>
    </w:p>
    <w:p w14:paraId="0485D71C" w14:textId="77777777" w:rsidR="00416591" w:rsidRDefault="00DB445F">
      <w:pPr>
        <w:spacing w:after="200"/>
        <w:ind w:left="720"/>
      </w:pPr>
      <w:r>
        <w:rPr>
          <w:i/>
          <w:iCs/>
        </w:rPr>
        <w:t>"By leveraging a family-based design that accounts for confounds shared within families — including parental genotype, assortative mating, and population stratification — our study examines the extent to which polygenic-score–environment associations persist after these shared confounds are accounted for." (</w:t>
      </w:r>
      <w:r>
        <w:rPr>
          <w:i/>
          <w:iCs/>
          <w:highlight w:val="yellow"/>
        </w:rPr>
        <w:t>revised Abstract, paragraph 1</w:t>
      </w:r>
      <w:r>
        <w:rPr>
          <w:i/>
          <w:iCs/>
        </w:rPr>
        <w:t>)</w:t>
      </w:r>
    </w:p>
    <w:p w14:paraId="1D99EE38" w14:textId="77777777" w:rsidR="00416591" w:rsidRDefault="00DB445F">
      <w:pPr>
        <w:spacing w:after="200"/>
      </w:pPr>
      <w:r>
        <w:t>We also added an explicit acknowledgment of residual nonshared confounding as a limitation of our design:</w:t>
      </w:r>
    </w:p>
    <w:p w14:paraId="355491CB" w14:textId="77777777" w:rsidR="00416591" w:rsidRDefault="00DB445F">
      <w:pPr>
        <w:spacing w:after="200"/>
        <w:ind w:left="720"/>
      </w:pPr>
      <w:r>
        <w:rPr>
          <w:i/>
          <w:iCs/>
        </w:rPr>
        <w:t>"We also note that our within-family design, while controlling for confounds shared by siblings (e.g., parental genotype, assortative mating, population stratification), cannot rule out nonshared, individual-specific confounding — such as an idiosyncratic stressor, peer event, health condition, or differential parenting or reporting process affecting only one sibling — which could also generate within-family PGS-environment associations that are not specifically attributable to the focal adolescent's own genetic liability." (</w:t>
      </w:r>
      <w:r>
        <w:rPr>
          <w:i/>
          <w:iCs/>
          <w:highlight w:val="yellow"/>
        </w:rPr>
        <w:t>revised Discussion, Limitations paragraph</w:t>
      </w:r>
      <w:r>
        <w:rPr>
          <w:i/>
          <w:iCs/>
        </w:rPr>
        <w:t>)</w:t>
      </w:r>
    </w:p>
    <w:p w14:paraId="0869DC1C" w14:textId="2DDB8185" w:rsidR="00416591" w:rsidRPr="000D0BEA" w:rsidRDefault="008271AC" w:rsidP="000D0BEA">
      <w:pPr>
        <w:pStyle w:val="ListParagraph"/>
        <w:numPr>
          <w:ilvl w:val="0"/>
          <w:numId w:val="2"/>
        </w:numPr>
        <w:spacing w:after="200"/>
        <w:rPr>
          <w:b/>
          <w:bCs/>
        </w:rPr>
      </w:pPr>
      <w:r w:rsidRPr="000D0BEA">
        <w:rPr>
          <w:b/>
          <w:bCs/>
        </w:rPr>
        <w:t>Relatedly, the manuscript would benefit from more precise use of the term "genetic indirect effects." Effects of parental genotype on offspring environments are conceptually different from a focal adolescent's genetically influenced behavior shaping their own social experiences. These processes may be related, but they should not be treated as interchangeable. The statement that GWAS identifies variants with "causal" or "direct" effects should also be revised. GWAS identifies statistical associations that may reflect a number of pathways (e.g., direct, indirect, and confounded pathways). A PGS association should not itself be interpreted as causal.</w:t>
      </w:r>
    </w:p>
    <w:p w14:paraId="602DDCF6" w14:textId="77777777" w:rsidR="00416591" w:rsidRDefault="00DB445F">
      <w:pPr>
        <w:spacing w:after="200"/>
      </w:pPr>
      <w:r>
        <w:lastRenderedPageBreak/>
        <w:t>We agree and have revised our terminology accordingly. We now reserve the term “genetic indirect effects” (and “genetic nurture”) exclusively for effects of parental genotype on offspring environments, and use “active/evocative rGE” to refer to the process we examine here — the focal adolescent's own genetically influenced characteristics shaping their environment. We also revised our description of GWAS accordingly:</w:t>
      </w:r>
    </w:p>
    <w:p w14:paraId="5A82AB72" w14:textId="77777777" w:rsidR="00416591" w:rsidRDefault="00DB445F">
      <w:pPr>
        <w:spacing w:after="200"/>
        <w:ind w:left="720"/>
      </w:pPr>
      <w:r>
        <w:rPr>
          <w:i/>
          <w:iCs/>
        </w:rPr>
        <w:t>"GWAS identifies loci that are statistically associated with a trait; these associations may reflect direct, indirect, and/or confounded pathways, and an association at the level of a polygenic score should not, on its own, be interpreted as evidence of a causal, direct genetic effect." (</w:t>
      </w:r>
      <w:r>
        <w:rPr>
          <w:i/>
          <w:iCs/>
          <w:highlight w:val="yellow"/>
        </w:rPr>
        <w:t>revised Introduction, paragraph 3</w:t>
      </w:r>
      <w:r>
        <w:rPr>
          <w:i/>
          <w:iCs/>
        </w:rPr>
        <w:t>)</w:t>
      </w:r>
    </w:p>
    <w:p w14:paraId="61F82BB3" w14:textId="2B06AE9F" w:rsidR="00416591" w:rsidRDefault="008271AC" w:rsidP="00DF3004">
      <w:pPr>
        <w:pStyle w:val="ListParagraph"/>
        <w:numPr>
          <w:ilvl w:val="0"/>
          <w:numId w:val="2"/>
        </w:numPr>
        <w:spacing w:after="200"/>
      </w:pPr>
      <w:r w:rsidRPr="00DF3004">
        <w:rPr>
          <w:b/>
          <w:bCs/>
        </w:rPr>
        <w:t>Because attenuation is central to the paper's argument, I encourage the authors to draw conclusions based on the formal contrast between within- and between-family estimates, rather than on whether one coefficient excludes zero and another does not. For parent-adolescent relationship quality, the within-family estimates are negative, and the within-versus-between contrasts do not differ clearly from zero. My interpretation is that there is no clear evidence that these associations are smaller within families than between families. This pattern does not establish that the associations are causal, unconfounded, or specifically reflective of evocative rGE. For delinquent peer affiliation, the between-family estimate is substantially larger than the within-family estimate, and the contrast excludes zero. This appears to be the clearest evidence of attenuation in the current analyses.</w:t>
      </w:r>
      <w:r w:rsidR="00DF3004">
        <w:rPr>
          <w:b/>
          <w:bCs/>
        </w:rPr>
        <w:br/>
      </w:r>
      <w:r w:rsidR="00DF3004">
        <w:rPr>
          <w:b/>
          <w:bCs/>
        </w:rPr>
        <w:br/>
      </w:r>
      <w:r w:rsidRPr="00DF3004">
        <w:rPr>
          <w:b/>
          <w:bCs/>
        </w:rPr>
        <w:t>The interpretation of school connectedness may warrant reconsideration. The between-family estimate is negative, whereas the within-family estimate is positive. Although the manuscript characterizes this as a reduction in magnitude, the absolute values of the two estimates appear quite similar. This pattern does not seem to demonstrate attenuation in effect magnitude; rather, it may reflect an imprecise within-family estimate whose direction has shifted away from the hypothesized negative association. I would suggest revising the interpretation accordingly. Please consider presenting the within-minus-between contrasts, along with their credible intervals, directly.</w:t>
      </w:r>
    </w:p>
    <w:p w14:paraId="08B15277" w14:textId="77777777" w:rsidR="00416591" w:rsidRDefault="00DB445F">
      <w:pPr>
        <w:spacing w:after="200"/>
      </w:pPr>
      <w:r>
        <w:t>We appreciate this important point and agree with the reviewer's reading of the school connectedness pattern. Our original submission already reported the formal between-to-within contrasts (Δβ) with 95% credible intervals for each construct (parent-reported parental relationship: Δβ = −.002, 95% CI [−.114, .109]; child-reported parental relationship: Δβ = .050, 95% CI [−.065, .165]; delinquent peer affiliation: Δβ = .192, 95% CI [.083, .301]; school connectedness: Δβ = −.092, 95% CI [−.213, .028]), but we agree that our narrative emphasized the significance of individual coefficients rather than leading with these contrasts. We have revised the Results and Discussion to foreground the Δβ estimates as the primary basis for our conclusions about attenuation, and we now describe delinquent peer affiliation — whose contrast excludes zero — as the clearest evidence of attenuation in our data. For school connectedness, we have softened our interpretation as suggested:</w:t>
      </w:r>
    </w:p>
    <w:p w14:paraId="15B549F1" w14:textId="77777777" w:rsidR="00416591" w:rsidRDefault="00DB445F">
      <w:pPr>
        <w:spacing w:after="200"/>
        <w:ind w:left="720"/>
      </w:pPr>
      <w:r>
        <w:rPr>
          <w:i/>
          <w:iCs/>
        </w:rPr>
        <w:t>"Although the between-family estimate for school connectedness was negative and the within-family estimate was positive, the absolute magnitudes of the two estimates were similar, and the between-to-within contrast did not clearly exclude zero. We therefore do not interpret this pattern as evidence of attenuation in effect magnitude; rather, it likely reflects an imprecise within-family estimate whose point estimate shifted away from the hypothesized negative direction." (</w:t>
      </w:r>
      <w:r>
        <w:rPr>
          <w:i/>
          <w:iCs/>
          <w:highlight w:val="yellow"/>
        </w:rPr>
        <w:t>revised Discussion, paragraph 3</w:t>
      </w:r>
      <w:r>
        <w:rPr>
          <w:i/>
          <w:iCs/>
        </w:rPr>
        <w:t>)</w:t>
      </w:r>
    </w:p>
    <w:p w14:paraId="66E26A8E" w14:textId="38B635B1" w:rsidR="00416591" w:rsidRDefault="00DB445F">
      <w:pPr>
        <w:spacing w:after="200"/>
      </w:pPr>
      <w:r>
        <w:rPr>
          <w:b/>
          <w:bCs/>
        </w:rPr>
        <w:t xml:space="preserve">4. </w:t>
      </w:r>
      <w:r w:rsidR="008271AC" w:rsidRPr="008271AC">
        <w:rPr>
          <w:b/>
          <w:bCs/>
        </w:rPr>
        <w:t>The family-based subsample includes MZ twins, DZ twins, and full siblings, but the final analytic composition of these groups is not clear. Please report the number of MZ pairs, DZ pairs, full-sibling pairs, and families with more than two included offspring, overall and for each psychosocial construct-specific analysis.</w:t>
      </w:r>
      <w:r w:rsidR="008271AC" w:rsidRPr="008271AC">
        <w:rPr>
          <w:b/>
          <w:bCs/>
        </w:rPr>
        <w:br/>
      </w:r>
      <w:r w:rsidR="008271AC" w:rsidRPr="008271AC">
        <w:rPr>
          <w:b/>
          <w:bCs/>
        </w:rPr>
        <w:br/>
        <w:t>Because MZ co-twins should have essentially no true within-pair PGS variation, sensitivity analyses excluding MZ pairs would be especially informative. If feasible, it would also be useful to examine whether findings are broadly similar among DZ twins and full siblings, as these groups differ in age spacing, birth order, and contemporaneous school and peer contexts.</w:t>
      </w:r>
      <w:r w:rsidR="008271AC" w:rsidRPr="008271AC">
        <w:rPr>
          <w:b/>
          <w:bCs/>
        </w:rPr>
        <w:br/>
      </w:r>
      <w:r w:rsidR="008271AC" w:rsidRPr="008271AC">
        <w:rPr>
          <w:b/>
          <w:bCs/>
        </w:rPr>
        <w:br/>
        <w:t>Please report within-family PGS variation and PGS intraclass correlations by pair type.</w:t>
      </w:r>
    </w:p>
    <w:p w14:paraId="171EB8C8" w14:textId="77777777" w:rsidR="00416591" w:rsidRDefault="00DB445F">
      <w:pPr>
        <w:spacing w:after="200"/>
      </w:pPr>
      <w:r>
        <w:t xml:space="preserve">We agree that this is important information that was missing from our submission, and we thank the reviewer (and Reviewer 4, who raised the same concern independently) for flagging it. We will add a table reporting the </w:t>
      </w:r>
      <w:r>
        <w:lastRenderedPageBreak/>
        <w:t>number of MZ pairs, DZ pairs, full-sibling pairs, and multi-offspring families in our final analytic sample of 777 families/1,589 individuals, both overall and separately for each of the four psychosocial-environment analyses (given differential missingness across constructs). We will also report within-family PGS variation and PGS intraclass correlations by pair type, and we will re-run our within-family models excluding MZ pairs as a sensitivity analysis, since MZ co-twins share essentially identical genotypes and any “within-pair” PGS difference for MZ pairs reflects genotyping/imputation noise rather than true genetic variation.</w:t>
      </w:r>
    </w:p>
    <w:p w14:paraId="10A3996A" w14:textId="77777777" w:rsidR="00416591" w:rsidRDefault="00DB445F">
      <w:pPr>
        <w:spacing w:after="200"/>
      </w:pPr>
      <w:r>
        <w:rPr>
          <w:highlight w:val="yellow"/>
        </w:rPr>
        <w:t>[Placeholder: We will report that the final analytic sample of 777 families included __ MZ pairs, __ DZ pairs, __ full-sibling pairs, and __ families with more than two offspring (overall and per construct); within-family PGS ICCs were __ (MZ), __ (DZ), and __ (full-sibling); and results excluding MZ pairs (N = __ families) showed [direction/magnitude of within-family estimates] for each construct.]</w:t>
      </w:r>
    </w:p>
    <w:p w14:paraId="6F41394B" w14:textId="7204A758" w:rsidR="00416591" w:rsidRDefault="00DB445F">
      <w:pPr>
        <w:spacing w:after="200"/>
      </w:pPr>
      <w:r>
        <w:rPr>
          <w:b/>
          <w:bCs/>
        </w:rPr>
        <w:t xml:space="preserve">5. </w:t>
      </w:r>
      <w:r w:rsidR="008271AC" w:rsidRPr="008271AC">
        <w:rPr>
          <w:b/>
          <w:bCs/>
        </w:rPr>
        <w:t>I appreciate the authors' efforts to include a genetically diverse target sample, particularly given that the externalizing discovery GWAS was based only(?) on individuals genetically similar to European populations. I also recognize that the field has not reached consensus on the optimal approach when discovery and target samples differ in genetic-similarity composition, and that investigators often calculate PGSs in more diverse target samples. At the same time, additional information would help readers evaluate the interpretation of the pooled analyses.</w:t>
      </w:r>
      <w:r w:rsidR="008271AC" w:rsidRPr="008271AC">
        <w:rPr>
          <w:b/>
          <w:bCs/>
        </w:rPr>
        <w:br/>
      </w:r>
      <w:r w:rsidR="008271AC" w:rsidRPr="008271AC">
        <w:rPr>
          <w:b/>
          <w:bCs/>
        </w:rPr>
        <w:br/>
        <w:t>Please report PGS distributions and within-family PGS variation across genetic-similarity groups. Supplementary group-specific analyses would be valuable. For example, it would be helpful to know whether the population-level and within-family PGS-psychosocial-experience associations are broadly consistent across groups.</w:t>
      </w:r>
      <w:r w:rsidR="008271AC" w:rsidRPr="008271AC">
        <w:rPr>
          <w:b/>
          <w:bCs/>
        </w:rPr>
        <w:br/>
      </w:r>
      <w:r w:rsidR="008271AC" w:rsidRPr="008271AC">
        <w:rPr>
          <w:b/>
          <w:bCs/>
        </w:rPr>
        <w:br/>
        <w:t>I also recommend reviewing the terminology throughout the manuscript to ensure consistent use of "genetic-similarity group," rather than "ancestry," where appropriate.</w:t>
      </w:r>
    </w:p>
    <w:p w14:paraId="343FDE85" w14:textId="77777777" w:rsidR="00416591" w:rsidRDefault="00DB445F">
      <w:pPr>
        <w:spacing w:after="200"/>
      </w:pPr>
      <w:r>
        <w:t>We appreciate the reviewer's recognition of our efforts to include a genetically diverse sample and agree that additional reporting would help readers evaluate our pooled analyses. We will report PGS distributions and within-family PGS variation by genetic-similarity group, and we will include supplementary group-specific analyses at the population and (where sample size permits) between-family levels. We want to be transparent, however, that our family-based subsample (1,589 individuals from 777 families) is modest, and splitting this subsample four ways by genetic-similarity group will leave some strata with limited power; we will report within-family group-specific estimates but will be explicit about the resulting imprecision rather than over-interpreting any between-group differences. We have also revised the manuscript to consistently use “genetic-similarity group” in place of “ancestry” where appropriate.</w:t>
      </w:r>
    </w:p>
    <w:p w14:paraId="114859EE" w14:textId="77777777" w:rsidR="00416591" w:rsidRDefault="00DB445F">
      <w:pPr>
        <w:spacing w:after="200"/>
      </w:pPr>
      <w:r>
        <w:rPr>
          <w:highlight w:val="yellow"/>
        </w:rPr>
        <w:t>[Placeholder: PGS distributions and within-family PGS variation/ICCs by genetic-similarity group (European, African, East Asian, Hispanic), and supplementary group-specific population- and between-family-level estimates, to be reported in a new Supplementary Table.]</w:t>
      </w:r>
    </w:p>
    <w:p w14:paraId="1FAEA920" w14:textId="1429AAB3" w:rsidR="00416591" w:rsidRPr="008271AC" w:rsidRDefault="00DB445F">
      <w:pPr>
        <w:spacing w:after="200"/>
        <w:rPr>
          <w:b/>
          <w:bCs/>
        </w:rPr>
      </w:pPr>
      <w:r>
        <w:rPr>
          <w:b/>
          <w:bCs/>
        </w:rPr>
        <w:t xml:space="preserve">6. </w:t>
      </w:r>
      <w:r w:rsidR="008271AC" w:rsidRPr="008271AC">
        <w:rPr>
          <w:b/>
          <w:bCs/>
        </w:rPr>
        <w:t>Figure 1 is not referenced in the main text. Please cite it at the relevant point in the Introduction and ensure that it is integrated into the conceptual argument.</w:t>
      </w:r>
    </w:p>
    <w:p w14:paraId="0A9AE3CE" w14:textId="77777777" w:rsidR="00416591" w:rsidRDefault="00DB445F">
      <w:pPr>
        <w:spacing w:after="200"/>
      </w:pPr>
      <w:r>
        <w:t>We thank the reviewer for catching this oversight. We have added an explicit citation to Figure 1 at the point in the Introduction where we introduce the confound structure (population stratification, assortative mating, and parental genotype) and the logic of the within-family design.</w:t>
      </w:r>
    </w:p>
    <w:p w14:paraId="73220BA2" w14:textId="77777777" w:rsidR="00416591" w:rsidRDefault="00DB445F">
      <w:pPr>
        <w:spacing w:after="200"/>
        <w:ind w:left="720"/>
      </w:pPr>
      <w:r>
        <w:rPr>
          <w:i/>
          <w:iCs/>
        </w:rPr>
        <w:t>"(see Figure 1)" (</w:t>
      </w:r>
      <w:r>
        <w:rPr>
          <w:i/>
          <w:iCs/>
          <w:highlight w:val="yellow"/>
        </w:rPr>
        <w:t>revised Introduction, paragraph 3</w:t>
      </w:r>
      <w:r>
        <w:rPr>
          <w:i/>
          <w:iCs/>
        </w:rPr>
        <w:t>)</w:t>
      </w:r>
    </w:p>
    <w:p w14:paraId="7C252FB9" w14:textId="3FB6CC3C" w:rsidR="00416591" w:rsidRPr="008271AC" w:rsidRDefault="00DB445F">
      <w:pPr>
        <w:spacing w:after="200"/>
        <w:rPr>
          <w:b/>
          <w:bCs/>
        </w:rPr>
      </w:pPr>
      <w:r>
        <w:rPr>
          <w:b/>
          <w:bCs/>
        </w:rPr>
        <w:t xml:space="preserve">7. </w:t>
      </w:r>
      <w:r w:rsidR="008271AC" w:rsidRPr="008271AC">
        <w:rPr>
          <w:b/>
          <w:bCs/>
        </w:rPr>
        <w:t>Please report analytic sample sizes for each analysis, including the number of individuals and families contributing to each model.</w:t>
      </w:r>
    </w:p>
    <w:p w14:paraId="39A4BF5F" w14:textId="77777777" w:rsidR="00416591" w:rsidRDefault="00DB445F">
      <w:pPr>
        <w:spacing w:after="200"/>
      </w:pPr>
      <w:r>
        <w:t>We agree that this information is necessary for readers to evaluate precision, particularly given Reviewer 2's related concern about the width of our within-family credible intervals. We will expand Table 1 (or add a new table) to report the analytic N of individuals and families/pairs contributing to each specific model (population, between-family, within-family) for each of the four outcomes, since missingness differs somewhat by construct and informant.</w:t>
      </w:r>
    </w:p>
    <w:p w14:paraId="004E8066" w14:textId="77777777" w:rsidR="00416591" w:rsidRDefault="00DB445F">
      <w:pPr>
        <w:spacing w:after="200"/>
      </w:pPr>
      <w:r>
        <w:rPr>
          <w:highlight w:val="yellow"/>
        </w:rPr>
        <w:t xml:space="preserve">[Placeholder: analytic N (individuals and families) for each of the population, between-family, and within-family models, separately for parent-reported parental relationship, child-reported parental relationship, </w:t>
      </w:r>
      <w:r>
        <w:rPr>
          <w:highlight w:val="yellow"/>
        </w:rPr>
        <w:lastRenderedPageBreak/>
        <w:t>delinquent peer affiliation, and school connectedness.]</w:t>
      </w:r>
    </w:p>
    <w:p w14:paraId="5EA07735" w14:textId="35C214F8" w:rsidR="00416591" w:rsidRDefault="00DB445F">
      <w:pPr>
        <w:spacing w:after="200"/>
      </w:pPr>
      <w:r>
        <w:rPr>
          <w:b/>
          <w:bCs/>
        </w:rPr>
        <w:t xml:space="preserve">8. </w:t>
      </w:r>
      <w:r w:rsidR="008271AC" w:rsidRPr="008271AC">
        <w:rPr>
          <w:b/>
          <w:bCs/>
        </w:rPr>
        <w:t>Please clarify the extent of missingness for the primary variables and how missing data were handled in both the factor analyses and the primary models.</w:t>
      </w:r>
    </w:p>
    <w:p w14:paraId="4D0A2843" w14:textId="77777777" w:rsidR="00416591" w:rsidRDefault="00DB445F">
      <w:pPr>
        <w:spacing w:after="200"/>
      </w:pPr>
      <w:r>
        <w:t>We will add a Methods statement clarifying our missing-data handling for both the CFA models (estimated using WLSMV) and the primary Bayesian SEM models, along with the percentage of missingness for each primary study variable.</w:t>
      </w:r>
    </w:p>
    <w:p w14:paraId="19B76BCF" w14:textId="77777777" w:rsidR="00416591" w:rsidRDefault="00DB445F">
      <w:pPr>
        <w:spacing w:after="200"/>
      </w:pPr>
      <w:r>
        <w:rPr>
          <w:highlight w:val="yellow"/>
        </w:rPr>
        <w:t>[Placeholder: exact missing-data handling procedure for CFA (e.g., pairwise present) and for the Bayesian SEM models (e.g., full-information estimation under MAR), and percent missingness for each primary variable.]</w:t>
      </w:r>
    </w:p>
    <w:p w14:paraId="2CAF9308" w14:textId="19CB184D" w:rsidR="00416591" w:rsidRPr="008271AC" w:rsidRDefault="00DB445F">
      <w:pPr>
        <w:spacing w:after="200"/>
        <w:rPr>
          <w:b/>
          <w:bCs/>
        </w:rPr>
      </w:pPr>
      <w:r>
        <w:rPr>
          <w:b/>
          <w:bCs/>
        </w:rPr>
        <w:t xml:space="preserve">9. </w:t>
      </w:r>
      <w:r w:rsidR="008271AC" w:rsidRPr="008271AC">
        <w:rPr>
          <w:b/>
          <w:bCs/>
        </w:rPr>
        <w:t>For analyses involving delinquent peer affiliation and school connectedness, please clarify whether school fixed effects, school-level clustering, or another adjustment for Add Health's school-based sampling structure was included. If not, please provide a rationale and consider whether a sensitivity analysis accounting for school clustering would be feasible.</w:t>
      </w:r>
    </w:p>
    <w:p w14:paraId="66A86189" w14:textId="77777777" w:rsidR="00416591" w:rsidRDefault="00DB445F">
      <w:pPr>
        <w:spacing w:after="200"/>
      </w:pPr>
      <w:r>
        <w:t>We thank the reviewer for raising this point. Our primary models did not include a separate adjustment for Add Health's school-based cluster sampling structure. Given that our within-family models already involve a two-level structure (individuals nested within families), and that sibling pairs in our family-based subsample are very likely to attend the same school, we are concerned that a full three-level model (individuals within families within schools) may not be well-powered or identified given our sample of 777 families. As a more feasible alternative, we intend to report cluster-robust standard errors at the school level (or incorporate Add Health's sampling strata/cluster variables) as a sensitivity analysis for the delinquent peer affiliation and school connectedness models, and we will explicitly note in our Limitations that full school-level clustering was not modeled in our primary analyses.</w:t>
      </w:r>
    </w:p>
    <w:p w14:paraId="64B2B77C" w14:textId="77777777" w:rsidR="00416591" w:rsidRDefault="00DB445F">
      <w:pPr>
        <w:spacing w:after="200"/>
      </w:pPr>
      <w:r>
        <w:rPr>
          <w:highlight w:val="yellow"/>
        </w:rPr>
        <w:t>[Placeholder: results of school-clustering-robust sensitivity analysis for delinquent peer affiliation and school connectedness models.]</w:t>
      </w:r>
    </w:p>
    <w:p w14:paraId="3735ED69" w14:textId="77777777" w:rsidR="00416591" w:rsidRDefault="00DB445F">
      <w:pPr>
        <w:spacing w:before="300" w:after="200"/>
      </w:pPr>
      <w:r>
        <w:rPr>
          <w:b/>
          <w:bCs/>
          <w:sz w:val="26"/>
          <w:szCs w:val="26"/>
        </w:rPr>
        <w:t>Reviewer 2</w:t>
      </w:r>
    </w:p>
    <w:p w14:paraId="2AE1950F" w14:textId="103730FC" w:rsidR="00416591" w:rsidRDefault="00A74A88" w:rsidP="00A74A88">
      <w:pPr>
        <w:spacing w:after="200"/>
      </w:pPr>
      <w:r w:rsidRPr="00A74A88">
        <w:rPr>
          <w:b/>
          <w:bCs/>
        </w:rPr>
        <w:t>Thank you for the opportunity to review this manuscript, which reports the findings from a series of analyses using the AddHealth data to examine gene-environment correlations within the population and then within families. The use of a Bayesian approach was innovative, and the authors did a nice job of explaining the models and making them accessible to a frequentist audience.</w:t>
      </w:r>
      <w:r>
        <w:rPr>
          <w:b/>
          <w:bCs/>
        </w:rPr>
        <w:t xml:space="preserve"> </w:t>
      </w:r>
      <w:r w:rsidRPr="00A74A88">
        <w:rPr>
          <w:b/>
          <w:bCs/>
        </w:rPr>
        <w:t>My two major concerns with this manuscript are that the results are over-interpreted, and that the discussion of the different mechanisms that could lead to the present pattern of results is incomplete.</w:t>
      </w:r>
    </w:p>
    <w:p w14:paraId="2B2037F8" w14:textId="77777777" w:rsidR="00416591" w:rsidRDefault="00DB445F">
      <w:pPr>
        <w:spacing w:after="200"/>
      </w:pPr>
      <w:r>
        <w:t>We thank the reviewer for these kind remarks about our modeling approach and for the two substantive concerns raised below.</w:t>
      </w:r>
    </w:p>
    <w:p w14:paraId="0E0FDE91" w14:textId="1AA7A34D" w:rsidR="00416591" w:rsidRPr="00A74A88" w:rsidRDefault="00DB445F">
      <w:pPr>
        <w:spacing w:after="200"/>
        <w:rPr>
          <w:b/>
          <w:bCs/>
        </w:rPr>
      </w:pPr>
      <w:r>
        <w:rPr>
          <w:b/>
          <w:bCs/>
        </w:rPr>
        <w:t xml:space="preserve">1. </w:t>
      </w:r>
      <w:r w:rsidR="00A74A88" w:rsidRPr="00A74A88">
        <w:rPr>
          <w:b/>
          <w:bCs/>
        </w:rPr>
        <w:t>With respect to the over-interpretation of effects, Figure 2 shows that the credible intervals for the within-family effects are quite large (i.e., effects imprecisely known), and overlap with the credible intervals for the population-level analyses. Because the sample size for the within-family effects is much smaller than the population-level analyses, it's difficult to draw firm conclusions about there being an absence of effects within families. This seems especially problematic when using a PGS, which generally has modest effects.</w:t>
      </w:r>
    </w:p>
    <w:p w14:paraId="11DA205E" w14:textId="77777777" w:rsidR="00416591" w:rsidRDefault="00DB445F">
      <w:pPr>
        <w:spacing w:after="200"/>
      </w:pPr>
      <w:r>
        <w:t>We agree with this important point, which echoes a related concern raised by Reviewer 1 (Comment 3). Our within-family subsample (1,589 individuals from 777 families) is considerably smaller than our population subsample (7,635 individuals), and null within-family findings for delinquent peer affiliation and school connectedness reflect imprecision as much as they reflect an absence of effect. We have revised our interpretive language throughout the Results and Discussion to avoid stating that these associations were “not observed” or “absent” within families, and instead describe the within-family estimates as imprecise and not providing clear evidence for an association in either direction. For example:</w:t>
      </w:r>
    </w:p>
    <w:p w14:paraId="781878C2" w14:textId="77777777" w:rsidR="00416591" w:rsidRDefault="00DB445F">
      <w:pPr>
        <w:spacing w:after="200"/>
        <w:ind w:left="720"/>
      </w:pPr>
      <w:r>
        <w:rPr>
          <w:i/>
          <w:iCs/>
        </w:rPr>
        <w:t xml:space="preserve">"The within-family credible interval for delinquent peer affiliation and for school connectedness did not clearly exclude zero; however, given the smaller sample size of the family-based subsample relative to the population subsample, and the generally modest effect sizes expected for polygenic scores, these results should be interpreted as reflecting imprecision rather than firm evidence for an absence of </w:t>
      </w:r>
      <w:r>
        <w:rPr>
          <w:i/>
          <w:iCs/>
        </w:rPr>
        <w:lastRenderedPageBreak/>
        <w:t>within-family association." (</w:t>
      </w:r>
      <w:r>
        <w:rPr>
          <w:i/>
          <w:iCs/>
          <w:highlight w:val="yellow"/>
        </w:rPr>
        <w:t>revised Discussion, paragraph 2</w:t>
      </w:r>
      <w:r>
        <w:rPr>
          <w:i/>
          <w:iCs/>
        </w:rPr>
        <w:t>)</w:t>
      </w:r>
    </w:p>
    <w:p w14:paraId="5DDD96AC" w14:textId="5F6546E9" w:rsidR="00416591" w:rsidRPr="00A74A88" w:rsidRDefault="00DB445F">
      <w:pPr>
        <w:spacing w:after="200"/>
        <w:rPr>
          <w:b/>
          <w:bCs/>
        </w:rPr>
      </w:pPr>
      <w:r>
        <w:rPr>
          <w:b/>
          <w:bCs/>
        </w:rPr>
        <w:t xml:space="preserve">2. </w:t>
      </w:r>
      <w:r w:rsidR="00A74A88" w:rsidRPr="00A74A88">
        <w:rPr>
          <w:b/>
          <w:bCs/>
        </w:rPr>
        <w:t>The manuscript would also benefit from a fuller discussion of other explanations for effects that are attenuated within-families, which is that this can be attributable to both genetic confounding as well as environmental confounding. Distinguishing these possibilities is possible using MZ and DZ twin data. I realize that authors may not have the sample size needed to distinguish between these possibilities in this work, which I think further emphasizes the need to carefully communicate what these analyses can tell us about the phenomenon, and what they cannot. </w:t>
      </w:r>
    </w:p>
    <w:p w14:paraId="18EA296A" w14:textId="77777777" w:rsidR="00416591" w:rsidRDefault="00DB445F">
      <w:pPr>
        <w:spacing w:after="200"/>
      </w:pPr>
      <w:r>
        <w:t>We appreciate the reviewer's own acknowledgment that our sample may not be sufficiently powered to formally decompose genetic from environmental sources of within-family attenuation via MZ-DZ comparison. With only 289 MZ pairs available in the full Add Health genotyped relatedness sample (and a smaller subset within our final 777-family analytic sample), we agree that we are not well-positioned to conduct a formal MZ-DZ decomposition in the current paper. We have, however, added a paragraph to the Discussion that explicitly separates residual genetic confounding (e.g., non-additive genetic effects not captured by a linear PGS) from environmental confounding as two distinct candidate explanations for within-family attenuation, and we describe MZ-DZ comparisons as the ideal, though here underpowered, approach for distinguishing them in future work with larger family-based genotyped samples.</w:t>
      </w:r>
    </w:p>
    <w:p w14:paraId="6A4394AF" w14:textId="77777777" w:rsidR="00416591" w:rsidRDefault="00DB445F">
      <w:pPr>
        <w:spacing w:after="200"/>
        <w:ind w:left="720"/>
      </w:pPr>
      <w:r>
        <w:rPr>
          <w:i/>
          <w:iCs/>
        </w:rPr>
        <w:t>"Within-family attenuation could reflect either residual genetic confounding (e.g., non-additive or gene-by-gene effects not captured by an additive polygenic score) or environmental confounding not shared within families. Formally distinguishing these two explanations requires comparisons between monozygotic and dizygotic twins, for which our sample (289 MZ pairs in the full genotyped relatedness sample) is not well powered; we flag this as an important direction for future work with larger family-based genotyped samples." (</w:t>
      </w:r>
      <w:r>
        <w:rPr>
          <w:i/>
          <w:iCs/>
          <w:highlight w:val="yellow"/>
        </w:rPr>
        <w:t>revised Discussion, paragraph 4</w:t>
      </w:r>
      <w:r>
        <w:rPr>
          <w:i/>
          <w:iCs/>
        </w:rPr>
        <w:t>)</w:t>
      </w:r>
    </w:p>
    <w:p w14:paraId="3DABDADC" w14:textId="77777777" w:rsidR="00416591" w:rsidRDefault="00DB445F">
      <w:pPr>
        <w:spacing w:before="300" w:after="200"/>
      </w:pPr>
      <w:r>
        <w:rPr>
          <w:b/>
          <w:bCs/>
          <w:sz w:val="26"/>
          <w:szCs w:val="26"/>
        </w:rPr>
        <w:t>Reviewer 3</w:t>
      </w:r>
    </w:p>
    <w:p w14:paraId="04F8093C" w14:textId="29D3D10E" w:rsidR="00416591" w:rsidRPr="00947AC2" w:rsidRDefault="00947AC2">
      <w:pPr>
        <w:spacing w:after="200"/>
        <w:rPr>
          <w:b/>
          <w:bCs/>
        </w:rPr>
      </w:pPr>
      <w:r w:rsidRPr="00947AC2">
        <w:rPr>
          <w:b/>
          <w:bCs/>
        </w:rPr>
        <w:t>This is a strong analysis using unrelated individuals and between and within family designs to understand sources of rGE confounding. The approach appears well-justified and adequately powered. Evaluation of confounding in these types of studies is appreciated. The manuscript is well-written. I have just a couple of suggestions to enhance this report.</w:t>
      </w:r>
    </w:p>
    <w:p w14:paraId="3A86F812" w14:textId="77777777" w:rsidR="00416591" w:rsidRDefault="00DB445F">
      <w:pPr>
        <w:spacing w:after="200"/>
      </w:pPr>
      <w:r>
        <w:t>We thank the reviewer for these generous comments about our design and writing.</w:t>
      </w:r>
    </w:p>
    <w:p w14:paraId="66E7A9FF" w14:textId="19F246D7" w:rsidR="00416591" w:rsidRDefault="00947AC2">
      <w:pPr>
        <w:spacing w:after="200"/>
        <w:rPr>
          <w:b/>
          <w:bCs/>
        </w:rPr>
      </w:pPr>
      <w:r w:rsidRPr="00947AC2">
        <w:rPr>
          <w:b/>
          <w:bCs/>
        </w:rPr>
        <w:t xml:space="preserve">First, it is somewhat unclear to me what conclusions are being emphasized here. It seems as though the report is emphasizing the prevalence of observed relationships in the externalizing domain but also the prevalence of confounding and the importance of assessing confounding. The message could be more precise. </w:t>
      </w:r>
    </w:p>
    <w:p w14:paraId="20C9A66D" w14:textId="02F85F75" w:rsidR="00947AC2" w:rsidRPr="00947AC2" w:rsidRDefault="00947AC2">
      <w:pPr>
        <w:spacing w:after="200"/>
        <w:rPr>
          <w:b/>
          <w:bCs/>
        </w:rPr>
      </w:pPr>
      <w:r w:rsidRPr="00947AC2">
        <w:rPr>
          <w:b/>
          <w:bCs/>
        </w:rPr>
        <w:t>A related suggestion would be to explicitly separate these different parts of the report, first reporting the results of the genetic associations observed in the analysis, and then in a separate section tackling the methodological conclusions and the importance of the approaches used here to evaluate confounding. This may help with overall flow. It would also be important to discuss in detail the potential feasibility of these approaches in other symptom domains and study populations.</w:t>
      </w:r>
    </w:p>
    <w:p w14:paraId="60718536" w14:textId="77777777" w:rsidR="00416591" w:rsidRDefault="00DB445F">
      <w:pPr>
        <w:spacing w:after="200"/>
      </w:pPr>
      <w:r>
        <w:t>We agree that our manuscript was doing double duty — reporting substantive rGE findings for externalizing while also making a broader methodological argument about within-family designs — and that this blending obscured our main message. We have restructured the Results and Discussion into two more clearly separated parts: (1) our substantive findings regarding which PGSEXT–environment associations replicate within families and which attenuate, and (2) a separate discussion of the methodological implications of our within-family approach for detecting and quantifying population- and family-level confounding, including its feasibility and limitations. We have also added a paragraph discussing the potential feasibility of extending this approach to other symptom domains (e.g., internalizing problems) and other family-based cohorts.</w:t>
      </w:r>
    </w:p>
    <w:p w14:paraId="7E103FD5" w14:textId="77777777" w:rsidR="00416591" w:rsidRDefault="00DB445F">
      <w:pPr>
        <w:spacing w:after="200"/>
        <w:ind w:left="720"/>
      </w:pPr>
      <w:r>
        <w:rPr>
          <w:i/>
          <w:iCs/>
        </w:rPr>
        <w:t>"Beyond our findings for externalizing problems specifically, this approach — comparing population, between-family, and within-family PGS-environment associations — could feasibly be extended to other psychiatric symptom domains and to other family-based, genotyped cohorts, though its informativeness will depend on the availability of adequately sized twin/sibling subsamples and on the predictive strength of the relevant polygenic score." (</w:t>
      </w:r>
      <w:r>
        <w:rPr>
          <w:i/>
          <w:iCs/>
          <w:highlight w:val="yellow"/>
        </w:rPr>
        <w:t>revised Discussion, new section</w:t>
      </w:r>
      <w:r>
        <w:rPr>
          <w:i/>
          <w:iCs/>
        </w:rPr>
        <w:t>)</w:t>
      </w:r>
    </w:p>
    <w:p w14:paraId="506DB8B4" w14:textId="77777777" w:rsidR="00416591" w:rsidRDefault="00DB445F">
      <w:pPr>
        <w:spacing w:before="300" w:after="200"/>
      </w:pPr>
      <w:r>
        <w:rPr>
          <w:b/>
          <w:bCs/>
          <w:sz w:val="26"/>
          <w:szCs w:val="26"/>
        </w:rPr>
        <w:lastRenderedPageBreak/>
        <w:t>Reviewer 4</w:t>
      </w:r>
    </w:p>
    <w:p w14:paraId="1C53A1A4" w14:textId="7C7E2FCD" w:rsidR="00416591" w:rsidRPr="00286459" w:rsidRDefault="00947AC2">
      <w:pPr>
        <w:spacing w:after="200"/>
        <w:rPr>
          <w:b/>
          <w:bCs/>
        </w:rPr>
      </w:pPr>
      <w:r w:rsidRPr="00947AC2">
        <w:rPr>
          <w:b/>
          <w:bCs/>
        </w:rPr>
        <w:t>This paper studies gene-environment correlations between a polygenic score for externalising problems and adolescent social environments, using both a population sample and a family-based sample of twins and siblings from Add Health. The paper is very well written, the topic is important, and the family-based design is a strong approach for assessing the extent to which observed rGE associations are robust within families. Thank you for the opportunity to review it. I have some comments that I think would help clarify the interpretation and make the claims more precise.</w:t>
      </w:r>
    </w:p>
    <w:p w14:paraId="4F6CD8A9" w14:textId="77777777" w:rsidR="00416591" w:rsidRDefault="00DB445F">
      <w:pPr>
        <w:spacing w:after="200"/>
      </w:pPr>
      <w:r>
        <w:t>We thank the reviewer for these kind comments and for the detailed, constructive suggestions below.</w:t>
      </w:r>
    </w:p>
    <w:p w14:paraId="1DC09B32" w14:textId="77777777" w:rsidR="00416591" w:rsidRDefault="00DB445F">
      <w:pPr>
        <w:spacing w:after="200"/>
      </w:pPr>
      <w:r>
        <w:rPr>
          <w:b/>
          <w:bCs/>
        </w:rPr>
        <w:t>I felt that the problem raised, particularly in the abstract, and the aims were slightly too strong. The study is well placed to test if the rGE associations attenuate within families, but I do not think it can resolve whether rGEs reflect causal indirect effects or confounding. PGS remain relatively weak predictors, especially for measured phenotypes compared to the latent EXT factor, and performance varies across contexts, age, reported, etc. The study is also focused on externalising rather than psychiatric traits more broadly. I would suggest making the aims and conclusions better reflect what the design can and cannot show. The study can provide useful evidence on whether specific rGEs persist within families, but it cannot rule out causal indirect effects that are not captured by the current PGS or by the measured environments included here.</w:t>
      </w:r>
    </w:p>
    <w:p w14:paraId="010E91CD" w14:textId="77777777" w:rsidR="00416591" w:rsidRDefault="00DB445F">
      <w:pPr>
        <w:spacing w:after="200"/>
      </w:pPr>
      <w:r>
        <w:t>We agree, and this concern parallels Reviewer 1's Comment 1. As described above, we have revised our Abstract, aims, and Discussion throughout to state that our design tests whether PGSEXT–environment associations persist after accounting for factors shared within families, rather than resolving whether rGEs are causal or confounded. We have also added explicit caveats that our findings are specific to externalizing (rather than psychiatric traits more broadly) and to the predictive ceiling of the current EXT PGS, and that our design cannot rule out causal indirect effects operating through environments or PGS components we did not measure.</w:t>
      </w:r>
    </w:p>
    <w:p w14:paraId="26FC27A3" w14:textId="77777777" w:rsidR="00416591" w:rsidRDefault="00DB445F">
      <w:pPr>
        <w:spacing w:after="200"/>
        <w:ind w:left="720"/>
      </w:pPr>
      <w:r>
        <w:rPr>
          <w:i/>
          <w:iCs/>
        </w:rPr>
        <w:t>"Our findings should be interpreted as evidence regarding whether specific rGEs involving externalizing polygenic risk persist within families, rather than as a definitive test of whether such rGEs are causal; our design cannot rule out causal indirect effects that operate through unmeasured environments or through aspects of genetic liability not captured by the current polygenic score." (</w:t>
      </w:r>
      <w:r>
        <w:rPr>
          <w:i/>
          <w:iCs/>
          <w:highlight w:val="yellow"/>
        </w:rPr>
        <w:t>revised Discussion, Limitations paragraph</w:t>
      </w:r>
      <w:r>
        <w:rPr>
          <w:i/>
          <w:iCs/>
        </w:rPr>
        <w:t>)</w:t>
      </w:r>
    </w:p>
    <w:p w14:paraId="19DEFABC" w14:textId="77777777" w:rsidR="009B7CB3" w:rsidRPr="009B7CB3" w:rsidRDefault="009B7CB3" w:rsidP="009B7CB3">
      <w:pPr>
        <w:spacing w:after="200"/>
        <w:rPr>
          <w:b/>
          <w:bCs/>
        </w:rPr>
      </w:pPr>
      <w:r w:rsidRPr="009B7CB3">
        <w:rPr>
          <w:b/>
          <w:bCs/>
        </w:rPr>
        <w:t>Relatedly, parental genotypes are identified as an important source of confounding in the introduction, but they were not used in the analyses. The within-family design helps address some confounding from parental genotypes, population stratification and assortative mating, but it does not allow these sources to be separated from one another. I think this should be made clearer. Directly measured parental genotypes would have strengthened the analyses, particularly in separating passive rGE from other confounding sources.</w:t>
      </w:r>
    </w:p>
    <w:p w14:paraId="5A65A8BD" w14:textId="77777777" w:rsidR="00416591" w:rsidRDefault="00DB445F">
      <w:pPr>
        <w:spacing w:after="200"/>
      </w:pPr>
      <w:r>
        <w:t>We agree. Our within-family design controls for the combined influence of parental genotype, population stratification, and assortative mating, but cannot separate these three sources from one another; parental genotypes were not available in our data (Add Health's genotyping was conducted on the youth cohort only), so we were unable to directly model passive rGE or genetic-nurture effects specifically. We have revised the Introduction and Limitations to make this explicit, and we note that parent-offspring trio designs would be needed to isolate parental-genotype effects specifically.</w:t>
      </w:r>
    </w:p>
    <w:p w14:paraId="0907343E" w14:textId="77777777" w:rsidR="00416591" w:rsidRDefault="00DB445F">
      <w:pPr>
        <w:spacing w:after="200"/>
        <w:ind w:left="720"/>
      </w:pPr>
      <w:r>
        <w:rPr>
          <w:i/>
          <w:iCs/>
        </w:rPr>
        <w:t>"Because parental genotypes were not measured in this sample, our within-family design controls for the combined influence of parental genotype, assortative mating, and population stratification but cannot distinguish among these sources. Genotyped parent-offspring trio designs would be needed to isolate the specific contribution of parental genotype (i.e., passive rGE/genetic nurture) from the other confounds addressed here." (</w:t>
      </w:r>
      <w:r>
        <w:rPr>
          <w:i/>
          <w:iCs/>
          <w:highlight w:val="yellow"/>
        </w:rPr>
        <w:t>revised Discussion, Limitations paragraph</w:t>
      </w:r>
      <w:r>
        <w:rPr>
          <w:i/>
          <w:iCs/>
        </w:rPr>
        <w:t>)</w:t>
      </w:r>
    </w:p>
    <w:p w14:paraId="746BD496" w14:textId="2F1D89DB" w:rsidR="00416591" w:rsidRPr="009B7CB3" w:rsidRDefault="009B7CB3">
      <w:pPr>
        <w:spacing w:after="200"/>
        <w:rPr>
          <w:b/>
          <w:bCs/>
        </w:rPr>
      </w:pPr>
      <w:r w:rsidRPr="009B7CB3">
        <w:rPr>
          <w:b/>
          <w:bCs/>
        </w:rPr>
        <w:t>It would also be helpful to clarify the predictive power of the externalising PGS. My understanding is that the PGS explains up to around 10% of the variance in a latent externalising phenotype, but prediction is lower for measured phenotypes. I think the small size of these effects should be more clearly highlighted.</w:t>
      </w:r>
    </w:p>
    <w:p w14:paraId="67C762D2" w14:textId="77777777" w:rsidR="00416591" w:rsidRDefault="00DB445F">
      <w:pPr>
        <w:spacing w:after="200"/>
      </w:pPr>
      <w:r>
        <w:t xml:space="preserve">We agree and have moved this information, which was previously mentioned only in the Introduction, into the Discussion where it more directly informs interpretation of our effect sizes and null within-family findings. As reported in Deng et al. (2025), the PGSEXT used here explains up to approximately 10% of variance in a latent </w:t>
      </w:r>
      <w:r>
        <w:lastRenderedPageBreak/>
        <w:t>EXT factor across two held-out samples, with lower predictive performance for individual measured phenotypes; we now highlight this explicitly alongside our discussion of imprecise within-family estimates (see also our response to Reviewer 2, Comment 1).</w:t>
      </w:r>
    </w:p>
    <w:p w14:paraId="6726F485" w14:textId="77777777" w:rsidR="00416591" w:rsidRDefault="00DB445F">
      <w:pPr>
        <w:spacing w:after="200"/>
        <w:ind w:left="720"/>
      </w:pPr>
      <w:r>
        <w:rPr>
          <w:i/>
          <w:iCs/>
        </w:rPr>
        <w:t>"We note that the EXT polygenic score used here explains up to approximately 10% of the variance in a latent externalizing factor, with weaker prediction for individual measured phenotypes (Deng et al., 2025); this modest predictive power should be kept in mind when interpreting the size, and the absence, of associations reported here, particularly within the smaller family-based subsample." (</w:t>
      </w:r>
      <w:r>
        <w:rPr>
          <w:i/>
          <w:iCs/>
          <w:highlight w:val="yellow"/>
        </w:rPr>
        <w:t>revised Discussion, paragraph 2</w:t>
      </w:r>
      <w:r>
        <w:rPr>
          <w:i/>
          <w:iCs/>
        </w:rPr>
        <w:t>)</w:t>
      </w:r>
    </w:p>
    <w:p w14:paraId="594319AC" w14:textId="334AED3E" w:rsidR="00FD3226" w:rsidRDefault="00FD3226" w:rsidP="00FD3226">
      <w:pPr>
        <w:spacing w:after="200"/>
      </w:pPr>
      <w:r>
        <w:t>We also would like to note that the predictive power of EXT PGS was estimated in the Add Health sample in the seminal EXT GWAS paper.</w:t>
      </w:r>
    </w:p>
    <w:p w14:paraId="2937E13A" w14:textId="77777777" w:rsidR="009B7CB3" w:rsidRPr="009B7CB3" w:rsidRDefault="009B7CB3" w:rsidP="009B7CB3">
      <w:pPr>
        <w:spacing w:after="200"/>
        <w:rPr>
          <w:b/>
          <w:bCs/>
        </w:rPr>
      </w:pPr>
      <w:r w:rsidRPr="009B7CB3">
        <w:rPr>
          <w:b/>
          <w:bCs/>
        </w:rPr>
        <w:t>The paper rightly notes that GWAS signals may partly reflect active and evocative rGE, but GWAS can also capture passive rGE. I would suggest adding this to the discussion, as it is highly relevant to interpreting the PGS and the family-based results.</w:t>
      </w:r>
    </w:p>
    <w:p w14:paraId="2025A38A" w14:textId="77777777" w:rsidR="00416591" w:rsidRDefault="00DB445F">
      <w:pPr>
        <w:spacing w:after="200"/>
      </w:pPr>
      <w:r>
        <w:t>We agree this is an important nuance and have added it to the Discussion.</w:t>
      </w:r>
    </w:p>
    <w:p w14:paraId="5EFFB6F4" w14:textId="77777777" w:rsidR="00416591" w:rsidRDefault="00DB445F">
      <w:pPr>
        <w:spacing w:after="200"/>
        <w:ind w:left="720"/>
      </w:pPr>
      <w:r>
        <w:rPr>
          <w:i/>
          <w:iCs/>
        </w:rPr>
        <w:t>"In addition to capturing active and evocative rGE, GWAS summary statistics for adult behavioral phenotypes may also capture passive rGE — transmitted via correlated parent-offspring genotype-environment pathways. This is part of why we would expect PGS-environment associations observed at the population and between-family levels to be larger than, or partly attenuated at, the within-family level." (</w:t>
      </w:r>
      <w:r>
        <w:rPr>
          <w:i/>
          <w:iCs/>
          <w:highlight w:val="yellow"/>
        </w:rPr>
        <w:t>revised Discussion, paragraph 3</w:t>
      </w:r>
      <w:r>
        <w:rPr>
          <w:i/>
          <w:iCs/>
        </w:rPr>
        <w:t>)</w:t>
      </w:r>
    </w:p>
    <w:p w14:paraId="19ADFF77" w14:textId="77777777" w:rsidR="009B7CB3" w:rsidRPr="009B7CB3" w:rsidRDefault="009B7CB3" w:rsidP="009B7CB3">
      <w:pPr>
        <w:spacing w:after="200"/>
        <w:rPr>
          <w:b/>
          <w:bCs/>
        </w:rPr>
      </w:pPr>
      <w:r w:rsidRPr="009B7CB3">
        <w:rPr>
          <w:b/>
          <w:bCs/>
        </w:rPr>
        <w:t>I was not completely clear about how MZ twins were handled in the PGS analyses. Since MZ twins have the same PGS, they cannot contribute to within-family differences in PGS in the same way as DZ twins or full siblings. It would be useful to clarify whether MZ twins were included in the within-family analyses and, if so, how they were accounted for in the estimation.</w:t>
      </w:r>
    </w:p>
    <w:p w14:paraId="7DF81113" w14:textId="77777777" w:rsidR="00416591" w:rsidRDefault="00DB445F">
      <w:pPr>
        <w:spacing w:after="200"/>
      </w:pPr>
      <w:r>
        <w:t>This concern is the same as Reviewer 1's Comment 4, and we refer the reviewer to our response there. In brief, we will clarify in the Methods how MZ pairs were incorporated into the within-family estimation, report the composition of our analytic sample by pair type (MZ, DZ, full-sibling), report within-family PGS intraclass correlations by pair type, and provide a sensitivity analysis excluding MZ pairs.</w:t>
      </w:r>
    </w:p>
    <w:p w14:paraId="30B3F8C5" w14:textId="77777777" w:rsidR="00416591" w:rsidRDefault="00DB445F">
      <w:pPr>
        <w:spacing w:after="200"/>
      </w:pPr>
      <w:r>
        <w:rPr>
          <w:highlight w:val="yellow"/>
        </w:rPr>
        <w:t>[Placeholder: clarification of how MZ pairs were handled in the within-family PGS decomposition, and results of the MZ-excluded sensitivity analysis — see Reviewer 1, Comment 4.]</w:t>
      </w:r>
    </w:p>
    <w:p w14:paraId="505F60C9" w14:textId="77777777" w:rsidR="009B7CB3" w:rsidRPr="009B7CB3" w:rsidRDefault="009B7CB3" w:rsidP="009B7CB3">
      <w:pPr>
        <w:spacing w:after="200"/>
        <w:rPr>
          <w:b/>
          <w:bCs/>
        </w:rPr>
      </w:pPr>
      <w:r w:rsidRPr="009B7CB3">
        <w:rPr>
          <w:b/>
          <w:bCs/>
        </w:rPr>
        <w:t>Given known differences in PGS performance between ancestry groups, I would also suggest a sensitivity analysis restricted to individuals of European ancestry, or at least a clearer explanation of how ancestry was handled. This would help assess whether the pattern of findings is robust to ancestry-related differences in PGS prediction.</w:t>
      </w:r>
    </w:p>
    <w:p w14:paraId="63E18667" w14:textId="77777777" w:rsidR="00416591" w:rsidRDefault="00DB445F">
      <w:pPr>
        <w:spacing w:after="200"/>
      </w:pPr>
      <w:r>
        <w:t>We agree and will conduct a sensitivity analysis restricting the population, between-family, and within-family models to individuals in the European genetic-similarity group, which is our largest single group and thus likely to yield the best-powered ancestry-restricted estimates. This complements our response to Reviewer 1's Comment 5, in which we report PGS distributions and supplementary group-specific analyses across all four genetic-similarity groups. We have also clarified our ancestry-handling procedure in the Methods: PGSEXT was residualized on the first 20 genetic principal components and standardized within each genetic-similarity group, and genetic-similarity group was included as a covariate in our pooled analyses to maximize sample size.</w:t>
      </w:r>
    </w:p>
    <w:p w14:paraId="5DEE17ED" w14:textId="77777777" w:rsidR="00416591" w:rsidRDefault="00DB445F">
      <w:pPr>
        <w:spacing w:after="200"/>
      </w:pPr>
      <w:r>
        <w:rPr>
          <w:highlight w:val="yellow"/>
        </w:rPr>
        <w:t>[Placeholder: results of the sensitivity analysis restricted to the European genetic-similarity subsample, for the population, between-family, and within-family models.]</w:t>
      </w:r>
    </w:p>
    <w:p w14:paraId="1218B844" w14:textId="1ADEADE9" w:rsidR="00416591" w:rsidRDefault="009B7CB3">
      <w:pPr>
        <w:spacing w:after="200"/>
      </w:pPr>
      <w:r w:rsidRPr="009B7CB3">
        <w:rPr>
          <w:b/>
          <w:bCs/>
        </w:rPr>
        <w:t xml:space="preserve">The distinction between the population, between-family and within-family estimates could be clearer. The Methods state that multilevel models included effects at both the within- and between-family levels, but it would be helpful to specify exactly how PGSEXT was decomposed. For example, does the between-family effect reflect the family mean PGSEXT, with the within-family effect reflecting each sibling/twin's deviation from the family mean, or was an equivalent Mplus within/between specification used? This would also make Figure 2 easier to interpret. The estimates are almost identical for parental relationship, but for delinquent peer affiliation, the association appears largely between families and attenuates within families. This is an important contrast, but the interpretation depends on being very clear about how the </w:t>
      </w:r>
      <w:r w:rsidRPr="009B7CB3">
        <w:rPr>
          <w:b/>
          <w:bCs/>
        </w:rPr>
        <w:lastRenderedPageBreak/>
        <w:t>within- and between-family effects were derived and compared. The "Between-to-Within Differences" section would also benefit from clearer wording, as it</w:t>
      </w:r>
      <w:r>
        <w:rPr>
          <w:b/>
          <w:bCs/>
        </w:rPr>
        <w:t xml:space="preserve"> </w:t>
      </w:r>
      <w:r w:rsidRPr="009B7CB3">
        <w:rPr>
          <w:b/>
          <w:bCs/>
        </w:rPr>
        <w:t>is not immediately clear whether these are formal contrasts between slopes from the same model or comparisons across separate models.</w:t>
      </w:r>
      <w:r w:rsidRPr="009B7CB3">
        <w:rPr>
          <w:b/>
          <w:bCs/>
        </w:rPr>
        <w:br/>
      </w:r>
    </w:p>
    <w:p w14:paraId="5961C206" w14:textId="77777777" w:rsidR="00416591" w:rsidRDefault="00DB445F">
      <w:pPr>
        <w:spacing w:after="200"/>
      </w:pPr>
      <w:r>
        <w:t>We agree that our Methods description of the within/between decomposition was not sufficiently explicit, and we will revise this section to state precisely how PGSEXT was decomposed (e.g., whether the between-family component reflects the family-cluster mean PGSEXT and the within-family component reflects each twin/sibling's deviation from that family mean, consistent with a standard Mplus TYPE=TWOLEVEL specification), and whether the between-to-within contrast (Δβ) was estimated as a formal contrast within a single multilevel model (e.g., via a MODEL CONSTRAINT statement) or computed by differencing coefficients across separate models. We will state this unambiguously in the revised Methods, since it directly affects how the credible interval on Δβ should be interpreted.</w:t>
      </w:r>
    </w:p>
    <w:p w14:paraId="165D384C" w14:textId="3831CEAC" w:rsidR="005323EA" w:rsidRDefault="00DB445F">
      <w:pPr>
        <w:spacing w:after="200"/>
        <w:rPr>
          <w:highlight w:val="yellow"/>
        </w:rPr>
      </w:pPr>
      <w:r>
        <w:rPr>
          <w:highlight w:val="yellow"/>
        </w:rPr>
        <w:t>[Placeholder: exact specification confirming (a) whether the between-family component is the family-cluster mean PGS_EXT and the within-family component is each individual's deviation from that mean, and (b) whether the Δβ (between-to-within) contrast was estimated as a formal within-model constraint or as a difference across separately estimated models.]</w:t>
      </w:r>
    </w:p>
    <w:p w14:paraId="3E08171F" w14:textId="77777777" w:rsidR="008A09AE" w:rsidRDefault="008A09AE" w:rsidP="009B7CB3">
      <w:pPr>
        <w:widowControl/>
        <w:rPr>
          <w:highlight w:val="yellow"/>
        </w:rPr>
      </w:pPr>
    </w:p>
    <w:p w14:paraId="61ABD152" w14:textId="77777777" w:rsidR="008A09AE" w:rsidRDefault="008A09AE">
      <w:pPr>
        <w:widowControl/>
        <w:rPr>
          <w:highlight w:val="yellow"/>
        </w:rPr>
      </w:pPr>
      <w:r>
        <w:rPr>
          <w:highlight w:val="yellow"/>
        </w:rPr>
        <w:br w:type="page"/>
      </w:r>
    </w:p>
    <w:p w14:paraId="5A414680" w14:textId="77777777" w:rsidR="008A09AE" w:rsidRDefault="008A09AE" w:rsidP="009B7CB3">
      <w:pPr>
        <w:widowControl/>
        <w:rPr>
          <w:highlight w:val="yellow"/>
        </w:rPr>
      </w:pPr>
      <w:r>
        <w:rPr>
          <w:highlight w:val="yellow"/>
        </w:rPr>
        <w:lastRenderedPageBreak/>
        <w:t>Figures</w:t>
      </w:r>
    </w:p>
    <w:p w14:paraId="646379D3" w14:textId="0685F7AA" w:rsidR="008A09AE" w:rsidRDefault="008A09AE" w:rsidP="009B7CB3">
      <w:pPr>
        <w:widowControl/>
        <w:rPr>
          <w:highlight w:val="yellow"/>
        </w:rPr>
      </w:pPr>
      <w:r>
        <w:rPr>
          <w:highlight w:val="yellow"/>
        </w:rPr>
        <w:t>No mz</w:t>
      </w:r>
    </w:p>
    <w:p w14:paraId="7345CACB" w14:textId="77777777" w:rsidR="008A09AE" w:rsidRDefault="008A09AE" w:rsidP="009B7CB3">
      <w:pPr>
        <w:widowControl/>
      </w:pPr>
      <w:r>
        <w:rPr>
          <w:noProof/>
        </w:rPr>
        <w:drawing>
          <wp:inline distT="0" distB="0" distL="0" distR="0" wp14:anchorId="5536CFC5" wp14:editId="681BAD40">
            <wp:extent cx="5731510" cy="3239135"/>
            <wp:effectExtent l="0" t="0" r="2540" b="0"/>
            <wp:docPr id="122246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p>
    <w:p w14:paraId="26AD58B8" w14:textId="77777777" w:rsidR="008A09AE" w:rsidRDefault="008A09AE" w:rsidP="009B7CB3">
      <w:pPr>
        <w:widowControl/>
      </w:pPr>
    </w:p>
    <w:p w14:paraId="612A8B60" w14:textId="28EE5572" w:rsidR="00416591" w:rsidRDefault="008A09AE" w:rsidP="009B7CB3">
      <w:pPr>
        <w:widowControl/>
      </w:pPr>
      <w:r>
        <w:t>Eur</w:t>
      </w:r>
      <w:r>
        <w:rPr>
          <w:noProof/>
        </w:rPr>
        <w:drawing>
          <wp:inline distT="0" distB="0" distL="0" distR="0" wp14:anchorId="32CD903C" wp14:editId="5A50C829">
            <wp:extent cx="5731510" cy="3239135"/>
            <wp:effectExtent l="0" t="0" r="2540" b="0"/>
            <wp:docPr id="1476763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r w:rsidR="005323EA">
        <w:rPr>
          <w:highlight w:val="yellow"/>
        </w:rPr>
        <w:br w:type="page"/>
      </w:r>
    </w:p>
    <w:sectPr w:rsidR="0041659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C2293"/>
    <w:multiLevelType w:val="hybridMultilevel"/>
    <w:tmpl w:val="4DB0EC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660583"/>
    <w:multiLevelType w:val="hybridMultilevel"/>
    <w:tmpl w:val="93129820"/>
    <w:lvl w:ilvl="0" w:tplc="78D638BA">
      <w:start w:val="1"/>
      <w:numFmt w:val="bullet"/>
      <w:lvlText w:val="●"/>
      <w:lvlJc w:val="left"/>
      <w:pPr>
        <w:ind w:left="720" w:hanging="360"/>
      </w:pPr>
    </w:lvl>
    <w:lvl w:ilvl="1" w:tplc="8C38B20C">
      <w:start w:val="1"/>
      <w:numFmt w:val="bullet"/>
      <w:lvlText w:val="○"/>
      <w:lvlJc w:val="left"/>
      <w:pPr>
        <w:ind w:left="1440" w:hanging="360"/>
      </w:pPr>
    </w:lvl>
    <w:lvl w:ilvl="2" w:tplc="E668A212">
      <w:start w:val="1"/>
      <w:numFmt w:val="bullet"/>
      <w:lvlText w:val="■"/>
      <w:lvlJc w:val="left"/>
      <w:pPr>
        <w:ind w:left="2160" w:hanging="360"/>
      </w:pPr>
    </w:lvl>
    <w:lvl w:ilvl="3" w:tplc="1B608838">
      <w:start w:val="1"/>
      <w:numFmt w:val="bullet"/>
      <w:lvlText w:val="●"/>
      <w:lvlJc w:val="left"/>
      <w:pPr>
        <w:ind w:left="2880" w:hanging="360"/>
      </w:pPr>
    </w:lvl>
    <w:lvl w:ilvl="4" w:tplc="2B5002F2">
      <w:start w:val="1"/>
      <w:numFmt w:val="bullet"/>
      <w:lvlText w:val="○"/>
      <w:lvlJc w:val="left"/>
      <w:pPr>
        <w:ind w:left="3600" w:hanging="360"/>
      </w:pPr>
    </w:lvl>
    <w:lvl w:ilvl="5" w:tplc="3A740878">
      <w:start w:val="1"/>
      <w:numFmt w:val="bullet"/>
      <w:lvlText w:val="■"/>
      <w:lvlJc w:val="left"/>
      <w:pPr>
        <w:ind w:left="4320" w:hanging="360"/>
      </w:pPr>
    </w:lvl>
    <w:lvl w:ilvl="6" w:tplc="2EA4AC54">
      <w:start w:val="1"/>
      <w:numFmt w:val="bullet"/>
      <w:lvlText w:val="●"/>
      <w:lvlJc w:val="left"/>
      <w:pPr>
        <w:ind w:left="5040" w:hanging="360"/>
      </w:pPr>
    </w:lvl>
    <w:lvl w:ilvl="7" w:tplc="AA9EE186">
      <w:start w:val="1"/>
      <w:numFmt w:val="bullet"/>
      <w:lvlText w:val="●"/>
      <w:lvlJc w:val="left"/>
      <w:pPr>
        <w:ind w:left="5760" w:hanging="360"/>
      </w:pPr>
    </w:lvl>
    <w:lvl w:ilvl="8" w:tplc="896C7702">
      <w:start w:val="1"/>
      <w:numFmt w:val="bullet"/>
      <w:lvlText w:val="●"/>
      <w:lvlJc w:val="left"/>
      <w:pPr>
        <w:ind w:left="6480" w:hanging="360"/>
      </w:pPr>
    </w:lvl>
  </w:abstractNum>
  <w:num w:numId="1" w16cid:durableId="2090541440">
    <w:abstractNumId w:val="1"/>
    <w:lvlOverride w:ilvl="0">
      <w:startOverride w:val="1"/>
    </w:lvlOverride>
  </w:num>
  <w:num w:numId="2" w16cid:durableId="17921628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isplayBackgroundShape/>
  <w:bordersDoNotSurroundHeader/>
  <w:bordersDoNotSurroundFooter/>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6591"/>
    <w:rsid w:val="00065B40"/>
    <w:rsid w:val="000D0BEA"/>
    <w:rsid w:val="0012265D"/>
    <w:rsid w:val="001D191D"/>
    <w:rsid w:val="00286459"/>
    <w:rsid w:val="00384C07"/>
    <w:rsid w:val="00416591"/>
    <w:rsid w:val="005323EA"/>
    <w:rsid w:val="008271AC"/>
    <w:rsid w:val="008A09AE"/>
    <w:rsid w:val="008D630B"/>
    <w:rsid w:val="00937120"/>
    <w:rsid w:val="00947AC2"/>
    <w:rsid w:val="009B7CB3"/>
    <w:rsid w:val="00A74A88"/>
    <w:rsid w:val="00AA2795"/>
    <w:rsid w:val="00B11FC6"/>
    <w:rsid w:val="00B955D7"/>
    <w:rsid w:val="00DB445F"/>
    <w:rsid w:val="00DB715E"/>
    <w:rsid w:val="00DF3004"/>
    <w:rsid w:val="00E01C56"/>
    <w:rsid w:val="00F308D5"/>
    <w:rsid w:val="00FD32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5564C"/>
  <w15:docId w15:val="{03898B0B-FF17-4AFD-BB7D-D9E98185A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308D5"/>
    <w:rPr>
      <w:sz w:val="16"/>
      <w:szCs w:val="16"/>
    </w:rPr>
  </w:style>
  <w:style w:type="paragraph" w:styleId="CommentText">
    <w:name w:val="annotation text"/>
    <w:basedOn w:val="Normal"/>
    <w:link w:val="CommentTextChar"/>
    <w:uiPriority w:val="99"/>
    <w:unhideWhenUsed/>
    <w:rsid w:val="00F308D5"/>
  </w:style>
  <w:style w:type="character" w:customStyle="1" w:styleId="CommentTextChar">
    <w:name w:val="Comment Text Char"/>
    <w:basedOn w:val="DefaultParagraphFont"/>
    <w:link w:val="CommentText"/>
    <w:uiPriority w:val="99"/>
    <w:rsid w:val="00F308D5"/>
  </w:style>
  <w:style w:type="paragraph" w:styleId="CommentSubject">
    <w:name w:val="annotation subject"/>
    <w:basedOn w:val="CommentText"/>
    <w:next w:val="CommentText"/>
    <w:link w:val="CommentSubjectChar"/>
    <w:uiPriority w:val="99"/>
    <w:semiHidden/>
    <w:unhideWhenUsed/>
    <w:rsid w:val="00F308D5"/>
    <w:rPr>
      <w:b/>
      <w:bCs/>
    </w:rPr>
  </w:style>
  <w:style w:type="character" w:customStyle="1" w:styleId="CommentSubjectChar">
    <w:name w:val="Comment Subject Char"/>
    <w:basedOn w:val="CommentTextChar"/>
    <w:link w:val="CommentSubject"/>
    <w:uiPriority w:val="99"/>
    <w:semiHidden/>
    <w:rsid w:val="00F308D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4807</Words>
  <Characters>29134</Characters>
  <Application>Microsoft Office Word</Application>
  <DocSecurity>0</DocSecurity>
  <Lines>378</Lines>
  <Paragraphs>85</Paragraphs>
  <ScaleCrop>false</ScaleCrop>
  <Company/>
  <LinksUpToDate>false</LinksUpToDate>
  <CharactersWithSpaces>33856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lichen dong</cp:lastModifiedBy>
  <cp:revision>20</cp:revision>
  <dcterms:created xsi:type="dcterms:W3CDTF">2026-07-06T22:55:00Z</dcterms:created>
  <dcterms:modified xsi:type="dcterms:W3CDTF">2026-07-15T17:47:00Z</dcterms:modified>
</cp:coreProperties>
</file>