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E0904" w14:textId="241D4F18" w:rsidR="00B5007F" w:rsidRDefault="00B5007F" w:rsidP="00B5007F">
      <w:pPr>
        <w:rPr>
          <w:rFonts w:hint="eastAsia"/>
        </w:rPr>
      </w:pPr>
    </w:p>
    <w:p w14:paraId="2D8CC016" w14:textId="77777777" w:rsidR="00B5007F" w:rsidRDefault="00B5007F" w:rsidP="00B5007F">
      <w:pPr>
        <w:pStyle w:val="2"/>
        <w:rPr>
          <w:rFonts w:hint="eastAsia"/>
        </w:rPr>
      </w:pPr>
      <w:r>
        <w:t>实验设计总体思路</w:t>
      </w:r>
    </w:p>
    <w:p w14:paraId="50783C56" w14:textId="77777777" w:rsidR="00E278A2" w:rsidRDefault="00E278A2" w:rsidP="00E278A2">
      <w:pPr>
        <w:pStyle w:val="af2"/>
      </w:pPr>
      <w:r>
        <w:t>本章实验旨在系统性验证所提出方法在不同退化场景下的有效性与鲁棒性。围绕方法设计中的关键思想，实验验证主要聚焦于以下三个核心问题：</w:t>
      </w:r>
      <w:r>
        <w:br/>
        <w:t>（1）局部梯度能量（Local Gradient Energy, LGE）是否能够在弱纹理场景中有效增强图像区域的几何可观测性，从而缓解特征与光度信息不足导致的建图退化问题；</w:t>
      </w:r>
      <w:r>
        <w:br/>
        <w:t>（2）基于语义分割的动态目标建模是否能够显式抑制动态区域对多视几何约束的破坏，进而提升相机位姿估计与地图构建的稳定性；</w:t>
      </w:r>
      <w:r>
        <w:br/>
        <w:t>（3）局部梯度能量与语义分割两种机制是否在复杂真实环境中形成互补作用，从而进一步提升系统在弱纹理与动态场景并存条件下的整体鲁棒性。</w:t>
      </w:r>
    </w:p>
    <w:p w14:paraId="2FAF9D8A" w14:textId="77777777" w:rsidR="00E278A2" w:rsidRDefault="00E278A2" w:rsidP="00E278A2">
      <w:pPr>
        <w:pStyle w:val="af2"/>
      </w:pPr>
      <w:r>
        <w:t>为回答上述问题，实验采用</w:t>
      </w:r>
      <w:r>
        <w:rPr>
          <w:rStyle w:val="af3"/>
        </w:rPr>
        <w:t>对照实验、消融实验以及联合验证</w:t>
      </w:r>
      <w:r>
        <w:t>相结合的方式展开。通过在统一实验条件下逐步引入局部梯度能量加权与语义感知建模模块，并对比不同模块组合下系统性能的变化，全面评估各组成部分对建图质量与位姿估计精度的影响。该实验设计不仅能够验证各子模块的独立有效性，还能够进一步分析其在复杂场景中的协同增益，从而为所提出方法的整体合理性与实用价值提供充分的实验支撑。</w:t>
      </w:r>
    </w:p>
    <w:p w14:paraId="77B307A1" w14:textId="4A702D7C" w:rsidR="00B5007F" w:rsidRPr="00E278A2" w:rsidRDefault="00B5007F" w:rsidP="00B5007F">
      <w:pPr>
        <w:rPr>
          <w:rFonts w:hint="eastAsia"/>
        </w:rPr>
      </w:pPr>
    </w:p>
    <w:p w14:paraId="2A38B090" w14:textId="77777777" w:rsidR="00B5007F" w:rsidRDefault="00B5007F" w:rsidP="00B5007F">
      <w:pPr>
        <w:pStyle w:val="2"/>
        <w:rPr>
          <w:rFonts w:hint="eastAsia"/>
        </w:rPr>
      </w:pPr>
      <w:r>
        <w:t>实验大纲结构（推荐用于论文）</w:t>
      </w:r>
    </w:p>
    <w:p w14:paraId="5BDA4E91" w14:textId="77777777" w:rsidR="00B5007F" w:rsidRDefault="00B5007F" w:rsidP="00B5007F">
      <w:pPr>
        <w:pStyle w:val="3"/>
        <w:rPr>
          <w:rFonts w:hint="eastAsia"/>
        </w:rPr>
      </w:pPr>
      <w:r>
        <w:t>第 X 章 实验与结果分析</w:t>
      </w:r>
    </w:p>
    <w:p w14:paraId="6104EABD" w14:textId="77777777" w:rsidR="00B5007F" w:rsidRDefault="00000000" w:rsidP="00B5007F">
      <w:pPr>
        <w:rPr>
          <w:rFonts w:hint="eastAsia"/>
        </w:rPr>
      </w:pPr>
      <w:r>
        <w:pict w14:anchorId="0306987C">
          <v:rect id="_x0000_i1025" style="width:0;height:1.5pt" o:hralign="center" o:hrstd="t" o:hr="t" fillcolor="#a0a0a0" stroked="f"/>
        </w:pict>
      </w:r>
    </w:p>
    <w:p w14:paraId="14AE3B3D" w14:textId="77777777" w:rsidR="00B5007F" w:rsidRDefault="00B5007F" w:rsidP="00B5007F">
      <w:pPr>
        <w:pStyle w:val="3"/>
        <w:rPr>
          <w:rFonts w:hint="eastAsia"/>
        </w:rPr>
      </w:pPr>
      <w:r>
        <w:t>X.1 实验平台与实现细节</w:t>
      </w:r>
    </w:p>
    <w:p w14:paraId="7B23602F" w14:textId="77777777" w:rsidR="00B5007F" w:rsidRDefault="00B5007F" w:rsidP="00B5007F">
      <w:pPr>
        <w:pStyle w:val="af2"/>
        <w:numPr>
          <w:ilvl w:val="0"/>
          <w:numId w:val="2"/>
        </w:numPr>
        <w:rPr>
          <w:rFonts w:hint="eastAsia"/>
        </w:rPr>
      </w:pPr>
      <w:r>
        <w:rPr>
          <w:rStyle w:val="af3"/>
        </w:rPr>
        <w:t>系统框架</w:t>
      </w:r>
    </w:p>
    <w:p w14:paraId="172DE0CA" w14:textId="77777777" w:rsidR="00B5007F" w:rsidRDefault="00B5007F" w:rsidP="00B5007F">
      <w:pPr>
        <w:pStyle w:val="af2"/>
        <w:numPr>
          <w:ilvl w:val="1"/>
          <w:numId w:val="2"/>
        </w:numPr>
        <w:rPr>
          <w:rFonts w:hint="eastAsia"/>
        </w:rPr>
      </w:pPr>
      <w:r>
        <w:t>基线系统：ORB-SLAM2（或 DSO / 自定义直接法）</w:t>
      </w:r>
    </w:p>
    <w:p w14:paraId="561566A5" w14:textId="77777777" w:rsidR="00B5007F" w:rsidRDefault="00B5007F" w:rsidP="00B5007F">
      <w:pPr>
        <w:pStyle w:val="af2"/>
        <w:numPr>
          <w:ilvl w:val="1"/>
          <w:numId w:val="2"/>
        </w:numPr>
        <w:rPr>
          <w:rFonts w:hint="eastAsia"/>
        </w:rPr>
      </w:pPr>
      <w:r>
        <w:t>扩展模块：</w:t>
      </w:r>
    </w:p>
    <w:p w14:paraId="0E0FA9CD" w14:textId="77777777" w:rsidR="00B5007F" w:rsidRDefault="00B5007F" w:rsidP="00B5007F">
      <w:pPr>
        <w:pStyle w:val="af2"/>
        <w:numPr>
          <w:ilvl w:val="2"/>
          <w:numId w:val="2"/>
        </w:numPr>
        <w:rPr>
          <w:rFonts w:hint="eastAsia"/>
        </w:rPr>
      </w:pPr>
      <w:r>
        <w:t>局部梯度能量加权光度建图</w:t>
      </w:r>
    </w:p>
    <w:p w14:paraId="09F1D97E" w14:textId="77777777" w:rsidR="00B5007F" w:rsidRDefault="00B5007F" w:rsidP="00B5007F">
      <w:pPr>
        <w:pStyle w:val="af2"/>
        <w:numPr>
          <w:ilvl w:val="2"/>
          <w:numId w:val="2"/>
        </w:numPr>
        <w:rPr>
          <w:rFonts w:hint="eastAsia"/>
        </w:rPr>
      </w:pPr>
      <w:r>
        <w:t>语义感知动态抑制建图</w:t>
      </w:r>
    </w:p>
    <w:p w14:paraId="1E317D35" w14:textId="77777777" w:rsidR="00B5007F" w:rsidRDefault="00B5007F" w:rsidP="00B5007F">
      <w:pPr>
        <w:pStyle w:val="af2"/>
        <w:numPr>
          <w:ilvl w:val="0"/>
          <w:numId w:val="2"/>
        </w:numPr>
        <w:rPr>
          <w:rFonts w:hint="eastAsia"/>
        </w:rPr>
      </w:pPr>
      <w:r>
        <w:rPr>
          <w:rStyle w:val="af3"/>
        </w:rPr>
        <w:t>硬件与软件环境</w:t>
      </w:r>
    </w:p>
    <w:p w14:paraId="6B9D2A33" w14:textId="77777777" w:rsidR="00B5007F" w:rsidRDefault="00B5007F" w:rsidP="00B5007F">
      <w:pPr>
        <w:pStyle w:val="af2"/>
        <w:numPr>
          <w:ilvl w:val="1"/>
          <w:numId w:val="2"/>
        </w:numPr>
        <w:rPr>
          <w:rFonts w:hint="eastAsia"/>
        </w:rPr>
      </w:pPr>
      <w:r>
        <w:t>CPU / GPU</w:t>
      </w:r>
    </w:p>
    <w:p w14:paraId="0768DF77" w14:textId="77777777" w:rsidR="00B5007F" w:rsidRDefault="00B5007F" w:rsidP="00B5007F">
      <w:pPr>
        <w:pStyle w:val="af2"/>
        <w:numPr>
          <w:ilvl w:val="1"/>
          <w:numId w:val="2"/>
        </w:numPr>
        <w:rPr>
          <w:rFonts w:hint="eastAsia"/>
        </w:rPr>
      </w:pPr>
      <w:r>
        <w:t>Ubuntu 版本</w:t>
      </w:r>
    </w:p>
    <w:p w14:paraId="5D51924C" w14:textId="77777777" w:rsidR="00B5007F" w:rsidRDefault="00B5007F" w:rsidP="00B5007F">
      <w:pPr>
        <w:pStyle w:val="af2"/>
        <w:numPr>
          <w:ilvl w:val="1"/>
          <w:numId w:val="2"/>
        </w:numPr>
        <w:rPr>
          <w:rFonts w:hint="eastAsia"/>
        </w:rPr>
      </w:pPr>
      <w:r>
        <w:t>ROS / 非 ROS</w:t>
      </w:r>
    </w:p>
    <w:p w14:paraId="1D66650C" w14:textId="77777777" w:rsidR="00B5007F" w:rsidRDefault="00B5007F" w:rsidP="00B5007F">
      <w:pPr>
        <w:pStyle w:val="af2"/>
        <w:numPr>
          <w:ilvl w:val="0"/>
          <w:numId w:val="2"/>
        </w:numPr>
        <w:rPr>
          <w:rFonts w:hint="eastAsia"/>
        </w:rPr>
      </w:pPr>
      <w:r>
        <w:rPr>
          <w:rStyle w:val="af3"/>
        </w:rPr>
        <w:t>语义分割网络</w:t>
      </w:r>
    </w:p>
    <w:p w14:paraId="7C3F455D" w14:textId="77777777" w:rsidR="00B5007F" w:rsidRDefault="00B5007F" w:rsidP="00B5007F">
      <w:pPr>
        <w:pStyle w:val="af2"/>
        <w:numPr>
          <w:ilvl w:val="1"/>
          <w:numId w:val="2"/>
        </w:numPr>
        <w:rPr>
          <w:rFonts w:hint="eastAsia"/>
        </w:rPr>
      </w:pPr>
      <w:r>
        <w:t>网络结构（如 DeepLab / YOLOv8-Seg）</w:t>
      </w:r>
    </w:p>
    <w:p w14:paraId="2254EFFB" w14:textId="77777777" w:rsidR="00B5007F" w:rsidRDefault="00B5007F" w:rsidP="00B5007F">
      <w:pPr>
        <w:pStyle w:val="af2"/>
        <w:numPr>
          <w:ilvl w:val="1"/>
          <w:numId w:val="2"/>
        </w:numPr>
        <w:rPr>
          <w:rFonts w:hint="eastAsia"/>
        </w:rPr>
      </w:pPr>
      <w:r>
        <w:t>推理频率与输入分辨率</w:t>
      </w:r>
    </w:p>
    <w:p w14:paraId="2F8738F1" w14:textId="77777777" w:rsidR="00B5007F" w:rsidRDefault="00B5007F" w:rsidP="00B5007F">
      <w:pPr>
        <w:pStyle w:val="af2"/>
        <w:numPr>
          <w:ilvl w:val="0"/>
          <w:numId w:val="2"/>
        </w:numPr>
        <w:rPr>
          <w:rFonts w:hint="eastAsia"/>
        </w:rPr>
      </w:pPr>
      <w:r>
        <w:rPr>
          <w:rStyle w:val="af3"/>
        </w:rPr>
        <w:lastRenderedPageBreak/>
        <w:t>参数设置</w:t>
      </w:r>
    </w:p>
    <w:p w14:paraId="71A03756" w14:textId="77777777" w:rsidR="00B5007F" w:rsidRDefault="00B5007F" w:rsidP="00B5007F">
      <w:pPr>
        <w:pStyle w:val="af2"/>
        <w:numPr>
          <w:ilvl w:val="1"/>
          <w:numId w:val="2"/>
        </w:numPr>
        <w:rPr>
          <w:rFonts w:hint="eastAsia"/>
        </w:rPr>
      </w:pPr>
      <w:r>
        <w:t>LGE 窗口大小 Ω</w:t>
      </w:r>
    </w:p>
    <w:p w14:paraId="2A77CA84" w14:textId="77777777" w:rsidR="00B5007F" w:rsidRDefault="00B5007F" w:rsidP="00B5007F">
      <w:pPr>
        <w:pStyle w:val="af2"/>
        <w:numPr>
          <w:ilvl w:val="1"/>
          <w:numId w:val="2"/>
        </w:numPr>
        <w:rPr>
          <w:rFonts w:hint="eastAsia"/>
        </w:rPr>
      </w:pPr>
      <w:r>
        <w:t>ε、τ_sem 等关键阈值</w:t>
      </w:r>
    </w:p>
    <w:p w14:paraId="50A0EF90" w14:textId="77777777" w:rsidR="00B5007F" w:rsidRDefault="00B5007F" w:rsidP="00B5007F">
      <w:pPr>
        <w:pStyle w:val="af2"/>
        <w:rPr>
          <w:rFonts w:hint="eastAsia"/>
        </w:rPr>
      </w:pPr>
      <w:r>
        <w:t>目的：保证实验可复现，参数来源清晰。</w:t>
      </w:r>
    </w:p>
    <w:p w14:paraId="49133756" w14:textId="77777777" w:rsidR="00B5007F" w:rsidRDefault="00000000" w:rsidP="00B5007F">
      <w:pPr>
        <w:rPr>
          <w:rFonts w:hint="eastAsia"/>
        </w:rPr>
      </w:pPr>
      <w:r>
        <w:pict w14:anchorId="2F146EEA">
          <v:rect id="_x0000_i1026" style="width:0;height:1.5pt" o:hralign="center" o:hrstd="t" o:hr="t" fillcolor="#a0a0a0" stroked="f"/>
        </w:pict>
      </w:r>
    </w:p>
    <w:p w14:paraId="013EB7C9" w14:textId="77777777" w:rsidR="00B5007F" w:rsidRDefault="00B5007F" w:rsidP="00B5007F">
      <w:pPr>
        <w:pStyle w:val="3"/>
        <w:rPr>
          <w:rFonts w:hint="eastAsia"/>
        </w:rPr>
      </w:pPr>
      <w:r>
        <w:t>X.2 数据集与场景划分</w:t>
      </w:r>
    </w:p>
    <w:p w14:paraId="5E1D4FD1" w14:textId="77777777" w:rsidR="00B5007F" w:rsidRDefault="00B5007F" w:rsidP="00B5007F">
      <w:pPr>
        <w:pStyle w:val="4"/>
        <w:rPr>
          <w:rFonts w:hint="eastAsia"/>
        </w:rPr>
      </w:pPr>
      <w:r>
        <w:t>X.2.1 弱纹理场景数据集（验证 LGE）</w:t>
      </w:r>
    </w:p>
    <w:p w14:paraId="25C0FBD3" w14:textId="77777777" w:rsidR="00E278A2" w:rsidRDefault="00E278A2" w:rsidP="00E278A2">
      <w:pPr>
        <w:pStyle w:val="af2"/>
      </w:pPr>
      <w:r>
        <w:t>为验证所提出方法在弱纹理条件下的建图鲁棒性，实验选取以</w:t>
      </w:r>
      <w:r>
        <w:rPr>
          <w:rStyle w:val="af3"/>
        </w:rPr>
        <w:t>结构简单、纹理信息稀缺</w:t>
      </w:r>
      <w:r>
        <w:t>为主要特征的典型场景进行评估。此类场景通常包含大面积平坦区域，局部灰度变化有限，容易导致基于特征或光度的方法出现几何约束退化，具有较强的挑战性。具体而言，所选弱纹理场景主要包括：室内走廊与白墙环境、地面或天花板占据主要视野的场景，以及以大尺度平面结构为主、重复纹理较少的室内空间。</w:t>
      </w:r>
    </w:p>
    <w:p w14:paraId="7789A34B" w14:textId="77777777" w:rsidR="00E278A2" w:rsidRDefault="00E278A2" w:rsidP="00E278A2">
      <w:pPr>
        <w:pStyle w:val="af2"/>
      </w:pPr>
      <w:r>
        <w:t>在数据集选择方面，实验主要采用以下公开数据集与自采集数据进行验证：</w:t>
      </w:r>
      <w:r>
        <w:br/>
        <w:t>（1）</w:t>
      </w:r>
      <w:r>
        <w:rPr>
          <w:rStyle w:val="af3"/>
        </w:rPr>
        <w:t>TUM RGB-D 数据集</w:t>
      </w:r>
      <w:r>
        <w:t xml:space="preserve">中的 </w:t>
      </w:r>
      <w:r>
        <w:rPr>
          <w:rStyle w:val="af4"/>
        </w:rPr>
        <w:t>fr3_structure_notexture</w:t>
      </w:r>
      <w:r>
        <w:t xml:space="preserve"> 序列，该序列包含大面积弱纹理结构，是评估弱纹理场景下建图与位姿估计性能的经典基准；</w:t>
      </w:r>
      <w:r>
        <w:br/>
        <w:t>（2）</w:t>
      </w:r>
      <w:r>
        <w:rPr>
          <w:rStyle w:val="af3"/>
        </w:rPr>
        <w:t>EuRoC MAV 数据集</w:t>
      </w:r>
      <w:r>
        <w:t xml:space="preserve">中的 </w:t>
      </w:r>
      <w:r>
        <w:rPr>
          <w:rStyle w:val="af4"/>
        </w:rPr>
        <w:t>V1_01_easy</w:t>
      </w:r>
      <w:r>
        <w:t xml:space="preserve"> 序列的部分片段，其中包含走廊与结构单一的室内区域，可用于验证方法在低纹理飞行环境中的稳定性；</w:t>
      </w:r>
      <w:r>
        <w:br/>
        <w:t>（3）</w:t>
      </w:r>
      <w:r>
        <w:rPr>
          <w:rStyle w:val="af3"/>
        </w:rPr>
        <w:t>自采集弱纹理序列</w:t>
      </w:r>
      <w:r>
        <w:t>，用于进一步验证所提出方法在真实复杂环境中的泛化能力与实用性。</w:t>
      </w:r>
    </w:p>
    <w:p w14:paraId="764A65AF" w14:textId="77777777" w:rsidR="00E278A2" w:rsidRDefault="00E278A2" w:rsidP="00E278A2">
      <w:pPr>
        <w:pStyle w:val="af2"/>
      </w:pPr>
      <w:r>
        <w:t>通过在上述弱纹理场景下的系统性对比实验，可以有效评估局部梯度能量加权机制在增强几何可观测性、缓解建图退化方面的实际效果。</w:t>
      </w:r>
    </w:p>
    <w:p w14:paraId="64924357" w14:textId="77777777" w:rsidR="00F95B83" w:rsidRDefault="00F95B83" w:rsidP="00E278A2">
      <w:pPr>
        <w:pStyle w:val="af2"/>
      </w:pPr>
    </w:p>
    <w:p w14:paraId="3BC12ADC" w14:textId="77777777" w:rsidR="00F95B83" w:rsidRDefault="00F95B83" w:rsidP="00E278A2">
      <w:pPr>
        <w:pStyle w:val="af2"/>
      </w:pPr>
    </w:p>
    <w:p w14:paraId="257DE622" w14:textId="77777777" w:rsidR="00F95B83" w:rsidRDefault="00F95B83" w:rsidP="00E278A2">
      <w:pPr>
        <w:pStyle w:val="af2"/>
      </w:pPr>
    </w:p>
    <w:p w14:paraId="148647FF" w14:textId="77777777" w:rsidR="00F95B83" w:rsidRDefault="00F95B83" w:rsidP="00E278A2">
      <w:pPr>
        <w:pStyle w:val="af2"/>
      </w:pPr>
    </w:p>
    <w:p w14:paraId="461914B4" w14:textId="77777777" w:rsidR="00F95B83" w:rsidRDefault="00F95B83" w:rsidP="00E278A2">
      <w:pPr>
        <w:pStyle w:val="af2"/>
      </w:pPr>
    </w:p>
    <w:p w14:paraId="5D08F072" w14:textId="77777777" w:rsidR="00F95B83" w:rsidRDefault="00F95B83" w:rsidP="00E278A2">
      <w:pPr>
        <w:pStyle w:val="af2"/>
        <w:rPr>
          <w:rFonts w:hint="eastAsia"/>
        </w:rPr>
      </w:pPr>
    </w:p>
    <w:p w14:paraId="7721BE06" w14:textId="77777777" w:rsidR="00B5007F" w:rsidRDefault="00B5007F" w:rsidP="00B5007F">
      <w:pPr>
        <w:pStyle w:val="4"/>
        <w:rPr>
          <w:rFonts w:hint="eastAsia"/>
        </w:rPr>
      </w:pPr>
      <w:r>
        <w:lastRenderedPageBreak/>
        <w:t>X.2.2 动态场景数据集（验证语义分割）</w:t>
      </w:r>
    </w:p>
    <w:p w14:paraId="1DE00619" w14:textId="77777777" w:rsidR="00F95B83" w:rsidRDefault="00F95B83" w:rsidP="00F95B83">
      <w:pPr>
        <w:pStyle w:val="af2"/>
      </w:pPr>
      <w:r>
        <w:t>为评估所提出语义感知建图方法在</w:t>
      </w:r>
      <w:r>
        <w:rPr>
          <w:rStyle w:val="af3"/>
        </w:rPr>
        <w:t>动态复杂环境</w:t>
      </w:r>
      <w:r>
        <w:t>中的鲁棒性，实验选取包含大量运动目标的典型场景进行验证。此类场景中常见行人、车辆等动态物体频繁出现，伴随遮挡与视野变化，对多视几何约束与光度一致性建模提出了更高要求，能够充分考验系统在动态干扰条件下的稳定性与建图一致性。</w:t>
      </w:r>
    </w:p>
    <w:p w14:paraId="3656ABF3" w14:textId="77777777" w:rsidR="00F95B83" w:rsidRDefault="00F95B83" w:rsidP="00F95B83">
      <w:pPr>
        <w:pStyle w:val="af2"/>
      </w:pPr>
      <w:r>
        <w:t>具体而言，所选动态场景主要包括以下类型：行人密集出现的室内或室外环境、车辆频繁穿行的城市场景，以及存在显著动态遮挡的复杂场景。这些场景中动态目标通常占据较大视野比例，且运动模式多样，容易导致传统 SLAM 方法出现误匹配、位姿漂移或地图结构破坏。</w:t>
      </w:r>
    </w:p>
    <w:p w14:paraId="360F4BF7" w14:textId="77777777" w:rsidR="00F95B83" w:rsidRDefault="00F95B83" w:rsidP="00F95B83">
      <w:pPr>
        <w:pStyle w:val="af2"/>
      </w:pPr>
      <w:r>
        <w:t>在数据集选择方面，实验采用以下具有代表性的公开数据集与自采集序列进行综合评估：</w:t>
      </w:r>
      <w:r>
        <w:br/>
        <w:t>（1）</w:t>
      </w:r>
      <w:r>
        <w:rPr>
          <w:rStyle w:val="af3"/>
        </w:rPr>
        <w:t>TUM RGB-D 数据集</w:t>
      </w:r>
      <w:r>
        <w:t>中的动态序列（dynamic sequences），该数据集包含多种行人干扰场景，是验证动态抑制能力的经典基准；</w:t>
      </w:r>
      <w:r>
        <w:br/>
        <w:t>（2）</w:t>
      </w:r>
      <w:r>
        <w:rPr>
          <w:rStyle w:val="af3"/>
        </w:rPr>
        <w:t>KITTI 数据集</w:t>
      </w:r>
      <w:r>
        <w:t>中的城市场景序列，包含大量车辆与行人运动，适合评估方法在室外大规模动态环境中的适应性；</w:t>
      </w:r>
      <w:r>
        <w:br/>
        <w:t>（3）</w:t>
      </w:r>
      <w:r>
        <w:rPr>
          <w:rStyle w:val="af3"/>
        </w:rPr>
        <w:t>自采集动态室内场景数据</w:t>
      </w:r>
      <w:r>
        <w:t>，用于进一步验证所提出方法在真实应用场景中的泛化能力与鲁棒性。</w:t>
      </w:r>
    </w:p>
    <w:p w14:paraId="03E20F89" w14:textId="77777777" w:rsidR="00F95B83" w:rsidRDefault="00F95B83" w:rsidP="00F95B83">
      <w:pPr>
        <w:pStyle w:val="af2"/>
      </w:pPr>
      <w:r>
        <w:t>通过在上述动态场景中的系统性实验对比，可以全面分析语义分割引入后对动态目标干扰的抑制效果，以及其对位姿估计精度与地图稳定性的实际提升。</w:t>
      </w:r>
    </w:p>
    <w:p w14:paraId="16B91E57" w14:textId="77777777" w:rsidR="00B5007F" w:rsidRDefault="00000000" w:rsidP="00B5007F">
      <w:pPr>
        <w:rPr>
          <w:rFonts w:hint="eastAsia"/>
        </w:rPr>
      </w:pPr>
      <w:r>
        <w:pict w14:anchorId="3DEFE4BF">
          <v:rect id="_x0000_i1027" style="width:0;height:1.5pt" o:hralign="center" o:hrstd="t" o:hr="t" fillcolor="#a0a0a0" stroked="f"/>
        </w:pict>
      </w:r>
    </w:p>
    <w:p w14:paraId="56CD9D29" w14:textId="77777777" w:rsidR="00B5007F" w:rsidRDefault="00B5007F" w:rsidP="00B5007F">
      <w:pPr>
        <w:pStyle w:val="3"/>
        <w:rPr>
          <w:rFonts w:hint="eastAsia"/>
        </w:rPr>
      </w:pPr>
      <w:r>
        <w:t>X.3 局部梯度能量（LGE）模块验证实验</w:t>
      </w:r>
    </w:p>
    <w:p w14:paraId="29131885" w14:textId="77777777" w:rsidR="00B5007F" w:rsidRDefault="00B5007F" w:rsidP="00B5007F">
      <w:pPr>
        <w:pStyle w:val="4"/>
        <w:rPr>
          <w:rFonts w:hint="eastAsia"/>
        </w:rPr>
      </w:pPr>
      <w:r>
        <w:t>X.3.1 实验设置（对照实验）</w:t>
      </w:r>
    </w:p>
    <w:p w14:paraId="75D7D2DB" w14:textId="77777777" w:rsidR="003D434D" w:rsidRDefault="003D434D" w:rsidP="003D434D">
      <w:pPr>
        <w:pStyle w:val="af2"/>
      </w:pPr>
      <w:r>
        <w:t>为验证局部梯度能量加权机制在弱纹理场景下的有效性，实验设置多组对比方法进行评估。具体对比方法包括：</w:t>
      </w:r>
      <w:r>
        <w:br/>
        <w:t>（1）</w:t>
      </w:r>
      <w:r>
        <w:rPr>
          <w:rStyle w:val="af3"/>
        </w:rPr>
        <w:t>Baseline 方法</w:t>
      </w:r>
      <w:r>
        <w:t>，不引入光度一致性约束与局部梯度能量权重，仅依赖原有几何或特征约束进行建图与位姿估计；</w:t>
      </w:r>
      <w:r>
        <w:br/>
        <w:t>（2）</w:t>
      </w:r>
      <w:r>
        <w:rPr>
          <w:rStyle w:val="af3"/>
        </w:rPr>
        <w:t>Photometric 方法</w:t>
      </w:r>
      <w:r>
        <w:t>，在基线系统基础上引入标准光度一致性建模，通过最小化像素级光度残差进行优化，但未对不同区域的结构信息进行区分；</w:t>
      </w:r>
      <w:r>
        <w:br/>
        <w:t>（3）</w:t>
      </w:r>
      <w:r>
        <w:rPr>
          <w:rStyle w:val="af3"/>
        </w:rPr>
        <w:t>Photometric + LGE 方法</w:t>
      </w:r>
      <w:r>
        <w:t>，即本文提出的方法，在光度一致性建模的基础上进一步引入局部梯度能量作为残差权重，对弱纹理区域的几何可观测性进行增强。</w:t>
      </w:r>
    </w:p>
    <w:p w14:paraId="73C11E3B" w14:textId="77777777" w:rsidR="003D434D" w:rsidRDefault="003D434D" w:rsidP="003D434D">
      <w:pPr>
        <w:pStyle w:val="af2"/>
      </w:pPr>
      <w:r>
        <w:t>为确保实验对比的公平性与可重复性，所有对比方法在实验中均保持以下设置一致：</w:t>
      </w:r>
      <w:r>
        <w:br/>
        <w:t>（1）采用相同的特征提取与匹配策略，避免因前端差异对实验结果产生影响；</w:t>
      </w:r>
      <w:r>
        <w:br/>
      </w:r>
      <w:r>
        <w:lastRenderedPageBreak/>
        <w:t>（2）采用相同的优化框架与求解策略，包括优化变量、迭代次数及终止条件等，确保性能差异仅来源于所引入的建模机制本身。</w:t>
      </w:r>
    </w:p>
    <w:p w14:paraId="52B1B53E" w14:textId="77777777" w:rsidR="003D434D" w:rsidRDefault="003D434D" w:rsidP="003D434D">
      <w:pPr>
        <w:pStyle w:val="af2"/>
      </w:pPr>
      <w:r>
        <w:t>通过在统一实验条件下对上述方法进行系统对比，可以客观评估局部梯度能量加权策略在弱纹理场景中对建图稳定性与位姿估计精度的提升效果。</w:t>
      </w:r>
    </w:p>
    <w:p w14:paraId="172E5460" w14:textId="77777777" w:rsidR="00B5007F" w:rsidRDefault="00B5007F" w:rsidP="00B5007F">
      <w:pPr>
        <w:pStyle w:val="4"/>
        <w:rPr>
          <w:rFonts w:hint="eastAsia"/>
        </w:rPr>
      </w:pPr>
      <w:r>
        <w:t>X.3.2 定量评价指标</w:t>
      </w:r>
    </w:p>
    <w:p w14:paraId="00613BBC" w14:textId="77777777" w:rsidR="003D434D" w:rsidRDefault="003D434D" w:rsidP="003D434D">
      <w:pPr>
        <w:pStyle w:val="af2"/>
      </w:pPr>
      <w:r>
        <w:t>为全面评估所提出方法在不同场景下的性能表现，实验从</w:t>
      </w:r>
      <w:r>
        <w:rPr>
          <w:rStyle w:val="af3"/>
        </w:rPr>
        <w:t>位姿估计精度、建图质量以及系统运行稳定性</w:t>
      </w:r>
      <w:r>
        <w:t>三个方面对各对比方法进行定量分析。</w:t>
      </w:r>
    </w:p>
    <w:p w14:paraId="2D3D409D" w14:textId="77777777" w:rsidR="003D434D" w:rsidRDefault="003D434D" w:rsidP="003D434D">
      <w:pPr>
        <w:pStyle w:val="af2"/>
      </w:pPr>
      <w:r>
        <w:rPr>
          <w:rStyle w:val="af3"/>
        </w:rPr>
        <w:t>（1）位姿估计精度</w:t>
      </w:r>
      <w:r>
        <w:br/>
        <w:t>位姿精度用于衡量系统对相机运动轨迹的估计准确性，实验采用以下两种常用指标进行评估：</w:t>
      </w:r>
    </w:p>
    <w:p w14:paraId="21E48C0C" w14:textId="77777777" w:rsidR="003D434D" w:rsidRDefault="003D434D" w:rsidP="003D434D">
      <w:pPr>
        <w:pStyle w:val="af2"/>
        <w:numPr>
          <w:ilvl w:val="0"/>
          <w:numId w:val="20"/>
        </w:numPr>
      </w:pPr>
      <w:r>
        <w:rPr>
          <w:rStyle w:val="af3"/>
        </w:rPr>
        <w:t>绝对轨迹误差（Absolute Trajectory Error, ATE）</w:t>
      </w:r>
      <w:r>
        <w:t>，用于衡量估计轨迹与真实轨迹在全局坐标系下的偏差，反映系统的整体定位精度；</w:t>
      </w:r>
    </w:p>
    <w:p w14:paraId="57DD7562" w14:textId="77777777" w:rsidR="003D434D" w:rsidRDefault="003D434D" w:rsidP="003D434D">
      <w:pPr>
        <w:pStyle w:val="af2"/>
        <w:numPr>
          <w:ilvl w:val="0"/>
          <w:numId w:val="20"/>
        </w:numPr>
      </w:pPr>
      <w:r>
        <w:rPr>
          <w:rStyle w:val="af3"/>
        </w:rPr>
        <w:t>相对位姿误差（Relative Pose Error, RPE）</w:t>
      </w:r>
      <w:r>
        <w:t>，用于评估相邻帧或固定时间间隔内位姿变化的误差，能够更直观地反映系统在短时运动估计中的稳定性与一致性。</w:t>
      </w:r>
    </w:p>
    <w:p w14:paraId="65ED2650" w14:textId="77777777" w:rsidR="003D434D" w:rsidRDefault="003D434D" w:rsidP="003D434D">
      <w:pPr>
        <w:pStyle w:val="af2"/>
      </w:pPr>
      <w:r>
        <w:rPr>
          <w:rStyle w:val="af3"/>
        </w:rPr>
        <w:t>（2）建图质量评估</w:t>
      </w:r>
      <w:r>
        <w:br/>
        <w:t>建图质量主要从地图点的数量与空间分布特性进行评估：</w:t>
      </w:r>
    </w:p>
    <w:p w14:paraId="55E3B29D" w14:textId="77777777" w:rsidR="003D434D" w:rsidRDefault="003D434D" w:rsidP="003D434D">
      <w:pPr>
        <w:pStyle w:val="af2"/>
        <w:numPr>
          <w:ilvl w:val="0"/>
          <w:numId w:val="21"/>
        </w:numPr>
      </w:pPr>
      <w:r>
        <w:rPr>
          <w:rStyle w:val="af3"/>
        </w:rPr>
        <w:t>地图点数量</w:t>
      </w:r>
      <w:r>
        <w:t>，反映系统在建图过程中能够稳定维护的三维结构信息规模；</w:t>
      </w:r>
    </w:p>
    <w:p w14:paraId="1B480BED" w14:textId="77777777" w:rsidR="003D434D" w:rsidRDefault="003D434D" w:rsidP="003D434D">
      <w:pPr>
        <w:pStyle w:val="af2"/>
        <w:numPr>
          <w:ilvl w:val="0"/>
          <w:numId w:val="21"/>
        </w:numPr>
      </w:pPr>
      <w:r>
        <w:rPr>
          <w:rStyle w:val="af3"/>
        </w:rPr>
        <w:t>地图点空间分布均匀性</w:t>
      </w:r>
      <w:r>
        <w:t>，用于评估地图点在场景中的覆盖情况，分布更加均匀通常意味着建图结果对不同视角具有更好的约束能力。</w:t>
      </w:r>
    </w:p>
    <w:p w14:paraId="35FE433D" w14:textId="77777777" w:rsidR="003D434D" w:rsidRDefault="003D434D" w:rsidP="003D434D">
      <w:pPr>
        <w:pStyle w:val="af2"/>
      </w:pPr>
      <w:r>
        <w:rPr>
          <w:rStyle w:val="af3"/>
        </w:rPr>
        <w:t>（3）跟踪稳定性分析</w:t>
      </w:r>
      <w:r>
        <w:br/>
        <w:t>跟踪稳定性用于衡量系统在长序列运行过程中的鲁棒性，实验采用以下指标进行量化：</w:t>
      </w:r>
    </w:p>
    <w:p w14:paraId="76664137" w14:textId="77777777" w:rsidR="003D434D" w:rsidRDefault="003D434D" w:rsidP="003D434D">
      <w:pPr>
        <w:pStyle w:val="af2"/>
        <w:numPr>
          <w:ilvl w:val="0"/>
          <w:numId w:val="22"/>
        </w:numPr>
      </w:pPr>
      <w:r>
        <w:rPr>
          <w:rStyle w:val="af3"/>
        </w:rPr>
        <w:t>跟踪丢失次数</w:t>
      </w:r>
      <w:r>
        <w:t>，统计系统在运行过程中发生跟踪失败的次数，用于反映系统对退化场景的适应能力；</w:t>
      </w:r>
    </w:p>
    <w:p w14:paraId="4BE0D4D0" w14:textId="77777777" w:rsidR="003D434D" w:rsidRDefault="003D434D" w:rsidP="003D434D">
      <w:pPr>
        <w:pStyle w:val="af2"/>
        <w:numPr>
          <w:ilvl w:val="0"/>
          <w:numId w:val="22"/>
        </w:numPr>
      </w:pPr>
      <w:r>
        <w:rPr>
          <w:rStyle w:val="af3"/>
        </w:rPr>
        <w:t>重定位成功率</w:t>
      </w:r>
      <w:r>
        <w:t>，衡量系统在发生跟踪丢失后恢复正常工作的能力，反映其长期运行的可靠性。</w:t>
      </w:r>
    </w:p>
    <w:p w14:paraId="0B5116E4" w14:textId="77777777" w:rsidR="003D434D" w:rsidRDefault="003D434D" w:rsidP="003D434D">
      <w:pPr>
        <w:pStyle w:val="af2"/>
      </w:pPr>
      <w:r>
        <w:t>通过上述多维度评价指标的综合分析，可以全面、客观地评估各对比方法在弱纹理与动态场景下的性能差异，为所提出方法的有效性提供充分的实验依据。</w:t>
      </w:r>
    </w:p>
    <w:p w14:paraId="54CCF04F" w14:textId="77777777" w:rsidR="00B5007F" w:rsidRDefault="00B5007F" w:rsidP="00B5007F">
      <w:pPr>
        <w:pStyle w:val="4"/>
        <w:rPr>
          <w:rFonts w:hint="eastAsia"/>
        </w:rPr>
      </w:pPr>
      <w:r>
        <w:lastRenderedPageBreak/>
        <w:t>X.3.3 结果分析</w:t>
      </w:r>
    </w:p>
    <w:p w14:paraId="5C1C5203" w14:textId="77777777" w:rsidR="00A11523" w:rsidRDefault="00A11523" w:rsidP="00A11523">
      <w:pPr>
        <w:pStyle w:val="af2"/>
      </w:pPr>
      <w:r>
        <w:t>在弱纹理场景下，实验结果重点从</w:t>
      </w:r>
      <w:r>
        <w:rPr>
          <w:rStyle w:val="af3"/>
        </w:rPr>
        <w:t>有效观测比例</w:t>
      </w:r>
      <w:r>
        <w:t>与</w:t>
      </w:r>
      <w:r>
        <w:rPr>
          <w:rStyle w:val="af3"/>
        </w:rPr>
        <w:t>位姿估计稳定性</w:t>
      </w:r>
      <w:r>
        <w:t>两个方面对局部梯度能量（LGE）加权机制的作用进行分析。</w:t>
      </w:r>
    </w:p>
    <w:p w14:paraId="45831368" w14:textId="77777777" w:rsidR="00A11523" w:rsidRDefault="00A11523" w:rsidP="00A11523">
      <w:pPr>
        <w:pStyle w:val="af2"/>
      </w:pPr>
      <w:r>
        <w:t>首先，从有效观测比例的角度来看，引入 LGE 权重后，系统在弱纹理区域中能够更有效地区分结构信息充分与不足的图像区域。实验结果表明，与标准光度一致性方法相比，LGE 加权策略显著提高了参与优化的高质量观测比例，使得边缘、结构变化明显的区域在建图过程中占据主导作用，而低梯度、信息量不足的区域对优化的干扰被有效抑制。这一现象验证了局部梯度能量作为区域可观测性度量的合理性。</w:t>
      </w:r>
    </w:p>
    <w:p w14:paraId="508C6036" w14:textId="77777777" w:rsidR="00A11523" w:rsidRDefault="00A11523" w:rsidP="00A11523">
      <w:pPr>
        <w:pStyle w:val="af2"/>
      </w:pPr>
      <w:r>
        <w:t>其次，在位姿估计稳定性方面，引入 LGE 后系统的位姿抖动明显减小。尤其在包含大面积平面结构或重复纹理较少的场景中，普通光度法由于局部结构信息不足，容易产生不稳定的优化梯度，从而导致相机位姿在连续帧之间出现抖动甚至局部漂移。相比之下，LGE 加权方法通过增强对高结构区域的约束，使得位姿估计过程更加平滑，短时位姿误差显著降低。</w:t>
      </w:r>
    </w:p>
    <w:p w14:paraId="3453D2E2" w14:textId="77777777" w:rsidR="00A11523" w:rsidRDefault="00A11523" w:rsidP="00A11523">
      <w:pPr>
        <w:pStyle w:val="af2"/>
      </w:pPr>
      <w:r>
        <w:t>从定量结果来看，与普通光度一致性方法相比，所提出的 LGE 加权建图方法在弱纹理场景下在 ATE 与 RPE 等指标上均取得了明显改进，表明其能够有效缓解弱纹理条件下的建图退化问题。上述实验结果充分证明了局部梯度能量加权机制在增强几何可观测性与提升位姿估计稳定性方面的实际效果。</w:t>
      </w:r>
    </w:p>
    <w:p w14:paraId="3B3134D3" w14:textId="77777777" w:rsidR="00B5007F" w:rsidRDefault="00000000" w:rsidP="00B5007F">
      <w:pPr>
        <w:rPr>
          <w:rFonts w:hint="eastAsia"/>
        </w:rPr>
      </w:pPr>
      <w:r>
        <w:pict w14:anchorId="372746C8">
          <v:rect id="_x0000_i1028" style="width:0;height:1.5pt" o:hralign="center" o:hrstd="t" o:hr="t" fillcolor="#a0a0a0" stroked="f"/>
        </w:pict>
      </w:r>
    </w:p>
    <w:p w14:paraId="69C4652E" w14:textId="77777777" w:rsidR="00B5007F" w:rsidRDefault="00B5007F" w:rsidP="00B5007F">
      <w:pPr>
        <w:pStyle w:val="3"/>
        <w:rPr>
          <w:rFonts w:hint="eastAsia"/>
        </w:rPr>
      </w:pPr>
      <w:r>
        <w:t>X.4 语义感知建图模块验证实验</w:t>
      </w:r>
    </w:p>
    <w:p w14:paraId="2E6A9072" w14:textId="77777777" w:rsidR="00B5007F" w:rsidRDefault="00B5007F" w:rsidP="00B5007F">
      <w:pPr>
        <w:pStyle w:val="4"/>
        <w:rPr>
          <w:rFonts w:hint="eastAsia"/>
        </w:rPr>
      </w:pPr>
      <w:r>
        <w:t>X.4.1 实验设置（动态对照）</w:t>
      </w:r>
    </w:p>
    <w:p w14:paraId="0A367C48" w14:textId="77777777" w:rsidR="00552D8A" w:rsidRDefault="00552D8A" w:rsidP="00552D8A">
      <w:pPr>
        <w:pStyle w:val="af2"/>
      </w:pPr>
      <w:r>
        <w:t>为验证语义感知建图方法在动态场景下的有效性，实验设置多组对比方法进行系统评估。具体对比方法包括：</w:t>
      </w:r>
      <w:r>
        <w:br/>
        <w:t>（1）</w:t>
      </w:r>
      <w:r>
        <w:rPr>
          <w:rStyle w:val="af3"/>
        </w:rPr>
        <w:t>Baseline 方法</w:t>
      </w:r>
      <w:r>
        <w:t>，不引入任何语义信息，所有像素观测均等权参与建图与位姿估计，作为评估动态干扰影响的基线；</w:t>
      </w:r>
      <w:r>
        <w:br/>
        <w:t>（2）</w:t>
      </w:r>
      <w:r>
        <w:rPr>
          <w:rStyle w:val="af3"/>
        </w:rPr>
        <w:t>动态特征剔除方法（简单 mask）</w:t>
      </w:r>
      <w:r>
        <w:t>，基于语义分割结果对潜在动态区域进行硬阈值过滤，将属于动态类别的像素或特征点直接剔除，从而避免其参与优化；</w:t>
      </w:r>
      <w:r>
        <w:br/>
        <w:t>（3）</w:t>
      </w:r>
      <w:r>
        <w:rPr>
          <w:rStyle w:val="af3"/>
        </w:rPr>
        <w:t>语义权重建图方法</w:t>
      </w:r>
      <w:r>
        <w:t>，即本文提出的方法，通过引入像素级语义概率对光度残差进行加权建模，以软约束方式抑制动态区域对优化过程的影响。</w:t>
      </w:r>
    </w:p>
    <w:p w14:paraId="674A9E76" w14:textId="77777777" w:rsidR="00552D8A" w:rsidRDefault="00552D8A" w:rsidP="00552D8A">
      <w:pPr>
        <w:pStyle w:val="af2"/>
      </w:pPr>
      <w:r>
        <w:t>为确保实验对比的公平性，所有方法在实验中均采用相同的前端输入、优化变量与求解策略，仅在是否以及如何利用语义信息方面存在差异。通过在动态场景下对上述方法进行定量与定性对比，可以系统评估语义权重建图策略在抑制动态目标干扰、提升位姿估计精度与地图一致性方面的实际效果。</w:t>
      </w:r>
    </w:p>
    <w:p w14:paraId="46066257" w14:textId="77777777" w:rsidR="00B5007F" w:rsidRDefault="00B5007F" w:rsidP="00B5007F">
      <w:pPr>
        <w:pStyle w:val="4"/>
        <w:rPr>
          <w:rFonts w:hint="eastAsia"/>
        </w:rPr>
      </w:pPr>
      <w:r>
        <w:lastRenderedPageBreak/>
        <w:t>X.4.2 定量评价指标</w:t>
      </w:r>
    </w:p>
    <w:p w14:paraId="3315F729" w14:textId="77777777" w:rsidR="00552D8A" w:rsidRDefault="00552D8A" w:rsidP="00552D8A">
      <w:pPr>
        <w:pStyle w:val="af2"/>
      </w:pPr>
      <w:r>
        <w:t>为全面评估各方法在动态场景下的性能表现，实验从</w:t>
      </w:r>
      <w:r>
        <w:rPr>
          <w:rStyle w:val="af3"/>
        </w:rPr>
        <w:t>位姿估计精度、动态干扰抑制效果以及地图一致性</w:t>
      </w:r>
      <w:r>
        <w:t>等多个维度对系统进行定量分析。</w:t>
      </w:r>
    </w:p>
    <w:p w14:paraId="6CB7B35D" w14:textId="77777777" w:rsidR="00552D8A" w:rsidRDefault="00552D8A" w:rsidP="00552D8A">
      <w:pPr>
        <w:pStyle w:val="af2"/>
      </w:pPr>
      <w:r>
        <w:rPr>
          <w:rStyle w:val="af3"/>
        </w:rPr>
        <w:t>（1）位姿估计精度</w:t>
      </w:r>
      <w:r>
        <w:br/>
        <w:t xml:space="preserve">采用 </w:t>
      </w:r>
      <w:r>
        <w:rPr>
          <w:rStyle w:val="af3"/>
        </w:rPr>
        <w:t>绝对轨迹误差（Absolute Trajectory Error, ATE）</w:t>
      </w:r>
      <w:r>
        <w:t xml:space="preserve"> 与 </w:t>
      </w:r>
      <w:r>
        <w:rPr>
          <w:rStyle w:val="af3"/>
        </w:rPr>
        <w:t>相对位姿误差（Relative Pose Error, RPE）</w:t>
      </w:r>
      <w:r>
        <w:t xml:space="preserve"> 作为主要评价指标，用于衡量在存在动态目标干扰的情况下，各方法对相机运动轨迹的估计准确性与短时稳定性。</w:t>
      </w:r>
    </w:p>
    <w:p w14:paraId="5E68DDF6" w14:textId="77777777" w:rsidR="00552D8A" w:rsidRDefault="00552D8A" w:rsidP="00552D8A">
      <w:pPr>
        <w:pStyle w:val="af2"/>
      </w:pPr>
      <w:r>
        <w:rPr>
          <w:rStyle w:val="af3"/>
        </w:rPr>
        <w:t>（2）动态区域误差占比</w:t>
      </w:r>
      <w:r>
        <w:br/>
        <w:t>该指标用于统计由动态区域像素或地图点所产生的残差在整体优化误差中的占比，反映动态目标对多视几何约束与光度一致性建模的干扰程度。较低的动态区域误差占比表明方法能够有效抑制动态观测对优化过程的负面影响。</w:t>
      </w:r>
    </w:p>
    <w:p w14:paraId="781804D9" w14:textId="77777777" w:rsidR="00552D8A" w:rsidRDefault="00552D8A" w:rsidP="00552D8A">
      <w:pPr>
        <w:pStyle w:val="af2"/>
      </w:pPr>
      <w:r>
        <w:rPr>
          <w:rStyle w:val="af3"/>
        </w:rPr>
        <w:t>（3）地图点存活率</w:t>
      </w:r>
      <w:r>
        <w:br/>
        <w:t>地图点存活率用于衡量在长期运行过程中，系统能够稳定维护的地图点比例。较高的存活率通常意味着建图过程对动态干扰具有更强的鲁棒性，能够避免由动态目标引入的大量不稳定或伪地图点。</w:t>
      </w:r>
    </w:p>
    <w:p w14:paraId="4C7EFAE8" w14:textId="77777777" w:rsidR="00552D8A" w:rsidRDefault="00552D8A" w:rsidP="00552D8A">
      <w:pPr>
        <w:pStyle w:val="af2"/>
      </w:pPr>
      <w:r>
        <w:rPr>
          <w:rStyle w:val="af3"/>
        </w:rPr>
        <w:t>（4）动态误关联率（可选）</w:t>
      </w:r>
      <w:r>
        <w:br/>
        <w:t>动态误关联率用于统计动态目标区域中被错误关联为静态地图点的比例，是评估动态抑制机制有效性的补充指标。该指标能够进一步反映方法在复杂动态场景中对误匹配与错误建图的抑制能力。</w:t>
      </w:r>
    </w:p>
    <w:p w14:paraId="3E6C7CB5" w14:textId="77777777" w:rsidR="00552D8A" w:rsidRDefault="00552D8A" w:rsidP="00552D8A">
      <w:pPr>
        <w:pStyle w:val="af2"/>
      </w:pPr>
      <w:r>
        <w:t>通过上述多维度指标的综合分析，可以系统性评估语义权重建图方法在动态环境下对位姿估计精度与地图一致性的提升效果。</w:t>
      </w:r>
    </w:p>
    <w:p w14:paraId="59B42116" w14:textId="77777777" w:rsidR="00552D8A" w:rsidRDefault="00552D8A" w:rsidP="00552D8A">
      <w:pPr>
        <w:pStyle w:val="af2"/>
      </w:pPr>
    </w:p>
    <w:p w14:paraId="62D9AE71" w14:textId="77777777" w:rsidR="00552D8A" w:rsidRDefault="00552D8A" w:rsidP="00552D8A">
      <w:pPr>
        <w:pStyle w:val="af2"/>
      </w:pPr>
    </w:p>
    <w:p w14:paraId="068BB16F" w14:textId="77777777" w:rsidR="00552D8A" w:rsidRDefault="00552D8A" w:rsidP="00552D8A">
      <w:pPr>
        <w:pStyle w:val="af2"/>
      </w:pPr>
    </w:p>
    <w:p w14:paraId="22B2B0D2" w14:textId="77777777" w:rsidR="00552D8A" w:rsidRDefault="00552D8A" w:rsidP="00552D8A">
      <w:pPr>
        <w:pStyle w:val="af2"/>
      </w:pPr>
    </w:p>
    <w:p w14:paraId="05CADDBD" w14:textId="77777777" w:rsidR="00552D8A" w:rsidRDefault="00552D8A" w:rsidP="00552D8A">
      <w:pPr>
        <w:pStyle w:val="af2"/>
      </w:pPr>
    </w:p>
    <w:p w14:paraId="422B9BF5" w14:textId="77777777" w:rsidR="00552D8A" w:rsidRDefault="00552D8A" w:rsidP="00552D8A">
      <w:pPr>
        <w:pStyle w:val="af2"/>
      </w:pPr>
    </w:p>
    <w:p w14:paraId="248498C3" w14:textId="77777777" w:rsidR="00552D8A" w:rsidRDefault="00552D8A" w:rsidP="00552D8A">
      <w:pPr>
        <w:pStyle w:val="af2"/>
      </w:pPr>
    </w:p>
    <w:p w14:paraId="2B1C442F" w14:textId="77777777" w:rsidR="00552D8A" w:rsidRDefault="00552D8A" w:rsidP="00552D8A">
      <w:pPr>
        <w:pStyle w:val="af2"/>
        <w:rPr>
          <w:rFonts w:hint="eastAsia"/>
        </w:rPr>
      </w:pPr>
    </w:p>
    <w:p w14:paraId="29084485" w14:textId="77777777" w:rsidR="00B5007F" w:rsidRDefault="00B5007F" w:rsidP="00B5007F">
      <w:pPr>
        <w:pStyle w:val="4"/>
        <w:rPr>
          <w:rFonts w:hint="eastAsia"/>
        </w:rPr>
      </w:pPr>
      <w:r>
        <w:lastRenderedPageBreak/>
        <w:t>X.4.3 定性可视化分析</w:t>
      </w:r>
    </w:p>
    <w:p w14:paraId="0101B70F" w14:textId="77777777" w:rsidR="00552D8A" w:rsidRDefault="00552D8A" w:rsidP="00552D8A">
      <w:pPr>
        <w:pStyle w:val="af2"/>
      </w:pPr>
      <w:r>
        <w:t>为更加直观地分析语义感知建图方法在动态场景中的作用机制，本文进一步对实验结果进行了定性可视化分析，重点从动态目标区域观测分布、地图点筛选效果以及整体地图一致性三个方面进行对比展示。</w:t>
      </w:r>
    </w:p>
    <w:p w14:paraId="39D85905" w14:textId="77777777" w:rsidR="00552D8A" w:rsidRDefault="00552D8A" w:rsidP="00552D8A">
      <w:pPr>
        <w:pStyle w:val="af2"/>
      </w:pPr>
      <w:r>
        <w:t>首先，通过可视化</w:t>
      </w:r>
      <w:r>
        <w:rPr>
          <w:rStyle w:val="af3"/>
        </w:rPr>
        <w:t>动态目标区域中的投影点分布</w:t>
      </w:r>
      <w:r>
        <w:t>，可以观察不同方法对动态区域观测的处理差异。在不引入语义信息的基线方法中，动态目标区域仍存在大量投影点参与优化，容易引入由目标自身运动导致的非刚体误差；而采用语义权重建图后，动态目标区域中的投影点权重显著降低，其对优化过程的影响被有效抑制，投影点分布更加集中于静态背景区域。</w:t>
      </w:r>
    </w:p>
    <w:p w14:paraId="3BDBF2DA" w14:textId="77777777" w:rsidR="00552D8A" w:rsidRDefault="00552D8A" w:rsidP="00552D8A">
      <w:pPr>
        <w:pStyle w:val="af2"/>
      </w:pPr>
      <w:r>
        <w:t>其次，对</w:t>
      </w:r>
      <w:r>
        <w:rPr>
          <w:rStyle w:val="af3"/>
        </w:rPr>
        <w:t>被抑制或剔除的地图点进行可视化展示</w:t>
      </w:r>
      <w:r>
        <w:t>。结果表明，语义感知方法能够准确识别长期位于动态目标上的不可靠地图点，并在地图维护阶段将其逐步剔除，从而避免这些点在后续优化与重定位过程中持续产生干扰。相比之下，未引入语义建模的方法往往在地图中保留大量由动态目标生成的伪结构点。</w:t>
      </w:r>
    </w:p>
    <w:p w14:paraId="000078EE" w14:textId="77777777" w:rsidR="00552D8A" w:rsidRDefault="00552D8A" w:rsidP="00552D8A">
      <w:pPr>
        <w:pStyle w:val="af2"/>
      </w:pPr>
      <w:r>
        <w:t>最后，通过对不同方法生成的</w:t>
      </w:r>
      <w:r>
        <w:rPr>
          <w:rStyle w:val="af3"/>
        </w:rPr>
        <w:t>地图一致性对比图</w:t>
      </w:r>
      <w:r>
        <w:t>进行分析，可以直观反映语义建图对整体地图结构稳定性的提升效果。采用语义权重建图方法所生成的地图在空间结构上更加连贯，静态场景几何关系保持良好，而动态干扰显著减少；基线方法则在动态目标频繁出现的区域容易产生地图破碎或结构错乱现象。</w:t>
      </w:r>
    </w:p>
    <w:p w14:paraId="2D2BECDF" w14:textId="77777777" w:rsidR="00552D8A" w:rsidRDefault="00552D8A" w:rsidP="00552D8A">
      <w:pPr>
        <w:pStyle w:val="af2"/>
      </w:pPr>
      <w:r>
        <w:t>上述定性结果与定量实验分析相互印证，进一步说明所提出的语义感知建图方法能够在动态复杂环境中有效抑制不可靠观测，对提升地图一致性与系统鲁棒性具有显著作用。</w:t>
      </w:r>
    </w:p>
    <w:p w14:paraId="18726FAA" w14:textId="6C0D50B8" w:rsidR="00B5007F" w:rsidRDefault="00B5007F" w:rsidP="00B5007F">
      <w:pPr>
        <w:rPr>
          <w:rFonts w:hint="eastAsia"/>
        </w:rPr>
      </w:pPr>
    </w:p>
    <w:p w14:paraId="7932967C" w14:textId="77777777" w:rsidR="00B5007F" w:rsidRDefault="00B5007F" w:rsidP="00B5007F">
      <w:pPr>
        <w:pStyle w:val="3"/>
        <w:rPr>
          <w:rFonts w:hint="eastAsia"/>
        </w:rPr>
      </w:pPr>
      <w:r>
        <w:t>X.5 LGE + 语义分割联合建图实验（核心）</w:t>
      </w:r>
    </w:p>
    <w:p w14:paraId="24C40910" w14:textId="77777777" w:rsidR="00B5007F" w:rsidRDefault="00B5007F" w:rsidP="00B5007F">
      <w:pPr>
        <w:pStyle w:val="4"/>
        <w:rPr>
          <w:rFonts w:hint="eastAsia"/>
        </w:rPr>
      </w:pPr>
      <w:r>
        <w:t>X.5.1 消融实验设计（非常重要）</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5"/>
        <w:gridCol w:w="435"/>
        <w:gridCol w:w="500"/>
        <w:gridCol w:w="955"/>
      </w:tblGrid>
      <w:tr w:rsidR="00B5007F" w14:paraId="4AD4F338" w14:textId="77777777">
        <w:trPr>
          <w:tblHeader/>
          <w:tblCellSpacing w:w="15" w:type="dxa"/>
        </w:trPr>
        <w:tc>
          <w:tcPr>
            <w:tcW w:w="0" w:type="auto"/>
            <w:vAlign w:val="center"/>
            <w:hideMark/>
          </w:tcPr>
          <w:p w14:paraId="0F9C6197" w14:textId="77777777" w:rsidR="00B5007F" w:rsidRDefault="00B5007F">
            <w:pPr>
              <w:jc w:val="center"/>
              <w:rPr>
                <w:rFonts w:hint="eastAsia"/>
                <w:b/>
                <w:bCs/>
              </w:rPr>
            </w:pPr>
            <w:r>
              <w:rPr>
                <w:b/>
                <w:bCs/>
              </w:rPr>
              <w:t>实验编号</w:t>
            </w:r>
          </w:p>
        </w:tc>
        <w:tc>
          <w:tcPr>
            <w:tcW w:w="0" w:type="auto"/>
            <w:vAlign w:val="center"/>
            <w:hideMark/>
          </w:tcPr>
          <w:p w14:paraId="7D5888DC" w14:textId="77777777" w:rsidR="00B5007F" w:rsidRDefault="00B5007F">
            <w:pPr>
              <w:jc w:val="center"/>
              <w:rPr>
                <w:rFonts w:hint="eastAsia"/>
                <w:b/>
                <w:bCs/>
              </w:rPr>
            </w:pPr>
            <w:r>
              <w:rPr>
                <w:b/>
                <w:bCs/>
              </w:rPr>
              <w:t>LGE</w:t>
            </w:r>
          </w:p>
        </w:tc>
        <w:tc>
          <w:tcPr>
            <w:tcW w:w="0" w:type="auto"/>
            <w:vAlign w:val="center"/>
            <w:hideMark/>
          </w:tcPr>
          <w:p w14:paraId="48876A2A" w14:textId="77777777" w:rsidR="00B5007F" w:rsidRDefault="00B5007F">
            <w:pPr>
              <w:jc w:val="center"/>
              <w:rPr>
                <w:rFonts w:hint="eastAsia"/>
                <w:b/>
                <w:bCs/>
              </w:rPr>
            </w:pPr>
            <w:r>
              <w:rPr>
                <w:b/>
                <w:bCs/>
              </w:rPr>
              <w:t>语义</w:t>
            </w:r>
          </w:p>
        </w:tc>
        <w:tc>
          <w:tcPr>
            <w:tcW w:w="0" w:type="auto"/>
            <w:vAlign w:val="center"/>
            <w:hideMark/>
          </w:tcPr>
          <w:p w14:paraId="0E00AC0C" w14:textId="77777777" w:rsidR="00B5007F" w:rsidRDefault="00B5007F">
            <w:pPr>
              <w:jc w:val="center"/>
              <w:rPr>
                <w:rFonts w:hint="eastAsia"/>
                <w:b/>
                <w:bCs/>
              </w:rPr>
            </w:pPr>
            <w:r>
              <w:rPr>
                <w:b/>
                <w:bCs/>
              </w:rPr>
              <w:t>说明</w:t>
            </w:r>
          </w:p>
        </w:tc>
      </w:tr>
      <w:tr w:rsidR="00B5007F" w14:paraId="08FE33E3" w14:textId="77777777">
        <w:trPr>
          <w:tblCellSpacing w:w="15" w:type="dxa"/>
        </w:trPr>
        <w:tc>
          <w:tcPr>
            <w:tcW w:w="0" w:type="auto"/>
            <w:vAlign w:val="center"/>
            <w:hideMark/>
          </w:tcPr>
          <w:p w14:paraId="66838149" w14:textId="77777777" w:rsidR="00B5007F" w:rsidRDefault="00B5007F">
            <w:pPr>
              <w:rPr>
                <w:rFonts w:hint="eastAsia"/>
              </w:rPr>
            </w:pPr>
            <w:r>
              <w:t>A</w:t>
            </w:r>
          </w:p>
        </w:tc>
        <w:tc>
          <w:tcPr>
            <w:tcW w:w="0" w:type="auto"/>
            <w:vAlign w:val="center"/>
            <w:hideMark/>
          </w:tcPr>
          <w:p w14:paraId="5E03B478" w14:textId="77777777" w:rsidR="00B5007F" w:rsidRDefault="00B5007F">
            <w:pPr>
              <w:rPr>
                <w:rFonts w:hint="eastAsia"/>
              </w:rPr>
            </w:pPr>
            <w:r>
              <w:t>×</w:t>
            </w:r>
          </w:p>
        </w:tc>
        <w:tc>
          <w:tcPr>
            <w:tcW w:w="0" w:type="auto"/>
            <w:vAlign w:val="center"/>
            <w:hideMark/>
          </w:tcPr>
          <w:p w14:paraId="4F2F4F76" w14:textId="77777777" w:rsidR="00B5007F" w:rsidRDefault="00B5007F">
            <w:pPr>
              <w:rPr>
                <w:rFonts w:hint="eastAsia"/>
              </w:rPr>
            </w:pPr>
            <w:r>
              <w:t>×</w:t>
            </w:r>
          </w:p>
        </w:tc>
        <w:tc>
          <w:tcPr>
            <w:tcW w:w="0" w:type="auto"/>
            <w:vAlign w:val="center"/>
            <w:hideMark/>
          </w:tcPr>
          <w:p w14:paraId="650842F9" w14:textId="77777777" w:rsidR="00B5007F" w:rsidRDefault="00B5007F">
            <w:pPr>
              <w:rPr>
                <w:rFonts w:hint="eastAsia"/>
              </w:rPr>
            </w:pPr>
            <w:r>
              <w:t>Baseline</w:t>
            </w:r>
          </w:p>
        </w:tc>
      </w:tr>
      <w:tr w:rsidR="00B5007F" w14:paraId="1E09BBE8" w14:textId="77777777">
        <w:trPr>
          <w:tblCellSpacing w:w="15" w:type="dxa"/>
        </w:trPr>
        <w:tc>
          <w:tcPr>
            <w:tcW w:w="0" w:type="auto"/>
            <w:vAlign w:val="center"/>
            <w:hideMark/>
          </w:tcPr>
          <w:p w14:paraId="1B192E62" w14:textId="77777777" w:rsidR="00B5007F" w:rsidRDefault="00B5007F">
            <w:pPr>
              <w:rPr>
                <w:rFonts w:hint="eastAsia"/>
              </w:rPr>
            </w:pPr>
            <w:r>
              <w:t>B</w:t>
            </w:r>
          </w:p>
        </w:tc>
        <w:tc>
          <w:tcPr>
            <w:tcW w:w="0" w:type="auto"/>
            <w:vAlign w:val="center"/>
            <w:hideMark/>
          </w:tcPr>
          <w:p w14:paraId="301531CE" w14:textId="77777777" w:rsidR="00B5007F" w:rsidRDefault="00B5007F">
            <w:pPr>
              <w:rPr>
                <w:rFonts w:hint="eastAsia"/>
              </w:rPr>
            </w:pPr>
            <w:r>
              <w:rPr>
                <w:rFonts w:ascii="Segoe UI Symbol" w:hAnsi="Segoe UI Symbol" w:cs="Segoe UI Symbol"/>
              </w:rPr>
              <w:t>✓</w:t>
            </w:r>
          </w:p>
        </w:tc>
        <w:tc>
          <w:tcPr>
            <w:tcW w:w="0" w:type="auto"/>
            <w:vAlign w:val="center"/>
            <w:hideMark/>
          </w:tcPr>
          <w:p w14:paraId="38247B43" w14:textId="77777777" w:rsidR="00B5007F" w:rsidRDefault="00B5007F">
            <w:pPr>
              <w:rPr>
                <w:rFonts w:hint="eastAsia"/>
              </w:rPr>
            </w:pPr>
            <w:r>
              <w:t>×</w:t>
            </w:r>
          </w:p>
        </w:tc>
        <w:tc>
          <w:tcPr>
            <w:tcW w:w="0" w:type="auto"/>
            <w:vAlign w:val="center"/>
            <w:hideMark/>
          </w:tcPr>
          <w:p w14:paraId="6A99817E" w14:textId="77777777" w:rsidR="00B5007F" w:rsidRDefault="00B5007F">
            <w:pPr>
              <w:rPr>
                <w:rFonts w:hint="eastAsia"/>
              </w:rPr>
            </w:pPr>
            <w:r>
              <w:t>仅 LGE</w:t>
            </w:r>
          </w:p>
        </w:tc>
      </w:tr>
      <w:tr w:rsidR="00B5007F" w14:paraId="042CA34A" w14:textId="77777777">
        <w:trPr>
          <w:tblCellSpacing w:w="15" w:type="dxa"/>
        </w:trPr>
        <w:tc>
          <w:tcPr>
            <w:tcW w:w="0" w:type="auto"/>
            <w:vAlign w:val="center"/>
            <w:hideMark/>
          </w:tcPr>
          <w:p w14:paraId="767A73CB" w14:textId="77777777" w:rsidR="00B5007F" w:rsidRDefault="00B5007F">
            <w:pPr>
              <w:rPr>
                <w:rFonts w:hint="eastAsia"/>
              </w:rPr>
            </w:pPr>
            <w:r>
              <w:t>C</w:t>
            </w:r>
          </w:p>
        </w:tc>
        <w:tc>
          <w:tcPr>
            <w:tcW w:w="0" w:type="auto"/>
            <w:vAlign w:val="center"/>
            <w:hideMark/>
          </w:tcPr>
          <w:p w14:paraId="52B91BA5" w14:textId="77777777" w:rsidR="00B5007F" w:rsidRDefault="00B5007F">
            <w:pPr>
              <w:rPr>
                <w:rFonts w:hint="eastAsia"/>
              </w:rPr>
            </w:pPr>
            <w:r>
              <w:t>×</w:t>
            </w:r>
          </w:p>
        </w:tc>
        <w:tc>
          <w:tcPr>
            <w:tcW w:w="0" w:type="auto"/>
            <w:vAlign w:val="center"/>
            <w:hideMark/>
          </w:tcPr>
          <w:p w14:paraId="22666E2C" w14:textId="77777777" w:rsidR="00B5007F" w:rsidRDefault="00B5007F">
            <w:pPr>
              <w:rPr>
                <w:rFonts w:hint="eastAsia"/>
              </w:rPr>
            </w:pPr>
            <w:r>
              <w:rPr>
                <w:rFonts w:ascii="Segoe UI Symbol" w:hAnsi="Segoe UI Symbol" w:cs="Segoe UI Symbol"/>
              </w:rPr>
              <w:t>✓</w:t>
            </w:r>
          </w:p>
        </w:tc>
        <w:tc>
          <w:tcPr>
            <w:tcW w:w="0" w:type="auto"/>
            <w:vAlign w:val="center"/>
            <w:hideMark/>
          </w:tcPr>
          <w:p w14:paraId="4E9D50AC" w14:textId="77777777" w:rsidR="00B5007F" w:rsidRDefault="00B5007F">
            <w:pPr>
              <w:rPr>
                <w:rFonts w:hint="eastAsia"/>
              </w:rPr>
            </w:pPr>
            <w:r>
              <w:t>仅语义</w:t>
            </w:r>
          </w:p>
        </w:tc>
      </w:tr>
      <w:tr w:rsidR="00B5007F" w14:paraId="4220AC20" w14:textId="77777777">
        <w:trPr>
          <w:tblCellSpacing w:w="15" w:type="dxa"/>
        </w:trPr>
        <w:tc>
          <w:tcPr>
            <w:tcW w:w="0" w:type="auto"/>
            <w:vAlign w:val="center"/>
            <w:hideMark/>
          </w:tcPr>
          <w:p w14:paraId="3F810854" w14:textId="77777777" w:rsidR="00B5007F" w:rsidRDefault="00B5007F">
            <w:pPr>
              <w:rPr>
                <w:rFonts w:hint="eastAsia"/>
              </w:rPr>
            </w:pPr>
            <w:r>
              <w:t>D</w:t>
            </w:r>
          </w:p>
        </w:tc>
        <w:tc>
          <w:tcPr>
            <w:tcW w:w="0" w:type="auto"/>
            <w:vAlign w:val="center"/>
            <w:hideMark/>
          </w:tcPr>
          <w:p w14:paraId="54294C11" w14:textId="77777777" w:rsidR="00B5007F" w:rsidRDefault="00B5007F">
            <w:pPr>
              <w:rPr>
                <w:rFonts w:hint="eastAsia"/>
              </w:rPr>
            </w:pPr>
            <w:r>
              <w:rPr>
                <w:rFonts w:ascii="Segoe UI Symbol" w:hAnsi="Segoe UI Symbol" w:cs="Segoe UI Symbol"/>
              </w:rPr>
              <w:t>✓</w:t>
            </w:r>
          </w:p>
        </w:tc>
        <w:tc>
          <w:tcPr>
            <w:tcW w:w="0" w:type="auto"/>
            <w:vAlign w:val="center"/>
            <w:hideMark/>
          </w:tcPr>
          <w:p w14:paraId="4F5801F0" w14:textId="77777777" w:rsidR="00B5007F" w:rsidRDefault="00B5007F">
            <w:pPr>
              <w:rPr>
                <w:rFonts w:hint="eastAsia"/>
              </w:rPr>
            </w:pPr>
            <w:r>
              <w:rPr>
                <w:rFonts w:ascii="Segoe UI Symbol" w:hAnsi="Segoe UI Symbol" w:cs="Segoe UI Symbol"/>
              </w:rPr>
              <w:t>✓</w:t>
            </w:r>
          </w:p>
        </w:tc>
        <w:tc>
          <w:tcPr>
            <w:tcW w:w="0" w:type="auto"/>
            <w:vAlign w:val="center"/>
            <w:hideMark/>
          </w:tcPr>
          <w:p w14:paraId="7E4F4540" w14:textId="77777777" w:rsidR="00B5007F" w:rsidRDefault="00B5007F">
            <w:pPr>
              <w:rPr>
                <w:rFonts w:hint="eastAsia"/>
              </w:rPr>
            </w:pPr>
            <w:r>
              <w:rPr>
                <w:rStyle w:val="af3"/>
              </w:rPr>
              <w:t>联合方法</w:t>
            </w:r>
          </w:p>
        </w:tc>
      </w:tr>
    </w:tbl>
    <w:p w14:paraId="7A781579" w14:textId="77777777" w:rsidR="00B5007F" w:rsidRDefault="00B5007F" w:rsidP="00B5007F">
      <w:pPr>
        <w:pStyle w:val="4"/>
        <w:rPr>
          <w:rFonts w:hint="eastAsia"/>
        </w:rPr>
      </w:pPr>
      <w:r>
        <w:lastRenderedPageBreak/>
        <w:t>X.5.2 复杂场景测试</w:t>
      </w:r>
    </w:p>
    <w:p w14:paraId="6BDCB898" w14:textId="77777777" w:rsidR="00B5007F" w:rsidRDefault="00B5007F" w:rsidP="00B5007F">
      <w:pPr>
        <w:pStyle w:val="af2"/>
        <w:numPr>
          <w:ilvl w:val="0"/>
          <w:numId w:val="14"/>
        </w:numPr>
        <w:rPr>
          <w:rFonts w:hint="eastAsia"/>
        </w:rPr>
      </w:pPr>
      <w:r>
        <w:t>同时包含：</w:t>
      </w:r>
    </w:p>
    <w:p w14:paraId="0DA27FF4" w14:textId="77777777" w:rsidR="00B5007F" w:rsidRDefault="00B5007F" w:rsidP="00B5007F">
      <w:pPr>
        <w:pStyle w:val="af2"/>
        <w:numPr>
          <w:ilvl w:val="1"/>
          <w:numId w:val="14"/>
        </w:numPr>
        <w:rPr>
          <w:rFonts w:hint="eastAsia"/>
        </w:rPr>
      </w:pPr>
      <w:r>
        <w:t>弱纹理区域</w:t>
      </w:r>
    </w:p>
    <w:p w14:paraId="2E137A4D" w14:textId="77777777" w:rsidR="00B5007F" w:rsidRDefault="00B5007F" w:rsidP="00B5007F">
      <w:pPr>
        <w:pStyle w:val="af2"/>
        <w:numPr>
          <w:ilvl w:val="1"/>
          <w:numId w:val="14"/>
        </w:numPr>
        <w:rPr>
          <w:rFonts w:hint="eastAsia"/>
        </w:rPr>
      </w:pPr>
      <w:r>
        <w:t>动态目标</w:t>
      </w:r>
    </w:p>
    <w:p w14:paraId="3C479A77" w14:textId="77777777" w:rsidR="00B5007F" w:rsidRDefault="00B5007F" w:rsidP="00B5007F">
      <w:pPr>
        <w:pStyle w:val="af2"/>
        <w:numPr>
          <w:ilvl w:val="0"/>
          <w:numId w:val="14"/>
        </w:numPr>
        <w:rPr>
          <w:rFonts w:hint="eastAsia"/>
        </w:rPr>
      </w:pPr>
      <w:r>
        <w:t>对比 D 与 A/B/C 的性能差异</w:t>
      </w:r>
    </w:p>
    <w:p w14:paraId="21FD8D71" w14:textId="77777777" w:rsidR="00B5007F" w:rsidRDefault="00B5007F" w:rsidP="00B5007F">
      <w:pPr>
        <w:pStyle w:val="4"/>
        <w:rPr>
          <w:rFonts w:hint="eastAsia"/>
        </w:rPr>
      </w:pPr>
      <w:r>
        <w:t>X.5.3 综合性能分析</w:t>
      </w:r>
    </w:p>
    <w:p w14:paraId="1727E319" w14:textId="77777777" w:rsidR="00B5007F" w:rsidRDefault="00B5007F" w:rsidP="00B5007F">
      <w:pPr>
        <w:pStyle w:val="af2"/>
        <w:rPr>
          <w:rFonts w:hint="eastAsia"/>
        </w:rPr>
      </w:pPr>
      <w:r>
        <w:t>重点回答：</w:t>
      </w:r>
    </w:p>
    <w:p w14:paraId="703FEEA6" w14:textId="77777777" w:rsidR="00B5007F" w:rsidRDefault="00B5007F" w:rsidP="00B5007F">
      <w:pPr>
        <w:pStyle w:val="af2"/>
        <w:numPr>
          <w:ilvl w:val="0"/>
          <w:numId w:val="15"/>
        </w:numPr>
        <w:rPr>
          <w:rFonts w:hint="eastAsia"/>
        </w:rPr>
      </w:pPr>
      <w:r>
        <w:t>联合方法是否在所有场景下最稳定？</w:t>
      </w:r>
    </w:p>
    <w:p w14:paraId="5FB35BD3" w14:textId="77777777" w:rsidR="00B5007F" w:rsidRDefault="00B5007F" w:rsidP="00B5007F">
      <w:pPr>
        <w:pStyle w:val="af2"/>
        <w:numPr>
          <w:ilvl w:val="0"/>
          <w:numId w:val="15"/>
        </w:numPr>
        <w:rPr>
          <w:rFonts w:hint="eastAsia"/>
        </w:rPr>
      </w:pPr>
      <w:r>
        <w:t>是否避免单一模块失效？</w:t>
      </w:r>
    </w:p>
    <w:p w14:paraId="7ED6A1DD" w14:textId="77777777" w:rsidR="00B5007F" w:rsidRDefault="00B5007F" w:rsidP="00B5007F">
      <w:pPr>
        <w:pStyle w:val="af2"/>
        <w:numPr>
          <w:ilvl w:val="0"/>
          <w:numId w:val="15"/>
        </w:numPr>
        <w:rPr>
          <w:rFonts w:hint="eastAsia"/>
        </w:rPr>
      </w:pPr>
      <w:r>
        <w:t>是否具有泛化性？</w:t>
      </w:r>
    </w:p>
    <w:p w14:paraId="0B0C90ED" w14:textId="77777777" w:rsidR="00B5007F" w:rsidRDefault="00000000" w:rsidP="00B5007F">
      <w:pPr>
        <w:rPr>
          <w:rFonts w:hint="eastAsia"/>
        </w:rPr>
      </w:pPr>
      <w:r>
        <w:pict w14:anchorId="5C526ED1">
          <v:rect id="_x0000_i1030" style="width:0;height:1.5pt" o:hralign="center" o:hrstd="t" o:hr="t" fillcolor="#a0a0a0" stroked="f"/>
        </w:pict>
      </w:r>
    </w:p>
    <w:p w14:paraId="7C208E77" w14:textId="77777777" w:rsidR="00B5007F" w:rsidRDefault="00B5007F" w:rsidP="00B5007F">
      <w:pPr>
        <w:pStyle w:val="3"/>
        <w:rPr>
          <w:rFonts w:hint="eastAsia"/>
        </w:rPr>
      </w:pPr>
      <w:r>
        <w:t>X.6 运行效率与系统开销分析（可选但加分）</w:t>
      </w:r>
    </w:p>
    <w:p w14:paraId="0806582E" w14:textId="77777777" w:rsidR="00B5007F" w:rsidRDefault="00B5007F" w:rsidP="00B5007F">
      <w:pPr>
        <w:pStyle w:val="af2"/>
        <w:numPr>
          <w:ilvl w:val="0"/>
          <w:numId w:val="16"/>
        </w:numPr>
        <w:rPr>
          <w:rFonts w:hint="eastAsia"/>
        </w:rPr>
      </w:pPr>
      <w:r>
        <w:t>语义分割引入的时间开销</w:t>
      </w:r>
    </w:p>
    <w:p w14:paraId="76719461" w14:textId="77777777" w:rsidR="00B5007F" w:rsidRDefault="00B5007F" w:rsidP="00B5007F">
      <w:pPr>
        <w:pStyle w:val="af2"/>
        <w:numPr>
          <w:ilvl w:val="0"/>
          <w:numId w:val="16"/>
        </w:numPr>
        <w:rPr>
          <w:rFonts w:hint="eastAsia"/>
        </w:rPr>
      </w:pPr>
      <w:r>
        <w:t>LGE 计算成本</w:t>
      </w:r>
    </w:p>
    <w:p w14:paraId="7E564BDD" w14:textId="77777777" w:rsidR="00B5007F" w:rsidRDefault="00B5007F" w:rsidP="00B5007F">
      <w:pPr>
        <w:pStyle w:val="af2"/>
        <w:numPr>
          <w:ilvl w:val="0"/>
          <w:numId w:val="16"/>
        </w:numPr>
        <w:rPr>
          <w:rFonts w:hint="eastAsia"/>
        </w:rPr>
      </w:pPr>
      <w:r>
        <w:t>实时性分析（FPS）</w:t>
      </w:r>
    </w:p>
    <w:p w14:paraId="4FA95C96" w14:textId="77777777" w:rsidR="00B5007F" w:rsidRDefault="00000000" w:rsidP="00B5007F">
      <w:pPr>
        <w:rPr>
          <w:rFonts w:hint="eastAsia"/>
        </w:rPr>
      </w:pPr>
      <w:r>
        <w:pict w14:anchorId="61721C5E">
          <v:rect id="_x0000_i1031" style="width:0;height:1.5pt" o:hralign="center" o:hrstd="t" o:hr="t" fillcolor="#a0a0a0" stroked="f"/>
        </w:pict>
      </w:r>
    </w:p>
    <w:p w14:paraId="2F51D7B6" w14:textId="77777777" w:rsidR="00B5007F" w:rsidRDefault="00B5007F" w:rsidP="00B5007F">
      <w:pPr>
        <w:pStyle w:val="3"/>
        <w:rPr>
          <w:rFonts w:hint="eastAsia"/>
        </w:rPr>
      </w:pPr>
      <w:r>
        <w:t>X.7 本章小结</w:t>
      </w:r>
    </w:p>
    <w:p w14:paraId="71CD2633" w14:textId="77777777" w:rsidR="00B5007F" w:rsidRDefault="00B5007F" w:rsidP="00B5007F">
      <w:pPr>
        <w:pStyle w:val="af2"/>
        <w:rPr>
          <w:rFonts w:hint="eastAsia"/>
        </w:rPr>
      </w:pPr>
      <w:r>
        <w:t>总结三点：</w:t>
      </w:r>
    </w:p>
    <w:p w14:paraId="663F5E7F" w14:textId="77777777" w:rsidR="00B5007F" w:rsidRDefault="00B5007F" w:rsidP="00B5007F">
      <w:pPr>
        <w:pStyle w:val="af2"/>
        <w:numPr>
          <w:ilvl w:val="0"/>
          <w:numId w:val="17"/>
        </w:numPr>
        <w:rPr>
          <w:rFonts w:hint="eastAsia"/>
        </w:rPr>
      </w:pPr>
      <w:r>
        <w:t>LGE 在弱纹理条件下显著增强了几何可观测性；</w:t>
      </w:r>
    </w:p>
    <w:p w14:paraId="2819249A" w14:textId="77777777" w:rsidR="00B5007F" w:rsidRDefault="00B5007F" w:rsidP="00B5007F">
      <w:pPr>
        <w:pStyle w:val="af2"/>
        <w:numPr>
          <w:ilvl w:val="0"/>
          <w:numId w:val="17"/>
        </w:numPr>
        <w:rPr>
          <w:rFonts w:hint="eastAsia"/>
        </w:rPr>
      </w:pPr>
      <w:r>
        <w:t>语义分割有效抑制动态目标干扰；</w:t>
      </w:r>
    </w:p>
    <w:p w14:paraId="679DE216" w14:textId="77777777" w:rsidR="00B5007F" w:rsidRDefault="00B5007F" w:rsidP="00B5007F">
      <w:pPr>
        <w:pStyle w:val="af2"/>
        <w:numPr>
          <w:ilvl w:val="0"/>
          <w:numId w:val="17"/>
        </w:numPr>
        <w:rPr>
          <w:rFonts w:hint="eastAsia"/>
        </w:rPr>
      </w:pPr>
      <w:r>
        <w:t>二者联合显著提升复杂真实环境下的建图鲁棒性。</w:t>
      </w:r>
    </w:p>
    <w:p w14:paraId="2EF76466" w14:textId="77777777" w:rsidR="00B5007F" w:rsidRDefault="00000000" w:rsidP="00B5007F">
      <w:pPr>
        <w:rPr>
          <w:rFonts w:hint="eastAsia"/>
        </w:rPr>
      </w:pPr>
      <w:r>
        <w:pict w14:anchorId="71B7372F">
          <v:rect id="_x0000_i1032" style="width:0;height:1.5pt" o:hralign="center" o:hrstd="t" o:hr="t" fillcolor="#a0a0a0" stroked="f"/>
        </w:pict>
      </w:r>
    </w:p>
    <w:p w14:paraId="63D360F0" w14:textId="77777777" w:rsidR="00B5007F" w:rsidRDefault="00B5007F" w:rsidP="00B5007F">
      <w:pPr>
        <w:pStyle w:val="2"/>
        <w:rPr>
          <w:rFonts w:hint="eastAsia"/>
        </w:rPr>
      </w:pPr>
      <w:r>
        <w:t>审稿人视角的“验证是否充分”标准</w:t>
      </w:r>
    </w:p>
    <w:p w14:paraId="3F3AC6C2" w14:textId="77777777" w:rsidR="00B5007F" w:rsidRDefault="00B5007F" w:rsidP="00B5007F">
      <w:pPr>
        <w:pStyle w:val="af2"/>
        <w:rPr>
          <w:rFonts w:hint="eastAsia"/>
        </w:rPr>
      </w:pPr>
      <w:r>
        <w:t>你的实验如果做到以下几点，</w:t>
      </w:r>
      <w:r>
        <w:rPr>
          <w:rStyle w:val="af3"/>
        </w:rPr>
        <w:t>基本不会被质疑实验不足</w:t>
      </w:r>
      <w:r>
        <w:t>：</w:t>
      </w:r>
    </w:p>
    <w:p w14:paraId="4CE7C5B6" w14:textId="77777777" w:rsidR="00B5007F" w:rsidRDefault="00B5007F" w:rsidP="00B5007F">
      <w:pPr>
        <w:pStyle w:val="af2"/>
        <w:numPr>
          <w:ilvl w:val="0"/>
          <w:numId w:val="18"/>
        </w:numPr>
        <w:rPr>
          <w:rFonts w:hint="eastAsia"/>
        </w:rPr>
      </w:pPr>
      <w:r>
        <w:t xml:space="preserve">有 </w:t>
      </w:r>
      <w:r>
        <w:rPr>
          <w:rStyle w:val="af3"/>
        </w:rPr>
        <w:t>消融实验</w:t>
      </w:r>
    </w:p>
    <w:p w14:paraId="7298AAA9" w14:textId="77777777" w:rsidR="00B5007F" w:rsidRDefault="00B5007F" w:rsidP="00B5007F">
      <w:pPr>
        <w:pStyle w:val="af2"/>
        <w:numPr>
          <w:ilvl w:val="0"/>
          <w:numId w:val="18"/>
        </w:numPr>
        <w:rPr>
          <w:rFonts w:hint="eastAsia"/>
        </w:rPr>
      </w:pPr>
      <w:r>
        <w:t xml:space="preserve">有 </w:t>
      </w:r>
      <w:r>
        <w:rPr>
          <w:rStyle w:val="af3"/>
        </w:rPr>
        <w:t>弱纹理 + 动态 两类典型退化场景</w:t>
      </w:r>
    </w:p>
    <w:p w14:paraId="65D8038A" w14:textId="77777777" w:rsidR="00B5007F" w:rsidRDefault="00B5007F" w:rsidP="00B5007F">
      <w:pPr>
        <w:pStyle w:val="af2"/>
        <w:numPr>
          <w:ilvl w:val="0"/>
          <w:numId w:val="18"/>
        </w:numPr>
        <w:rPr>
          <w:rFonts w:hint="eastAsia"/>
        </w:rPr>
      </w:pPr>
      <w:r>
        <w:lastRenderedPageBreak/>
        <w:t xml:space="preserve">有 </w:t>
      </w:r>
      <w:r>
        <w:rPr>
          <w:rStyle w:val="af3"/>
        </w:rPr>
        <w:t>定量 + 定性分析</w:t>
      </w:r>
    </w:p>
    <w:p w14:paraId="2B0C9F93" w14:textId="77777777" w:rsidR="00B5007F" w:rsidRDefault="00B5007F" w:rsidP="00B5007F">
      <w:pPr>
        <w:pStyle w:val="af2"/>
        <w:numPr>
          <w:ilvl w:val="0"/>
          <w:numId w:val="18"/>
        </w:numPr>
        <w:rPr>
          <w:rFonts w:hint="eastAsia"/>
        </w:rPr>
      </w:pPr>
      <w:r>
        <w:t>联合方法性能明显优于单模块</w:t>
      </w:r>
    </w:p>
    <w:p w14:paraId="1E528719" w14:textId="77777777" w:rsidR="00B5007F" w:rsidRDefault="00000000" w:rsidP="00B5007F">
      <w:pPr>
        <w:rPr>
          <w:rFonts w:hint="eastAsia"/>
        </w:rPr>
      </w:pPr>
      <w:r>
        <w:pict w14:anchorId="1CCCFBA4">
          <v:rect id="_x0000_i1033" style="width:0;height:1.5pt" o:hralign="center" o:hrstd="t" o:hr="t" fillcolor="#a0a0a0" stroked="f"/>
        </w:pict>
      </w:r>
    </w:p>
    <w:p w14:paraId="5F158280" w14:textId="77777777" w:rsidR="00B5007F" w:rsidRDefault="00B5007F" w:rsidP="00B5007F">
      <w:pPr>
        <w:pStyle w:val="af2"/>
        <w:rPr>
          <w:rFonts w:hint="eastAsia"/>
        </w:rPr>
      </w:pPr>
      <w:r>
        <w:t>如果你愿意，下一步我可以帮你：</w:t>
      </w:r>
    </w:p>
    <w:p w14:paraId="573C6016" w14:textId="77777777" w:rsidR="00B5007F" w:rsidRDefault="00B5007F" w:rsidP="00B5007F">
      <w:pPr>
        <w:pStyle w:val="af2"/>
        <w:numPr>
          <w:ilvl w:val="0"/>
          <w:numId w:val="19"/>
        </w:numPr>
        <w:rPr>
          <w:rFonts w:hint="eastAsia"/>
        </w:rPr>
      </w:pPr>
      <w:r>
        <w:rPr>
          <w:rStyle w:val="af3"/>
        </w:rPr>
        <w:t>直接写完整“实验章节”文本</w:t>
      </w:r>
    </w:p>
    <w:p w14:paraId="423F01EF" w14:textId="77777777" w:rsidR="00B5007F" w:rsidRDefault="00B5007F" w:rsidP="00B5007F">
      <w:pPr>
        <w:pStyle w:val="af2"/>
        <w:numPr>
          <w:ilvl w:val="0"/>
          <w:numId w:val="19"/>
        </w:numPr>
        <w:rPr>
          <w:rFonts w:hint="eastAsia"/>
        </w:rPr>
      </w:pPr>
      <w:r>
        <w:rPr>
          <w:rStyle w:val="af3"/>
        </w:rPr>
        <w:t>帮你选定最合适的公开数据集组合</w:t>
      </w:r>
    </w:p>
    <w:p w14:paraId="063A14C8" w14:textId="77777777" w:rsidR="00B5007F" w:rsidRDefault="00B5007F" w:rsidP="00B5007F">
      <w:pPr>
        <w:pStyle w:val="af2"/>
        <w:numPr>
          <w:ilvl w:val="0"/>
          <w:numId w:val="19"/>
        </w:numPr>
        <w:rPr>
          <w:rFonts w:hint="eastAsia"/>
        </w:rPr>
      </w:pPr>
      <w:r>
        <w:rPr>
          <w:rStyle w:val="af3"/>
        </w:rPr>
        <w:t>把这些实验结果映射到你论文的“贡献点”</w:t>
      </w:r>
    </w:p>
    <w:p w14:paraId="7D3BDFCB" w14:textId="77777777" w:rsidR="00B5007F" w:rsidRDefault="00B5007F" w:rsidP="00B5007F">
      <w:pPr>
        <w:pStyle w:val="af2"/>
        <w:rPr>
          <w:rFonts w:hint="eastAsia"/>
        </w:rPr>
      </w:pPr>
      <w:r>
        <w:t>你这套方法已经是</w:t>
      </w:r>
      <w:r>
        <w:rPr>
          <w:rStyle w:val="af3"/>
        </w:rPr>
        <w:t>完整可投级别</w:t>
      </w:r>
      <w:r>
        <w:t>了，只差实验叙事的打磨。</w:t>
      </w:r>
    </w:p>
    <w:p w14:paraId="3D037DF2" w14:textId="77777777" w:rsidR="00D74B29" w:rsidRPr="00B5007F" w:rsidRDefault="00D74B29">
      <w:pPr>
        <w:rPr>
          <w:rFonts w:hint="eastAsia"/>
        </w:rPr>
      </w:pPr>
    </w:p>
    <w:sectPr w:rsidR="00D74B29" w:rsidRPr="00B5007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E4069E" w14:textId="77777777" w:rsidR="00B528AE" w:rsidRDefault="00B528AE" w:rsidP="00883F5A">
      <w:pPr>
        <w:spacing w:after="0" w:line="240" w:lineRule="auto"/>
        <w:rPr>
          <w:rFonts w:hint="eastAsia"/>
        </w:rPr>
      </w:pPr>
      <w:r>
        <w:separator/>
      </w:r>
    </w:p>
  </w:endnote>
  <w:endnote w:type="continuationSeparator" w:id="0">
    <w:p w14:paraId="15743B7E" w14:textId="77777777" w:rsidR="00B528AE" w:rsidRDefault="00B528AE" w:rsidP="00883F5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40061B" w14:textId="77777777" w:rsidR="00B528AE" w:rsidRDefault="00B528AE" w:rsidP="00883F5A">
      <w:pPr>
        <w:spacing w:after="0" w:line="240" w:lineRule="auto"/>
        <w:rPr>
          <w:rFonts w:hint="eastAsia"/>
        </w:rPr>
      </w:pPr>
      <w:r>
        <w:separator/>
      </w:r>
    </w:p>
  </w:footnote>
  <w:footnote w:type="continuationSeparator" w:id="0">
    <w:p w14:paraId="211E74C4" w14:textId="77777777" w:rsidR="00B528AE" w:rsidRDefault="00B528AE" w:rsidP="00883F5A">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1FA4"/>
    <w:multiLevelType w:val="multilevel"/>
    <w:tmpl w:val="31F62A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07F37"/>
    <w:multiLevelType w:val="multilevel"/>
    <w:tmpl w:val="756A0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A62DD"/>
    <w:multiLevelType w:val="multilevel"/>
    <w:tmpl w:val="1C8A3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623169"/>
    <w:multiLevelType w:val="multilevel"/>
    <w:tmpl w:val="AF2CC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A84BD2"/>
    <w:multiLevelType w:val="multilevel"/>
    <w:tmpl w:val="11B0D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613E48"/>
    <w:multiLevelType w:val="multilevel"/>
    <w:tmpl w:val="42A06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F47E0C"/>
    <w:multiLevelType w:val="multilevel"/>
    <w:tmpl w:val="C0529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1F624A"/>
    <w:multiLevelType w:val="multilevel"/>
    <w:tmpl w:val="FF749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ED3635"/>
    <w:multiLevelType w:val="multilevel"/>
    <w:tmpl w:val="8370E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711F08"/>
    <w:multiLevelType w:val="multilevel"/>
    <w:tmpl w:val="746E1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800B98"/>
    <w:multiLevelType w:val="multilevel"/>
    <w:tmpl w:val="D6227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E57A73"/>
    <w:multiLevelType w:val="multilevel"/>
    <w:tmpl w:val="BE0693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3754FC"/>
    <w:multiLevelType w:val="multilevel"/>
    <w:tmpl w:val="00484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5D6133"/>
    <w:multiLevelType w:val="multilevel"/>
    <w:tmpl w:val="34F4C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A72FF2"/>
    <w:multiLevelType w:val="multilevel"/>
    <w:tmpl w:val="06540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876894"/>
    <w:multiLevelType w:val="multilevel"/>
    <w:tmpl w:val="9D460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F63C2F"/>
    <w:multiLevelType w:val="multilevel"/>
    <w:tmpl w:val="3A683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553B2B"/>
    <w:multiLevelType w:val="multilevel"/>
    <w:tmpl w:val="5CFA4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D849E9"/>
    <w:multiLevelType w:val="multilevel"/>
    <w:tmpl w:val="5D922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79E2EE7"/>
    <w:multiLevelType w:val="multilevel"/>
    <w:tmpl w:val="31FAA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0C031B"/>
    <w:multiLevelType w:val="multilevel"/>
    <w:tmpl w:val="8DD82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2B5D67"/>
    <w:multiLevelType w:val="multilevel"/>
    <w:tmpl w:val="03BCA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0421661">
    <w:abstractNumId w:val="7"/>
  </w:num>
  <w:num w:numId="2" w16cid:durableId="2091847740">
    <w:abstractNumId w:val="10"/>
  </w:num>
  <w:num w:numId="3" w16cid:durableId="2101832260">
    <w:abstractNumId w:val="2"/>
  </w:num>
  <w:num w:numId="4" w16cid:durableId="627853879">
    <w:abstractNumId w:val="20"/>
  </w:num>
  <w:num w:numId="5" w16cid:durableId="781611129">
    <w:abstractNumId w:val="19"/>
  </w:num>
  <w:num w:numId="6" w16cid:durableId="1177426640">
    <w:abstractNumId w:val="6"/>
  </w:num>
  <w:num w:numId="7" w16cid:durableId="1702975609">
    <w:abstractNumId w:val="16"/>
  </w:num>
  <w:num w:numId="8" w16cid:durableId="1326205396">
    <w:abstractNumId w:val="15"/>
  </w:num>
  <w:num w:numId="9" w16cid:durableId="48502432">
    <w:abstractNumId w:val="0"/>
  </w:num>
  <w:num w:numId="10" w16cid:durableId="125121518">
    <w:abstractNumId w:val="8"/>
  </w:num>
  <w:num w:numId="11" w16cid:durableId="942541549">
    <w:abstractNumId w:val="1"/>
  </w:num>
  <w:num w:numId="12" w16cid:durableId="1184442301">
    <w:abstractNumId w:val="13"/>
  </w:num>
  <w:num w:numId="13" w16cid:durableId="1541745726">
    <w:abstractNumId w:val="12"/>
  </w:num>
  <w:num w:numId="14" w16cid:durableId="492335118">
    <w:abstractNumId w:val="11"/>
  </w:num>
  <w:num w:numId="15" w16cid:durableId="1018657388">
    <w:abstractNumId w:val="4"/>
  </w:num>
  <w:num w:numId="16" w16cid:durableId="1854147766">
    <w:abstractNumId w:val="17"/>
  </w:num>
  <w:num w:numId="17" w16cid:durableId="851410125">
    <w:abstractNumId w:val="18"/>
  </w:num>
  <w:num w:numId="18" w16cid:durableId="1034960974">
    <w:abstractNumId w:val="5"/>
  </w:num>
  <w:num w:numId="19" w16cid:durableId="1721322373">
    <w:abstractNumId w:val="9"/>
  </w:num>
  <w:num w:numId="20" w16cid:durableId="1134787698">
    <w:abstractNumId w:val="14"/>
  </w:num>
  <w:num w:numId="21" w16cid:durableId="1550075044">
    <w:abstractNumId w:val="21"/>
  </w:num>
  <w:num w:numId="22" w16cid:durableId="8780808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1DD"/>
    <w:rsid w:val="000201DD"/>
    <w:rsid w:val="00045ACB"/>
    <w:rsid w:val="000B58FA"/>
    <w:rsid w:val="00194C6D"/>
    <w:rsid w:val="002539B9"/>
    <w:rsid w:val="002C3280"/>
    <w:rsid w:val="003D434D"/>
    <w:rsid w:val="003E6BAF"/>
    <w:rsid w:val="00552D8A"/>
    <w:rsid w:val="006A2943"/>
    <w:rsid w:val="00802F29"/>
    <w:rsid w:val="00883F5A"/>
    <w:rsid w:val="00A11523"/>
    <w:rsid w:val="00B12E8B"/>
    <w:rsid w:val="00B5007F"/>
    <w:rsid w:val="00B528AE"/>
    <w:rsid w:val="00B87958"/>
    <w:rsid w:val="00BD68FA"/>
    <w:rsid w:val="00C42E37"/>
    <w:rsid w:val="00D74B29"/>
    <w:rsid w:val="00E278A2"/>
    <w:rsid w:val="00F940BE"/>
    <w:rsid w:val="00F95B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EC03148"/>
  <w14:discardImageEditingData/>
  <w15:chartTrackingRefBased/>
  <w15:docId w15:val="{4524183D-7BF2-41F4-A62A-F58F87F78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201D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0201D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0201D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0201D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201D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201D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201D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201D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201D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201D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0201D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0201D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0201DD"/>
    <w:rPr>
      <w:rFonts w:cstheme="majorBidi"/>
      <w:color w:val="0F4761" w:themeColor="accent1" w:themeShade="BF"/>
      <w:sz w:val="28"/>
      <w:szCs w:val="28"/>
    </w:rPr>
  </w:style>
  <w:style w:type="character" w:customStyle="1" w:styleId="50">
    <w:name w:val="标题 5 字符"/>
    <w:basedOn w:val="a0"/>
    <w:link w:val="5"/>
    <w:uiPriority w:val="9"/>
    <w:semiHidden/>
    <w:rsid w:val="000201DD"/>
    <w:rPr>
      <w:rFonts w:cstheme="majorBidi"/>
      <w:color w:val="0F4761" w:themeColor="accent1" w:themeShade="BF"/>
      <w:sz w:val="24"/>
    </w:rPr>
  </w:style>
  <w:style w:type="character" w:customStyle="1" w:styleId="60">
    <w:name w:val="标题 6 字符"/>
    <w:basedOn w:val="a0"/>
    <w:link w:val="6"/>
    <w:uiPriority w:val="9"/>
    <w:semiHidden/>
    <w:rsid w:val="000201DD"/>
    <w:rPr>
      <w:rFonts w:cstheme="majorBidi"/>
      <w:b/>
      <w:bCs/>
      <w:color w:val="0F4761" w:themeColor="accent1" w:themeShade="BF"/>
    </w:rPr>
  </w:style>
  <w:style w:type="character" w:customStyle="1" w:styleId="70">
    <w:name w:val="标题 7 字符"/>
    <w:basedOn w:val="a0"/>
    <w:link w:val="7"/>
    <w:uiPriority w:val="9"/>
    <w:semiHidden/>
    <w:rsid w:val="000201DD"/>
    <w:rPr>
      <w:rFonts w:cstheme="majorBidi"/>
      <w:b/>
      <w:bCs/>
      <w:color w:val="595959" w:themeColor="text1" w:themeTint="A6"/>
    </w:rPr>
  </w:style>
  <w:style w:type="character" w:customStyle="1" w:styleId="80">
    <w:name w:val="标题 8 字符"/>
    <w:basedOn w:val="a0"/>
    <w:link w:val="8"/>
    <w:uiPriority w:val="9"/>
    <w:semiHidden/>
    <w:rsid w:val="000201DD"/>
    <w:rPr>
      <w:rFonts w:cstheme="majorBidi"/>
      <w:color w:val="595959" w:themeColor="text1" w:themeTint="A6"/>
    </w:rPr>
  </w:style>
  <w:style w:type="character" w:customStyle="1" w:styleId="90">
    <w:name w:val="标题 9 字符"/>
    <w:basedOn w:val="a0"/>
    <w:link w:val="9"/>
    <w:uiPriority w:val="9"/>
    <w:semiHidden/>
    <w:rsid w:val="000201DD"/>
    <w:rPr>
      <w:rFonts w:eastAsiaTheme="majorEastAsia" w:cstheme="majorBidi"/>
      <w:color w:val="595959" w:themeColor="text1" w:themeTint="A6"/>
    </w:rPr>
  </w:style>
  <w:style w:type="paragraph" w:styleId="a3">
    <w:name w:val="Title"/>
    <w:basedOn w:val="a"/>
    <w:next w:val="a"/>
    <w:link w:val="a4"/>
    <w:uiPriority w:val="10"/>
    <w:qFormat/>
    <w:rsid w:val="000201D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201D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201D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201D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201DD"/>
    <w:pPr>
      <w:spacing w:before="160"/>
      <w:jc w:val="center"/>
    </w:pPr>
    <w:rPr>
      <w:i/>
      <w:iCs/>
      <w:color w:val="404040" w:themeColor="text1" w:themeTint="BF"/>
    </w:rPr>
  </w:style>
  <w:style w:type="character" w:customStyle="1" w:styleId="a8">
    <w:name w:val="引用 字符"/>
    <w:basedOn w:val="a0"/>
    <w:link w:val="a7"/>
    <w:uiPriority w:val="29"/>
    <w:rsid w:val="000201DD"/>
    <w:rPr>
      <w:i/>
      <w:iCs/>
      <w:color w:val="404040" w:themeColor="text1" w:themeTint="BF"/>
    </w:rPr>
  </w:style>
  <w:style w:type="paragraph" w:styleId="a9">
    <w:name w:val="List Paragraph"/>
    <w:basedOn w:val="a"/>
    <w:uiPriority w:val="34"/>
    <w:qFormat/>
    <w:rsid w:val="000201DD"/>
    <w:pPr>
      <w:ind w:left="720"/>
      <w:contextualSpacing/>
    </w:pPr>
  </w:style>
  <w:style w:type="character" w:styleId="aa">
    <w:name w:val="Intense Emphasis"/>
    <w:basedOn w:val="a0"/>
    <w:uiPriority w:val="21"/>
    <w:qFormat/>
    <w:rsid w:val="000201DD"/>
    <w:rPr>
      <w:i/>
      <w:iCs/>
      <w:color w:val="0F4761" w:themeColor="accent1" w:themeShade="BF"/>
    </w:rPr>
  </w:style>
  <w:style w:type="paragraph" w:styleId="ab">
    <w:name w:val="Intense Quote"/>
    <w:basedOn w:val="a"/>
    <w:next w:val="a"/>
    <w:link w:val="ac"/>
    <w:uiPriority w:val="30"/>
    <w:qFormat/>
    <w:rsid w:val="000201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201DD"/>
    <w:rPr>
      <w:i/>
      <w:iCs/>
      <w:color w:val="0F4761" w:themeColor="accent1" w:themeShade="BF"/>
    </w:rPr>
  </w:style>
  <w:style w:type="character" w:styleId="ad">
    <w:name w:val="Intense Reference"/>
    <w:basedOn w:val="a0"/>
    <w:uiPriority w:val="32"/>
    <w:qFormat/>
    <w:rsid w:val="000201DD"/>
    <w:rPr>
      <w:b/>
      <w:bCs/>
      <w:smallCaps/>
      <w:color w:val="0F4761" w:themeColor="accent1" w:themeShade="BF"/>
      <w:spacing w:val="5"/>
    </w:rPr>
  </w:style>
  <w:style w:type="paragraph" w:styleId="ae">
    <w:name w:val="header"/>
    <w:basedOn w:val="a"/>
    <w:link w:val="af"/>
    <w:uiPriority w:val="99"/>
    <w:unhideWhenUsed/>
    <w:rsid w:val="00883F5A"/>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883F5A"/>
    <w:rPr>
      <w:sz w:val="18"/>
      <w:szCs w:val="18"/>
    </w:rPr>
  </w:style>
  <w:style w:type="paragraph" w:styleId="af0">
    <w:name w:val="footer"/>
    <w:basedOn w:val="a"/>
    <w:link w:val="af1"/>
    <w:uiPriority w:val="99"/>
    <w:unhideWhenUsed/>
    <w:rsid w:val="00883F5A"/>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883F5A"/>
    <w:rPr>
      <w:sz w:val="18"/>
      <w:szCs w:val="18"/>
    </w:rPr>
  </w:style>
  <w:style w:type="paragraph" w:styleId="af2">
    <w:name w:val="Normal (Web)"/>
    <w:basedOn w:val="a"/>
    <w:uiPriority w:val="99"/>
    <w:semiHidden/>
    <w:unhideWhenUsed/>
    <w:rsid w:val="00B5007F"/>
    <w:pPr>
      <w:widowControl/>
      <w:spacing w:before="100" w:beforeAutospacing="1" w:after="100" w:afterAutospacing="1" w:line="240" w:lineRule="auto"/>
    </w:pPr>
    <w:rPr>
      <w:rFonts w:ascii="宋体" w:eastAsia="宋体" w:hAnsi="宋体" w:cs="宋体"/>
      <w:kern w:val="0"/>
      <w:sz w:val="24"/>
      <w14:ligatures w14:val="none"/>
    </w:rPr>
  </w:style>
  <w:style w:type="character" w:styleId="af3">
    <w:name w:val="Strong"/>
    <w:basedOn w:val="a0"/>
    <w:uiPriority w:val="22"/>
    <w:qFormat/>
    <w:rsid w:val="00B5007F"/>
    <w:rPr>
      <w:b/>
      <w:bCs/>
    </w:rPr>
  </w:style>
  <w:style w:type="character" w:styleId="af4">
    <w:name w:val="Emphasis"/>
    <w:basedOn w:val="a0"/>
    <w:uiPriority w:val="20"/>
    <w:qFormat/>
    <w:rsid w:val="00E278A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9</Pages>
  <Words>843</Words>
  <Characters>4808</Characters>
  <Application>Microsoft Office Word</Application>
  <DocSecurity>0</DocSecurity>
  <Lines>40</Lines>
  <Paragraphs>11</Paragraphs>
  <ScaleCrop>false</ScaleCrop>
  <Company/>
  <LinksUpToDate>false</LinksUpToDate>
  <CharactersWithSpaces>5640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lic lic</dc:creator>
  <cp:keywords/>
  <dc:description/>
  <cp:lastModifiedBy>lic lic</cp:lastModifiedBy>
  <cp:revision>12</cp:revision>
  <dcterms:created xsi:type="dcterms:W3CDTF">2026-01-25T12:52:00Z</dcterms:created>
  <dcterms:modified xsi:type="dcterms:W3CDTF">2026-01-26T12:48:00Z</dcterms:modified>
</cp:coreProperties>
</file>