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53B9" w:rsidRPr="00BB35A8" w:rsidRDefault="00CF2A76" w:rsidP="009964FA">
      <w:pPr>
        <w:spacing w:line="431" w:lineRule="exact"/>
        <w:ind w:left="118" w:firstLine="105"/>
        <w:jc w:val="center"/>
        <w:rPr>
          <w:rFonts w:ascii="標楷體" w:eastAsia="標楷體" w:hAnsi="標楷體"/>
          <w:b/>
          <w:color w:val="000000" w:themeColor="text1"/>
          <w:sz w:val="28"/>
          <w:lang w:eastAsia="zh-TW"/>
        </w:rPr>
      </w:pPr>
      <w:r w:rsidRPr="00BB35A8">
        <w:rPr>
          <w:rFonts w:ascii="標楷體" w:eastAsia="標楷體" w:hAnsi="標楷體" w:hint="eastAsia"/>
          <w:b/>
          <w:color w:val="000000" w:themeColor="text1"/>
          <w:sz w:val="28"/>
          <w:lang w:eastAsia="zh-TW"/>
        </w:rPr>
        <w:t>臺北市士林區平等國民小學</w:t>
      </w:r>
      <w:r w:rsidR="009964FA" w:rsidRPr="00BB35A8">
        <w:rPr>
          <w:rFonts w:ascii="標楷體" w:eastAsia="標楷體" w:hAnsi="標楷體" w:hint="eastAsia"/>
          <w:b/>
          <w:color w:val="000000" w:themeColor="text1"/>
          <w:sz w:val="28"/>
          <w:lang w:eastAsia="zh-TW"/>
        </w:rPr>
        <w:t>收受捐款收支管理委員會作業要點</w:t>
      </w:r>
    </w:p>
    <w:p w:rsidR="006553B9" w:rsidRDefault="004344DF" w:rsidP="005814A0">
      <w:pPr>
        <w:spacing w:line="360" w:lineRule="exact"/>
        <w:ind w:left="119" w:firstLine="108"/>
        <w:jc w:val="right"/>
        <w:rPr>
          <w:rFonts w:ascii="標楷體" w:eastAsia="標楷體" w:hAnsi="標楷體"/>
          <w:color w:val="000000" w:themeColor="text1"/>
          <w:sz w:val="16"/>
          <w:szCs w:val="16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107年8月1日 行政會議</w:t>
      </w:r>
      <w:r w:rsidRPr="00BB35A8">
        <w:rPr>
          <w:rFonts w:ascii="標楷體" w:eastAsia="標楷體" w:hAnsi="標楷體"/>
          <w:color w:val="000000" w:themeColor="text1"/>
          <w:sz w:val="16"/>
          <w:szCs w:val="16"/>
          <w:lang w:eastAsia="zh-TW"/>
        </w:rPr>
        <w:t>通過後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並經</w:t>
      </w:r>
      <w:r w:rsidRPr="00BB35A8">
        <w:rPr>
          <w:rFonts w:ascii="標楷體" w:eastAsia="標楷體" w:hAnsi="標楷體"/>
          <w:color w:val="000000" w:themeColor="text1"/>
          <w:sz w:val="16"/>
          <w:szCs w:val="16"/>
          <w:lang w:eastAsia="zh-TW"/>
        </w:rPr>
        <w:t>陳校長核定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後實施</w:t>
      </w:r>
    </w:p>
    <w:p w:rsidR="005814A0" w:rsidRPr="00BB35A8" w:rsidRDefault="005814A0" w:rsidP="005814A0">
      <w:pPr>
        <w:wordWrap w:val="0"/>
        <w:spacing w:line="360" w:lineRule="exact"/>
        <w:ind w:left="119" w:right="640" w:firstLine="108"/>
        <w:rPr>
          <w:rFonts w:ascii="標楷體" w:eastAsia="標楷體" w:hAnsi="標楷體"/>
          <w:b/>
          <w:color w:val="000000" w:themeColor="text1"/>
          <w:sz w:val="35"/>
          <w:lang w:eastAsia="zh-TW"/>
        </w:rPr>
      </w:pPr>
      <w:r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 xml:space="preserve">                                                          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10</w:t>
      </w:r>
      <w:r>
        <w:rPr>
          <w:rFonts w:ascii="標楷體" w:eastAsia="標楷體" w:hAnsi="標楷體"/>
          <w:color w:val="000000" w:themeColor="text1"/>
          <w:sz w:val="16"/>
          <w:szCs w:val="16"/>
          <w:lang w:eastAsia="zh-TW"/>
        </w:rPr>
        <w:t>9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年</w:t>
      </w:r>
      <w:r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6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月</w:t>
      </w:r>
      <w:r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30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日 行政會議</w:t>
      </w:r>
      <w:r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修正後</w:t>
      </w:r>
      <w:r w:rsidRPr="00BB35A8">
        <w:rPr>
          <w:rFonts w:ascii="標楷體" w:eastAsia="標楷體" w:hAnsi="標楷體" w:hint="eastAsia"/>
          <w:color w:val="000000" w:themeColor="text1"/>
          <w:sz w:val="16"/>
          <w:szCs w:val="16"/>
          <w:lang w:eastAsia="zh-TW"/>
        </w:rPr>
        <w:t>實施</w:t>
      </w:r>
    </w:p>
    <w:p w:rsidR="006553B9" w:rsidRPr="00BB35A8" w:rsidRDefault="00CF2A76">
      <w:pPr>
        <w:pStyle w:val="a3"/>
        <w:spacing w:before="0" w:line="357" w:lineRule="auto"/>
        <w:ind w:left="677" w:right="300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一、本校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含幼兒園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)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為妥善運用各界捐款，依</w:t>
      </w:r>
      <w:r w:rsidR="0066668E" w:rsidRPr="00BB35A8">
        <w:rPr>
          <w:rFonts w:ascii="標楷體" w:eastAsia="標楷體" w:hAnsi="標楷體" w:hint="eastAsia"/>
          <w:color w:val="000000" w:themeColor="text1"/>
          <w:lang w:eastAsia="zh-TW"/>
        </w:rPr>
        <w:t>臺北市政府教育局所屬學校幼兒園收受捐款收支管理運用要點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，訂定本要點。以達有效監督及管理之目的。</w:t>
      </w:r>
    </w:p>
    <w:p w:rsidR="006553B9" w:rsidRPr="00BB35A8" w:rsidRDefault="00CF2A76">
      <w:pPr>
        <w:spacing w:before="49"/>
        <w:ind w:left="679"/>
        <w:rPr>
          <w:rFonts w:ascii="標楷體" w:eastAsia="標楷體" w:hAnsi="標楷體"/>
          <w:color w:val="000000" w:themeColor="text1"/>
          <w:sz w:val="24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spacing w:val="-2"/>
          <w:sz w:val="24"/>
          <w:lang w:eastAsia="zh-TW"/>
        </w:rPr>
        <w:t xml:space="preserve">臺北市政府教育局 </w:t>
      </w: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106</w:t>
      </w:r>
      <w:r w:rsidRPr="00BB35A8">
        <w:rPr>
          <w:rFonts w:ascii="標楷體" w:eastAsia="標楷體" w:hAnsi="標楷體" w:hint="eastAsia"/>
          <w:color w:val="000000" w:themeColor="text1"/>
          <w:spacing w:val="-60"/>
          <w:sz w:val="24"/>
          <w:lang w:eastAsia="zh-TW"/>
        </w:rPr>
        <w:t xml:space="preserve"> </w:t>
      </w:r>
      <w:r w:rsidRPr="00BB35A8">
        <w:rPr>
          <w:rFonts w:ascii="標楷體" w:eastAsia="標楷體" w:hAnsi="標楷體"/>
          <w:color w:val="000000" w:themeColor="text1"/>
          <w:spacing w:val="-2"/>
          <w:sz w:val="24"/>
          <w:lang w:eastAsia="zh-TW"/>
        </w:rPr>
        <w:t xml:space="preserve">年 </w:t>
      </w: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8</w:t>
      </w:r>
      <w:r w:rsidRPr="00BB35A8">
        <w:rPr>
          <w:rFonts w:ascii="標楷體" w:eastAsia="標楷體" w:hAnsi="標楷體" w:hint="eastAsia"/>
          <w:color w:val="000000" w:themeColor="text1"/>
          <w:spacing w:val="-60"/>
          <w:sz w:val="24"/>
          <w:lang w:eastAsia="zh-TW"/>
        </w:rPr>
        <w:t xml:space="preserve"> </w:t>
      </w:r>
      <w:r w:rsidRPr="00BB35A8">
        <w:rPr>
          <w:rFonts w:ascii="標楷體" w:eastAsia="標楷體" w:hAnsi="標楷體"/>
          <w:color w:val="000000" w:themeColor="text1"/>
          <w:spacing w:val="-2"/>
          <w:sz w:val="24"/>
          <w:lang w:eastAsia="zh-TW"/>
        </w:rPr>
        <w:t xml:space="preserve">月 </w:t>
      </w: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28</w:t>
      </w:r>
      <w:r w:rsidRPr="00BB35A8">
        <w:rPr>
          <w:rFonts w:ascii="標楷體" w:eastAsia="標楷體" w:hAnsi="標楷體" w:hint="eastAsia"/>
          <w:color w:val="000000" w:themeColor="text1"/>
          <w:spacing w:val="-60"/>
          <w:sz w:val="24"/>
          <w:lang w:eastAsia="zh-TW"/>
        </w:rPr>
        <w:t xml:space="preserve"> </w:t>
      </w:r>
      <w:r w:rsidRPr="00BB35A8">
        <w:rPr>
          <w:rFonts w:ascii="標楷體" w:eastAsia="標楷體" w:hAnsi="標楷體"/>
          <w:color w:val="000000" w:themeColor="text1"/>
          <w:spacing w:val="-1"/>
          <w:sz w:val="24"/>
          <w:lang w:eastAsia="zh-TW"/>
        </w:rPr>
        <w:t>日</w:t>
      </w:r>
      <w:proofErr w:type="gramStart"/>
      <w:r w:rsidRPr="00BB35A8">
        <w:rPr>
          <w:rFonts w:ascii="標楷體" w:eastAsia="標楷體" w:hAnsi="標楷體"/>
          <w:color w:val="000000" w:themeColor="text1"/>
          <w:spacing w:val="-1"/>
          <w:sz w:val="24"/>
          <w:lang w:eastAsia="zh-TW"/>
        </w:rPr>
        <w:t>北市教秘字</w:t>
      </w:r>
      <w:proofErr w:type="gramEnd"/>
      <w:r w:rsidRPr="00BB35A8">
        <w:rPr>
          <w:rFonts w:ascii="標楷體" w:eastAsia="標楷體" w:hAnsi="標楷體"/>
          <w:color w:val="000000" w:themeColor="text1"/>
          <w:spacing w:val="-1"/>
          <w:sz w:val="24"/>
          <w:lang w:eastAsia="zh-TW"/>
        </w:rPr>
        <w:t xml:space="preserve">第 </w:t>
      </w: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10638373300</w:t>
      </w:r>
      <w:r w:rsidRPr="00BB35A8">
        <w:rPr>
          <w:rFonts w:ascii="標楷體" w:eastAsia="標楷體" w:hAnsi="標楷體" w:hint="eastAsia"/>
          <w:color w:val="000000" w:themeColor="text1"/>
          <w:spacing w:val="-60"/>
          <w:sz w:val="24"/>
          <w:lang w:eastAsia="zh-TW"/>
        </w:rPr>
        <w:t xml:space="preserve"> </w:t>
      </w:r>
      <w:r w:rsidRPr="00BB35A8">
        <w:rPr>
          <w:rFonts w:ascii="標楷體" w:eastAsia="標楷體" w:hAnsi="標楷體"/>
          <w:color w:val="000000" w:themeColor="text1"/>
          <w:sz w:val="24"/>
          <w:lang w:eastAsia="zh-TW"/>
        </w:rPr>
        <w:t>號函</w:t>
      </w:r>
      <w:r w:rsidRPr="00BB35A8">
        <w:rPr>
          <w:rFonts w:ascii="標楷體" w:eastAsia="標楷體" w:hAnsi="標楷體" w:hint="eastAsia"/>
          <w:color w:val="000000" w:themeColor="text1"/>
          <w:sz w:val="24"/>
          <w:lang w:eastAsia="zh-TW"/>
        </w:rPr>
        <w:t>)</w:t>
      </w:r>
    </w:p>
    <w:p w:rsidR="006553B9" w:rsidRPr="00BB35A8" w:rsidRDefault="00CF2A76">
      <w:pPr>
        <w:pStyle w:val="a3"/>
        <w:spacing w:before="147" w:line="357" w:lineRule="auto"/>
        <w:ind w:left="677" w:right="305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二、本委員會之任務為審議捐款之收支管理、支用審核、成果報告及其他本委員會提議事項。</w:t>
      </w:r>
    </w:p>
    <w:p w:rsidR="006553B9" w:rsidRPr="00BB35A8" w:rsidRDefault="00CF2A76">
      <w:pPr>
        <w:pStyle w:val="a3"/>
        <w:spacing w:before="43" w:line="357" w:lineRule="auto"/>
        <w:ind w:left="677" w:right="305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三、本委員會由校長擔任召集人，總務主任擔任執行秘書，教務主任、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學輔主任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、會計主任、人事主任及幼兒園主任擔任委員。本委員會每</w:t>
      </w:r>
      <w:r w:rsidR="00E41CA6" w:rsidRPr="00BB35A8">
        <w:rPr>
          <w:rFonts w:ascii="標楷體" w:eastAsia="標楷體" w:hAnsi="標楷體" w:hint="eastAsia"/>
          <w:color w:val="000000" w:themeColor="text1"/>
          <w:lang w:eastAsia="zh-TW"/>
        </w:rPr>
        <w:t>學期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開會一次，必要時得召開臨時會</w:t>
      </w:r>
    </w:p>
    <w:p w:rsidR="006553B9" w:rsidRPr="00BB35A8" w:rsidRDefault="00CF2A76">
      <w:pPr>
        <w:pStyle w:val="a3"/>
        <w:spacing w:before="43"/>
        <w:ind w:left="11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四、捐款經費之收支管理，應依下列</w:t>
      </w:r>
      <w:r w:rsidR="00E41CA6"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方式辦理：</w:t>
      </w:r>
    </w:p>
    <w:p w:rsidR="006553B9" w:rsidRPr="00BB35A8" w:rsidRDefault="00CF2A76">
      <w:pPr>
        <w:pStyle w:val="a3"/>
        <w:spacing w:before="178" w:line="357" w:lineRule="auto"/>
        <w:ind w:left="1378" w:right="166" w:hanging="699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一</w:t>
      </w:r>
      <w:proofErr w:type="gramEnd"/>
      <w:r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)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捐款除法規另有規定外，不得附條件或涉及增加</w:t>
      </w:r>
      <w:r w:rsidR="00E41CA6" w:rsidRPr="00BB35A8">
        <w:rPr>
          <w:rFonts w:ascii="標楷體" w:eastAsia="標楷體" w:hAnsi="標楷體" w:hint="eastAsia"/>
          <w:color w:val="000000" w:themeColor="text1"/>
          <w:lang w:eastAsia="zh-TW"/>
        </w:rPr>
        <w:t>學校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經費負擔。學校及幼兒園對捐款者有業務監督關係，不得接受其捐款。捐款指定之用途有執行困難或爭議者，學校及幼兒園得拒絕之。</w:t>
      </w:r>
    </w:p>
    <w:p w:rsidR="006553B9" w:rsidRPr="00BB35A8" w:rsidRDefault="00CF2A76">
      <w:pPr>
        <w:pStyle w:val="a3"/>
        <w:spacing w:before="44" w:line="357" w:lineRule="auto"/>
        <w:ind w:left="1378" w:right="161" w:hanging="699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二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)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指定用途之捐款，不得任意變更用途，以代收代付方式， 並依會計程序辦理。</w:t>
      </w:r>
    </w:p>
    <w:p w:rsidR="006553B9" w:rsidRPr="00BB35A8" w:rsidRDefault="00CF2A76">
      <w:pPr>
        <w:pStyle w:val="a3"/>
        <w:spacing w:before="41"/>
        <w:ind w:left="1378"/>
        <w:rPr>
          <w:rFonts w:ascii="標楷體" w:eastAsia="標楷體" w:hAnsi="標楷體"/>
          <w:color w:val="000000" w:themeColor="text1"/>
          <w:lang w:eastAsia="zh-TW"/>
        </w:rPr>
      </w:pP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註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：指定用途之捐款，應符合下列範圍：</w:t>
      </w:r>
    </w:p>
    <w:p w:rsidR="006553B9" w:rsidRPr="00BB35A8" w:rsidRDefault="00CF2A76">
      <w:pPr>
        <w:pStyle w:val="a3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1.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促進學校課程與教學發展之事項。</w:t>
      </w:r>
    </w:p>
    <w:p w:rsidR="006553B9" w:rsidRPr="00BB35A8" w:rsidRDefault="00CF2A76">
      <w:pPr>
        <w:pStyle w:val="a3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2.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學生獎助學金。</w:t>
      </w:r>
    </w:p>
    <w:p w:rsidR="006553B9" w:rsidRPr="00BB35A8" w:rsidRDefault="00CF2A76">
      <w:pPr>
        <w:pStyle w:val="a3"/>
        <w:spacing w:before="17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3.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維護校園安全。</w:t>
      </w:r>
    </w:p>
    <w:p w:rsidR="006553B9" w:rsidRPr="00BB35A8" w:rsidRDefault="00CF2A76">
      <w:pPr>
        <w:pStyle w:val="a3"/>
        <w:spacing w:before="181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4.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辦理各項教育、體育、社團活動。</w:t>
      </w:r>
    </w:p>
    <w:p w:rsidR="006553B9" w:rsidRPr="00BB35A8" w:rsidRDefault="00CF2A76">
      <w:pPr>
        <w:pStyle w:val="a3"/>
        <w:spacing w:before="17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5.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新興、修繕校舍及設備。</w:t>
      </w:r>
    </w:p>
    <w:p w:rsidR="006553B9" w:rsidRPr="00BB35A8" w:rsidRDefault="00CF2A76">
      <w:pPr>
        <w:pStyle w:val="a3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6.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教職員工與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學生突逢變故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之生活急難救助。</w:t>
      </w:r>
    </w:p>
    <w:p w:rsidR="006553B9" w:rsidRPr="00BB35A8" w:rsidRDefault="00CF2A76">
      <w:pPr>
        <w:pStyle w:val="a3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7.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捐款人指定且與教育業務相關之具體用途。</w:t>
      </w:r>
    </w:p>
    <w:p w:rsidR="006553B9" w:rsidRPr="00BB35A8" w:rsidRDefault="00CF2A76">
      <w:pPr>
        <w:pStyle w:val="a3"/>
        <w:spacing w:before="178"/>
        <w:ind w:left="679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三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)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非指定用途之捐款，應統一解繳本校特種基金專戶。</w:t>
      </w:r>
    </w:p>
    <w:p w:rsidR="006553B9" w:rsidRPr="00BB35A8" w:rsidRDefault="00CF2A76">
      <w:pPr>
        <w:pStyle w:val="a3"/>
        <w:ind w:left="679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四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)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接受捐款時，應開立收款收據予捐款者。捐款如為支票，</w:t>
      </w:r>
    </w:p>
    <w:p w:rsidR="006553B9" w:rsidRPr="00BB35A8" w:rsidRDefault="006553B9">
      <w:pPr>
        <w:rPr>
          <w:rFonts w:ascii="標楷體" w:eastAsia="標楷體" w:hAnsi="標楷體"/>
          <w:color w:val="000000" w:themeColor="text1"/>
          <w:lang w:eastAsia="zh-TW"/>
        </w:rPr>
        <w:sectPr w:rsidR="006553B9" w:rsidRPr="00BB35A8">
          <w:type w:val="continuous"/>
          <w:pgSz w:w="11910" w:h="16840"/>
          <w:pgMar w:top="740" w:right="1680" w:bottom="280" w:left="1680" w:header="720" w:footer="720" w:gutter="0"/>
          <w:cols w:space="720"/>
        </w:sectPr>
      </w:pPr>
    </w:p>
    <w:p w:rsidR="006553B9" w:rsidRPr="00BB35A8" w:rsidRDefault="00CF2A76">
      <w:pPr>
        <w:pStyle w:val="a3"/>
        <w:spacing w:before="0" w:line="357" w:lineRule="auto"/>
        <w:ind w:left="137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lastRenderedPageBreak/>
        <w:t>則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俟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其票據兌現後，始開立收款收據。捐款者指名之受贈人如為自然人，本校應於收據上註明實際受贈人，並加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註</w:t>
      </w:r>
      <w:proofErr w:type="gramEnd"/>
    </w:p>
    <w:p w:rsidR="006553B9" w:rsidRPr="00BB35A8" w:rsidRDefault="00CF2A76">
      <w:pPr>
        <w:pStyle w:val="a3"/>
        <w:spacing w:before="54"/>
        <w:ind w:left="137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「非對政府捐款，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屬代轉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性質」字樣。</w:t>
      </w:r>
    </w:p>
    <w:p w:rsidR="006553B9" w:rsidRPr="00BB35A8" w:rsidRDefault="00CF2A76">
      <w:pPr>
        <w:pStyle w:val="a3"/>
        <w:spacing w:line="357" w:lineRule="auto"/>
        <w:ind w:left="1378" w:right="151" w:hanging="699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五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 xml:space="preserve">) 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指定用途之捐款，於捐款指定業務執行完畢，尚有節餘， 應將餘款全數解繳各該特種基金專戶。</w:t>
      </w:r>
    </w:p>
    <w:p w:rsidR="00CD376C" w:rsidRDefault="00CF2A76">
      <w:pPr>
        <w:pStyle w:val="a3"/>
        <w:spacing w:before="43" w:line="357" w:lineRule="auto"/>
        <w:ind w:left="118" w:right="292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五、捐款之支出運用涉及採購者，應依政府採購法相關規定辦理。</w:t>
      </w:r>
    </w:p>
    <w:p w:rsidR="006553B9" w:rsidRPr="00BB35A8" w:rsidRDefault="00CF2A76">
      <w:pPr>
        <w:pStyle w:val="a3"/>
        <w:spacing w:before="43" w:line="357" w:lineRule="auto"/>
        <w:ind w:left="118" w:right="292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六、捐款經費之支用審核，應依下列方式辦理：</w:t>
      </w:r>
    </w:p>
    <w:p w:rsidR="006553B9" w:rsidRPr="00BB35A8" w:rsidRDefault="00CF2A76">
      <w:pPr>
        <w:pStyle w:val="a3"/>
        <w:spacing w:before="40"/>
        <w:ind w:left="677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指定用途捐款支用審核程序：</w:t>
      </w:r>
    </w:p>
    <w:p w:rsidR="006553B9" w:rsidRPr="00BB35A8" w:rsidRDefault="00CF2A76">
      <w:pPr>
        <w:pStyle w:val="a3"/>
        <w:spacing w:line="357" w:lineRule="auto"/>
        <w:ind w:left="1238" w:right="308" w:hanging="281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1.</w:t>
      </w:r>
      <w:r w:rsidR="00914400" w:rsidRPr="00914400">
        <w:rPr>
          <w:rFonts w:ascii="標楷體" w:eastAsia="標楷體" w:hAnsi="標楷體" w:hint="eastAsia"/>
          <w:color w:val="000000" w:themeColor="text1"/>
          <w:lang w:eastAsia="zh-TW"/>
        </w:rPr>
        <w:t>動支捐款金額未達十萬元，申請動支捐款時，應以專簽敘明支出項目、用途、經費概算及確認支用項目符合捐款者指定用途後，依行政程序簽會會計室辦理經費控留，經首長或其授權人員核准後始得動支，依程序辦理核銷事宜， 並於六個月內提報管理委員會追認</w:t>
      </w:r>
      <w:r w:rsidR="006841D5">
        <w:rPr>
          <w:rFonts w:ascii="標楷體" w:eastAsia="標楷體" w:hAnsi="標楷體" w:hint="eastAsia"/>
          <w:color w:val="000000" w:themeColor="text1"/>
          <w:lang w:eastAsia="zh-TW"/>
        </w:rPr>
        <w:t xml:space="preserve"> </w:t>
      </w:r>
      <w:r w:rsidR="00914400">
        <w:rPr>
          <w:rFonts w:ascii="標楷體" w:eastAsia="標楷體" w:hAnsi="標楷體" w:hint="eastAsia"/>
          <w:color w:val="000000" w:themeColor="text1"/>
          <w:lang w:eastAsia="zh-TW"/>
        </w:rPr>
        <w:t>。</w:t>
      </w:r>
      <w:r w:rsidR="006841D5">
        <w:rPr>
          <w:rFonts w:ascii="標楷體" w:eastAsia="標楷體" w:hAnsi="標楷體" w:hint="eastAsia"/>
          <w:color w:val="000000" w:themeColor="text1"/>
          <w:lang w:eastAsia="zh-TW"/>
        </w:rPr>
        <w:t xml:space="preserve">                                                                                                                                                      </w:t>
      </w:r>
    </w:p>
    <w:p w:rsidR="006553B9" w:rsidRPr="00BB35A8" w:rsidRDefault="00CF2A76">
      <w:pPr>
        <w:pStyle w:val="a3"/>
        <w:spacing w:before="43"/>
        <w:ind w:left="95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2.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動支捐款金額達十萬元以上，應提報管理委員會審議。</w:t>
      </w:r>
    </w:p>
    <w:p w:rsidR="006553B9" w:rsidRDefault="00CF2A76">
      <w:pPr>
        <w:pStyle w:val="a3"/>
        <w:spacing w:line="357" w:lineRule="auto"/>
        <w:ind w:left="1238" w:right="308" w:hanging="281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3.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指定用途之捐款，於捐款指定業務執行完畢，尚有節餘， 應將餘款全數解繳本校特種基金專戶。</w:t>
      </w:r>
    </w:p>
    <w:p w:rsidR="006553B9" w:rsidRPr="00BB35A8" w:rsidRDefault="00CF2A76">
      <w:pPr>
        <w:pStyle w:val="a3"/>
        <w:spacing w:before="43"/>
        <w:ind w:left="11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七、捐款經費之成果報告，應依下列方式辦理：</w:t>
      </w:r>
    </w:p>
    <w:p w:rsidR="006553B9" w:rsidRPr="00BB35A8" w:rsidRDefault="00CF2A76">
      <w:pPr>
        <w:pStyle w:val="a3"/>
        <w:spacing w:line="357" w:lineRule="auto"/>
        <w:ind w:left="1238" w:right="308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一</w:t>
      </w:r>
      <w:proofErr w:type="gramEnd"/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)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對於捐款之收支，應定期公告捐款者名單、金額及經費運用成果報告（應包含收支明細等）資訊，供大眾查閱。但得依捐款者之要求</w:t>
      </w:r>
      <w:proofErr w:type="gramStart"/>
      <w:r w:rsidRPr="00BB35A8">
        <w:rPr>
          <w:rFonts w:ascii="標楷體" w:eastAsia="標楷體" w:hAnsi="標楷體"/>
          <w:color w:val="000000" w:themeColor="text1"/>
          <w:lang w:eastAsia="zh-TW"/>
        </w:rPr>
        <w:t>不</w:t>
      </w:r>
      <w:proofErr w:type="gramEnd"/>
      <w:r w:rsidRPr="00BB35A8">
        <w:rPr>
          <w:rFonts w:ascii="標楷體" w:eastAsia="標楷體" w:hAnsi="標楷體"/>
          <w:color w:val="000000" w:themeColor="text1"/>
          <w:lang w:eastAsia="zh-TW"/>
        </w:rPr>
        <w:t>公告特定事項。</w:t>
      </w:r>
    </w:p>
    <w:p w:rsidR="006553B9" w:rsidRPr="00BB35A8" w:rsidRDefault="00CF2A76">
      <w:pPr>
        <w:pStyle w:val="a3"/>
        <w:spacing w:before="43" w:line="357" w:lineRule="auto"/>
        <w:ind w:left="1238" w:right="308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二</w:t>
      </w:r>
      <w:r w:rsidRPr="00BB35A8">
        <w:rPr>
          <w:rFonts w:ascii="標楷體" w:eastAsia="標楷體" w:hAnsi="標楷體" w:hint="eastAsia"/>
          <w:color w:val="000000" w:themeColor="text1"/>
          <w:lang w:eastAsia="zh-TW"/>
        </w:rPr>
        <w:t>)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前項資訊公開方式，應依個人資料保護法及政府資訊公開法等相關規定辦理。</w:t>
      </w:r>
    </w:p>
    <w:p w:rsidR="006553B9" w:rsidRPr="00BB35A8" w:rsidRDefault="00CF2A76">
      <w:pPr>
        <w:pStyle w:val="a3"/>
        <w:spacing w:before="44" w:line="357" w:lineRule="auto"/>
        <w:ind w:left="677" w:right="306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八、年度工作查核由校長指派會計及相關單位人員組成查核小組，</w:t>
      </w:r>
      <w:r w:rsidR="00080E36" w:rsidRPr="00BB35A8">
        <w:rPr>
          <w:rFonts w:ascii="標楷體" w:eastAsia="標楷體" w:hAnsi="標楷體" w:hint="eastAsia"/>
          <w:color w:val="000000" w:themeColor="text1"/>
          <w:lang w:eastAsia="zh-TW"/>
        </w:rPr>
        <w:t>每學年度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至少實施一次捐款收支內部查核作業，並作成書面紀錄</w:t>
      </w:r>
      <w:r w:rsidR="00080E36" w:rsidRPr="00BB35A8">
        <w:rPr>
          <w:rFonts w:ascii="標楷體" w:eastAsia="標楷體" w:hAnsi="標楷體" w:hint="eastAsia"/>
          <w:color w:val="000000" w:themeColor="text1"/>
          <w:lang w:eastAsia="zh-TW"/>
        </w:rPr>
        <w:t>(</w:t>
      </w:r>
      <w:proofErr w:type="gramStart"/>
      <w:r w:rsidR="00080E36" w:rsidRPr="00BB35A8">
        <w:rPr>
          <w:rFonts w:ascii="標楷體" w:eastAsia="標楷體" w:hAnsi="標楷體" w:hint="eastAsia"/>
          <w:color w:val="000000" w:themeColor="text1"/>
          <w:lang w:eastAsia="zh-TW"/>
        </w:rPr>
        <w:t>查核表如附件</w:t>
      </w:r>
      <w:proofErr w:type="gramEnd"/>
      <w:r w:rsidR="00080E36" w:rsidRPr="00BB35A8">
        <w:rPr>
          <w:rFonts w:ascii="標楷體" w:eastAsia="標楷體" w:hAnsi="標楷體" w:hint="eastAsia"/>
          <w:color w:val="000000" w:themeColor="text1"/>
          <w:lang w:eastAsia="zh-TW"/>
        </w:rPr>
        <w:t>)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。</w:t>
      </w:r>
    </w:p>
    <w:p w:rsidR="006553B9" w:rsidRPr="00BB35A8" w:rsidRDefault="00CF2A76">
      <w:pPr>
        <w:pStyle w:val="a3"/>
        <w:spacing w:before="43" w:line="357" w:lineRule="auto"/>
        <w:ind w:left="677" w:right="307" w:hanging="560"/>
        <w:jc w:val="both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九、本要點如有未盡事宜依</w:t>
      </w:r>
      <w:r w:rsidR="007514C0" w:rsidRPr="00BB35A8">
        <w:rPr>
          <w:rFonts w:ascii="標楷體" w:eastAsia="標楷體" w:hAnsi="標楷體" w:hint="eastAsia"/>
          <w:color w:val="000000" w:themeColor="text1"/>
          <w:lang w:eastAsia="zh-TW"/>
        </w:rPr>
        <w:t>臺北市政府所屬各機關學校捐款收支管理要點</w:t>
      </w:r>
      <w:r w:rsidRPr="00BB35A8">
        <w:rPr>
          <w:rFonts w:ascii="標楷體" w:eastAsia="標楷體" w:hAnsi="標楷體"/>
          <w:color w:val="000000" w:themeColor="text1"/>
          <w:lang w:eastAsia="zh-TW"/>
        </w:rPr>
        <w:t>及其他相關規定辦理。</w:t>
      </w:r>
    </w:p>
    <w:p w:rsidR="00B22850" w:rsidRPr="00BB35A8" w:rsidRDefault="00CF2A76">
      <w:pPr>
        <w:pStyle w:val="a3"/>
        <w:spacing w:before="43"/>
        <w:ind w:left="118"/>
        <w:rPr>
          <w:rFonts w:ascii="標楷體" w:eastAsia="標楷體" w:hAnsi="標楷體"/>
          <w:color w:val="000000" w:themeColor="text1"/>
          <w:lang w:eastAsia="zh-TW"/>
        </w:rPr>
      </w:pPr>
      <w:r w:rsidRPr="00BB35A8">
        <w:rPr>
          <w:rFonts w:ascii="標楷體" w:eastAsia="標楷體" w:hAnsi="標楷體"/>
          <w:color w:val="000000" w:themeColor="text1"/>
          <w:lang w:eastAsia="zh-TW"/>
        </w:rPr>
        <w:t>十、本要點經行政會議通過後陳校長核定後實施，修正時亦同。</w:t>
      </w:r>
    </w:p>
    <w:p w:rsidR="007F3553" w:rsidRPr="00BB35A8" w:rsidRDefault="007F3553" w:rsidP="001B6B01">
      <w:pPr>
        <w:rPr>
          <w:rFonts w:ascii="標楷體" w:eastAsia="標楷體" w:hAnsi="標楷體"/>
          <w:b/>
          <w:bCs/>
          <w:lang w:eastAsia="zh-TW"/>
        </w:rPr>
      </w:pPr>
      <w:bookmarkStart w:id="0" w:name="_GoBack"/>
      <w:bookmarkEnd w:id="0"/>
    </w:p>
    <w:sectPr w:rsidR="007F3553" w:rsidRPr="00BB35A8" w:rsidSect="00B22850"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5565" w:rsidRDefault="00FF5565" w:rsidP="00CE321A">
      <w:r>
        <w:separator/>
      </w:r>
    </w:p>
  </w:endnote>
  <w:endnote w:type="continuationSeparator" w:id="0">
    <w:p w:rsidR="00FF5565" w:rsidRDefault="00FF5565" w:rsidP="00CE3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5565" w:rsidRDefault="00FF5565" w:rsidP="00CE321A">
      <w:r>
        <w:separator/>
      </w:r>
    </w:p>
  </w:footnote>
  <w:footnote w:type="continuationSeparator" w:id="0">
    <w:p w:rsidR="00FF5565" w:rsidRDefault="00FF5565" w:rsidP="00CE3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759D6"/>
    <w:multiLevelType w:val="hybridMultilevel"/>
    <w:tmpl w:val="CFFEF92A"/>
    <w:lvl w:ilvl="0" w:tplc="40C40436">
      <w:start w:val="1"/>
      <w:numFmt w:val="taiwaneseCountingThousand"/>
      <w:lvlText w:val="（%1）"/>
      <w:lvlJc w:val="left"/>
      <w:pPr>
        <w:ind w:left="1343" w:hanging="88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18" w:hanging="480"/>
      </w:pPr>
    </w:lvl>
    <w:lvl w:ilvl="2" w:tplc="0409001B" w:tentative="1">
      <w:start w:val="1"/>
      <w:numFmt w:val="lowerRoman"/>
      <w:lvlText w:val="%3."/>
      <w:lvlJc w:val="right"/>
      <w:pPr>
        <w:ind w:left="1898" w:hanging="480"/>
      </w:pPr>
    </w:lvl>
    <w:lvl w:ilvl="3" w:tplc="0409000F" w:tentative="1">
      <w:start w:val="1"/>
      <w:numFmt w:val="decimal"/>
      <w:lvlText w:val="%4."/>
      <w:lvlJc w:val="left"/>
      <w:pPr>
        <w:ind w:left="237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58" w:hanging="480"/>
      </w:pPr>
    </w:lvl>
    <w:lvl w:ilvl="5" w:tplc="0409001B" w:tentative="1">
      <w:start w:val="1"/>
      <w:numFmt w:val="lowerRoman"/>
      <w:lvlText w:val="%6."/>
      <w:lvlJc w:val="right"/>
      <w:pPr>
        <w:ind w:left="3338" w:hanging="480"/>
      </w:pPr>
    </w:lvl>
    <w:lvl w:ilvl="6" w:tplc="0409000F" w:tentative="1">
      <w:start w:val="1"/>
      <w:numFmt w:val="decimal"/>
      <w:lvlText w:val="%7."/>
      <w:lvlJc w:val="left"/>
      <w:pPr>
        <w:ind w:left="381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98" w:hanging="480"/>
      </w:pPr>
    </w:lvl>
    <w:lvl w:ilvl="8" w:tplc="0409001B" w:tentative="1">
      <w:start w:val="1"/>
      <w:numFmt w:val="lowerRoman"/>
      <w:lvlText w:val="%9."/>
      <w:lvlJc w:val="right"/>
      <w:pPr>
        <w:ind w:left="4778" w:hanging="480"/>
      </w:pPr>
    </w:lvl>
  </w:abstractNum>
  <w:abstractNum w:abstractNumId="1" w15:restartNumberingAfterBreak="0">
    <w:nsid w:val="02B345FF"/>
    <w:multiLevelType w:val="hybridMultilevel"/>
    <w:tmpl w:val="632AA256"/>
    <w:lvl w:ilvl="0" w:tplc="3508ED3A">
      <w:start w:val="1"/>
      <w:numFmt w:val="taiwaneseCountingThousand"/>
      <w:lvlText w:val="%1、"/>
      <w:lvlJc w:val="left"/>
      <w:pPr>
        <w:ind w:left="75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94" w:hanging="480"/>
      </w:pPr>
    </w:lvl>
    <w:lvl w:ilvl="2" w:tplc="0409001B" w:tentative="1">
      <w:start w:val="1"/>
      <w:numFmt w:val="lowerRoman"/>
      <w:lvlText w:val="%3."/>
      <w:lvlJc w:val="right"/>
      <w:pPr>
        <w:ind w:left="1474" w:hanging="480"/>
      </w:pPr>
    </w:lvl>
    <w:lvl w:ilvl="3" w:tplc="0409000F" w:tentative="1">
      <w:start w:val="1"/>
      <w:numFmt w:val="decimal"/>
      <w:lvlText w:val="%4."/>
      <w:lvlJc w:val="left"/>
      <w:pPr>
        <w:ind w:left="19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4" w:hanging="480"/>
      </w:pPr>
    </w:lvl>
    <w:lvl w:ilvl="5" w:tplc="0409001B" w:tentative="1">
      <w:start w:val="1"/>
      <w:numFmt w:val="lowerRoman"/>
      <w:lvlText w:val="%6."/>
      <w:lvlJc w:val="right"/>
      <w:pPr>
        <w:ind w:left="2914" w:hanging="480"/>
      </w:pPr>
    </w:lvl>
    <w:lvl w:ilvl="6" w:tplc="0409000F" w:tentative="1">
      <w:start w:val="1"/>
      <w:numFmt w:val="decimal"/>
      <w:lvlText w:val="%7."/>
      <w:lvlJc w:val="left"/>
      <w:pPr>
        <w:ind w:left="33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4" w:hanging="480"/>
      </w:pPr>
    </w:lvl>
    <w:lvl w:ilvl="8" w:tplc="0409001B" w:tentative="1">
      <w:start w:val="1"/>
      <w:numFmt w:val="lowerRoman"/>
      <w:lvlText w:val="%9."/>
      <w:lvlJc w:val="right"/>
      <w:pPr>
        <w:ind w:left="4354" w:hanging="480"/>
      </w:pPr>
    </w:lvl>
  </w:abstractNum>
  <w:abstractNum w:abstractNumId="2" w15:restartNumberingAfterBreak="0">
    <w:nsid w:val="6D1B7F4A"/>
    <w:multiLevelType w:val="hybridMultilevel"/>
    <w:tmpl w:val="29BA27C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113603"/>
    <w:multiLevelType w:val="hybridMultilevel"/>
    <w:tmpl w:val="099E57E0"/>
    <w:lvl w:ilvl="0" w:tplc="0D50222A">
      <w:start w:val="1"/>
      <w:numFmt w:val="taiwaneseCountingThousand"/>
      <w:lvlText w:val="(%1)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14" w:hanging="480"/>
      </w:pPr>
    </w:lvl>
    <w:lvl w:ilvl="2" w:tplc="0409001B" w:tentative="1">
      <w:start w:val="1"/>
      <w:numFmt w:val="lowerRoman"/>
      <w:lvlText w:val="%3."/>
      <w:lvlJc w:val="right"/>
      <w:pPr>
        <w:ind w:left="2194" w:hanging="480"/>
      </w:pPr>
    </w:lvl>
    <w:lvl w:ilvl="3" w:tplc="0409000F" w:tentative="1">
      <w:start w:val="1"/>
      <w:numFmt w:val="decimal"/>
      <w:lvlText w:val="%4."/>
      <w:lvlJc w:val="left"/>
      <w:pPr>
        <w:ind w:left="267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54" w:hanging="480"/>
      </w:pPr>
    </w:lvl>
    <w:lvl w:ilvl="5" w:tplc="0409001B" w:tentative="1">
      <w:start w:val="1"/>
      <w:numFmt w:val="lowerRoman"/>
      <w:lvlText w:val="%6."/>
      <w:lvlJc w:val="right"/>
      <w:pPr>
        <w:ind w:left="3634" w:hanging="480"/>
      </w:pPr>
    </w:lvl>
    <w:lvl w:ilvl="6" w:tplc="0409000F" w:tentative="1">
      <w:start w:val="1"/>
      <w:numFmt w:val="decimal"/>
      <w:lvlText w:val="%7."/>
      <w:lvlJc w:val="left"/>
      <w:pPr>
        <w:ind w:left="411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94" w:hanging="480"/>
      </w:pPr>
    </w:lvl>
    <w:lvl w:ilvl="8" w:tplc="0409001B" w:tentative="1">
      <w:start w:val="1"/>
      <w:numFmt w:val="lowerRoman"/>
      <w:lvlText w:val="%9."/>
      <w:lvlJc w:val="right"/>
      <w:pPr>
        <w:ind w:left="5074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B9"/>
    <w:rsid w:val="00080E36"/>
    <w:rsid w:val="001A3329"/>
    <w:rsid w:val="001B6B01"/>
    <w:rsid w:val="001D3036"/>
    <w:rsid w:val="002B29B7"/>
    <w:rsid w:val="002C2D89"/>
    <w:rsid w:val="00367741"/>
    <w:rsid w:val="003D72CB"/>
    <w:rsid w:val="003E4F20"/>
    <w:rsid w:val="003F0699"/>
    <w:rsid w:val="004344DF"/>
    <w:rsid w:val="004E7196"/>
    <w:rsid w:val="004F4CAD"/>
    <w:rsid w:val="00535263"/>
    <w:rsid w:val="005814A0"/>
    <w:rsid w:val="00602176"/>
    <w:rsid w:val="00645241"/>
    <w:rsid w:val="006553B9"/>
    <w:rsid w:val="0066668E"/>
    <w:rsid w:val="006841D5"/>
    <w:rsid w:val="007514C0"/>
    <w:rsid w:val="007D2895"/>
    <w:rsid w:val="007F3553"/>
    <w:rsid w:val="008E7362"/>
    <w:rsid w:val="00914400"/>
    <w:rsid w:val="009964FA"/>
    <w:rsid w:val="00B22850"/>
    <w:rsid w:val="00BB35A8"/>
    <w:rsid w:val="00CD376C"/>
    <w:rsid w:val="00CE321A"/>
    <w:rsid w:val="00CF2A76"/>
    <w:rsid w:val="00D64412"/>
    <w:rsid w:val="00E015FE"/>
    <w:rsid w:val="00E41CA6"/>
    <w:rsid w:val="00E6079D"/>
    <w:rsid w:val="00E774E9"/>
    <w:rsid w:val="00EB2B9A"/>
    <w:rsid w:val="00F94E68"/>
    <w:rsid w:val="00FF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748C6"/>
  <w15:docId w15:val="{50D8C69E-0FA3-4C6D-9C28-D3AC47182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Pr>
      <w:rFonts w:ascii="新細明體" w:eastAsia="新細明體" w:hAnsi="新細明體" w:cs="新細明體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180"/>
      <w:ind w:left="1798"/>
    </w:pPr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CE32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E321A"/>
    <w:rPr>
      <w:rFonts w:ascii="新細明體" w:eastAsia="新細明體" w:hAnsi="新細明體" w:cs="新細明體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E321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E321A"/>
    <w:rPr>
      <w:rFonts w:ascii="新細明體" w:eastAsia="新細明體" w:hAnsi="新細明體" w:cs="新細明體"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D376C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CD376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EE2ED-6B1D-45B4-9FC1-5A8E71DF7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鄭銘毅</dc:creator>
  <cp:lastModifiedBy>陳佑名</cp:lastModifiedBy>
  <cp:revision>2</cp:revision>
  <cp:lastPrinted>2020-07-28T01:58:00Z</cp:lastPrinted>
  <dcterms:created xsi:type="dcterms:W3CDTF">2021-04-29T00:46:00Z</dcterms:created>
  <dcterms:modified xsi:type="dcterms:W3CDTF">2021-04-29T00:46:00Z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2018-08-03T00:00:00Z</vt:filetime>
  </property>
</Properties>
</file>