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igure-captions"/>
      <w:bookmarkEnd w:id="21"/>
      <w:r>
        <w:t xml:space="preserve">Figure Captions</w:t>
      </w:r>
    </w:p>
    <w:p>
      <w:pPr>
        <w:pStyle w:val="FirstParagraph"/>
      </w:pPr>
      <w:r>
        <w:rPr>
          <w:b/>
        </w:rPr>
        <w:t xml:space="preserve">Figure 1:</w:t>
      </w:r>
      <w:r>
        <w:t xml:space="preserve"> </w:t>
      </w:r>
      <w:r>
        <w:t xml:space="preserve">Workflow illustration for the proposed pipeline. Processing of the multi-modal</w:t>
      </w:r>
      <w:r>
        <w:t xml:space="preserve"> </w:t>
      </w:r>
      <w:r>
        <w:t xml:space="preserve">input MRI for a single subject, using the multi-modal symmetric template, results in</w:t>
      </w:r>
      <w:r>
        <w:t xml:space="preserve"> </w:t>
      </w:r>
      <w:r>
        <w:t xml:space="preserve">the generation of the feature images. These feature images are used as input to the</w:t>
      </w:r>
      <w:r>
        <w:t xml:space="preserve"> </w:t>
      </w:r>
      <w:r>
        <w:t xml:space="preserve">Stage 1 RF model producing the initial RF probability map estimates. The Stage 1</w:t>
      </w:r>
      <w:r>
        <w:t xml:space="preserve"> </w:t>
      </w:r>
      <w:r>
        <w:t xml:space="preserve">voting maps, the original feature images, and the Stage 2 RF model result in the</w:t>
      </w:r>
      <w:r>
        <w:t xml:space="preserve"> </w:t>
      </w:r>
      <w:r>
        <w:t xml:space="preserve">final voting maps which includes the WMH probability estimate. Note that the RF models</w:t>
      </w:r>
      <w:r>
        <w:t xml:space="preserve"> </w:t>
      </w:r>
      <w:r>
        <w:t xml:space="preserve">are constructed once from a set of training data which are processed using the</w:t>
      </w:r>
      <w:r>
        <w:t xml:space="preserve"> </w:t>
      </w:r>
      <w:r>
        <w:t xml:space="preserve">same feature-construction pipeline as the single-subject input MRI.</w:t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Canonical views of the mutlivariate, bilaterally symmetric template constructed</w:t>
      </w:r>
      <w:r>
        <w:t xml:space="preserve"> </w:t>
      </w:r>
      <w:r>
        <w:t xml:space="preserve">from the MMRR data set (only shown are the FLAIR, T1, and T2 modalities---</w:t>
      </w:r>
      <w:r>
        <w:t xml:space="preserve"> </w:t>
      </w:r>
      <w:r>
        <w:t xml:space="preserve">the components relevant for this work). These images are important for asymmetry-based</w:t>
      </w:r>
      <w:r>
        <w:t xml:space="preserve"> </w:t>
      </w:r>
      <w:r>
        <w:t xml:space="preserve">features.</w:t>
      </w:r>
    </w:p>
    <w:p>
      <w:pPr>
        <w:pStyle w:val="BodyText"/>
      </w:pPr>
      <w:r>
        <w:rPr>
          <w:b/>
        </w:rPr>
        <w:t xml:space="preserve">Figure 3:</w:t>
      </w:r>
      <w:r>
        <w:t xml:space="preserve"> </w:t>
      </w:r>
      <w:r>
        <w:t xml:space="preserve">Representation of Stage 1 feature images for subject 9. The</w:t>
      </w:r>
      <w:r>
        <w:t xml:space="preserve"> </w:t>
      </w:r>
      <w:r>
        <w:t xml:space="preserve">FLAIR, T1-, and T2-weighted images are rigidly pre-aligned</w:t>
      </w:r>
      <w:r>
        <w:t xml:space="preserve"> </w:t>
      </w:r>
      <w:r>
        <w:t xml:space="preserve">to the space of the T1 image. The three modality images are then preprocessed</w:t>
      </w:r>
      <w:r>
        <w:t xml:space="preserve"> </w:t>
      </w:r>
      <w:r>
        <w:t xml:space="preserve">(N4 bias correction and adaptive denoising) followed by</w:t>
      </w:r>
      <w:r>
        <w:t xml:space="preserve"> </w:t>
      </w:r>
      <w:r>
        <w:t xml:space="preserve">application of standard ANTs brain extraction and</w:t>
      </w:r>
      <w:r>
        <w:t xml:space="preserve"> </w:t>
      </w:r>
      <m:oMath>
        <m:r>
          <m:rPr/>
          <m:t>n</m:t>
        </m:r>
      </m:oMath>
      <w:r>
        <w:t xml:space="preserve">-tissue segmentation protocols using</w:t>
      </w:r>
      <w:r>
        <w:t xml:space="preserve"> </w:t>
      </w:r>
      <w:r>
        <w:t xml:space="preserve">the MMRR symmetric template and corresponding priors applied to the T1 image.</w:t>
      </w:r>
      <w:r>
        <w:t xml:space="preserve"> </w:t>
      </w:r>
      <w:r>
        <w:t xml:space="preserve">The feature images are then generated for voxelwise input to the RF model which results in</w:t>
      </w:r>
      <w:r>
        <w:t xml:space="preserve"> </w:t>
      </w:r>
      <w:r>
        <w:t xml:space="preserve">the voting maps illustrated on the right. This gives a probabilistic classification of</w:t>
      </w:r>
      <w:r>
        <w:t xml:space="preserve"> </w:t>
      </w:r>
      <w:r>
        <w:t xml:space="preserve">tissue type. Not shown are the probability and voting images for the brain stem and</w:t>
      </w:r>
      <w:r>
        <w:t xml:space="preserve"> </w:t>
      </w:r>
      <w:r>
        <w:t xml:space="preserve">cerebellum.</w:t>
      </w:r>
    </w:p>
    <w:p>
      <w:pPr>
        <w:pStyle w:val="BodyText"/>
      </w:pPr>
      <w:r>
        <w:rPr>
          <w:b/>
        </w:rPr>
        <w:t xml:space="preserve">Figure 4:</w:t>
      </w:r>
      <w:r>
        <w:t xml:space="preserve"> </w:t>
      </w:r>
      <w:r>
        <w:t xml:space="preserve">Sample FLAIR acquisition image slices showing both manual and random forest</w:t>
      </w:r>
      <w:r>
        <w:t xml:space="preserve"> </w:t>
      </w:r>
      <w:r>
        <w:t xml:space="preserve">segmentations for both stages obtained during the leave-one-out evaluation. Manual</w:t>
      </w:r>
      <w:r>
        <w:t xml:space="preserve"> </w:t>
      </w:r>
      <w:r>
        <w:t xml:space="preserve">segmentations were performed by one of the authors and provided the ground</w:t>
      </w:r>
      <w:r>
        <w:t xml:space="preserve"> </w:t>
      </w:r>
      <w:r>
        <w:t xml:space="preserve">truth WMH labels for training the random forest models.</w:t>
      </w:r>
    </w:p>
    <w:p>
      <w:pPr>
        <w:pStyle w:val="BodyText"/>
      </w:pPr>
      <w:r>
        <w:rPr>
          <w:b/>
        </w:rPr>
        <w:t xml:space="preserve">Figure 5:</w:t>
      </w:r>
      <w:r>
        <w:t xml:space="preserve"> </w:t>
      </w:r>
      <w:r>
        <w:t xml:space="preserve">Evaluation measures for both Stages of the leave-one-out protocol of the described protocol in the Methods</w:t>
      </w:r>
      <w:r>
        <w:t xml:space="preserve"> </w:t>
      </w:r>
      <w:r>
        <w:t xml:space="preserve">section: (a) sensitivity, (b) positive predictive value, (c)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score, and (d) relative</w:t>
      </w:r>
      <w:r>
        <w:t xml:space="preserve"> </w:t>
      </w:r>
      <w:r>
        <w:t xml:space="preserve">volume difference. These quantitative assessments are given for three quantile ranges</w:t>
      </w:r>
      <w:r>
        <w:t xml:space="preserve"> </w:t>
      </w:r>
      <w:r>
        <w:t xml:space="preserve">spanning the range of the manually-derived lesion volumes. Overall improvement in all</w:t>
      </w:r>
      <w:r>
        <w:t xml:space="preserve"> </w:t>
      </w:r>
      <w:r>
        <w:t xml:space="preserve">three whole lesion-based measuers is seen as the</w:t>
      </w:r>
      <w:r>
        <w:t xml:space="preserve"> </w:t>
      </w:r>
      <w:r>
        <w:t xml:space="preserve">second Stage RF model is applied for all three quantile ranges.</w:t>
      </w:r>
      <w:r>
        <w:t xml:space="preserve"> </w:t>
      </w:r>
      <w:r>
        <w:t xml:space="preserve">The relative volume difference corresponding to the Stage 2 results tend to predict a</w:t>
      </w:r>
      <w:r>
        <w:t xml:space="preserve"> </w:t>
      </w:r>
      <w:r>
        <w:t xml:space="preserve">decreased predicted volume over the Stage 1 results.</w:t>
      </w:r>
    </w:p>
    <w:p>
      <w:pPr>
        <w:pStyle w:val="BodyText"/>
      </w:pPr>
      <w:r>
        <w:rPr>
          <w:b/>
        </w:rPr>
        <w:t xml:space="preserve">Figure 6:</w:t>
      </w:r>
      <w:r>
        <w:t xml:space="preserve"> </w:t>
      </w:r>
      <w:r>
        <w:t xml:space="preserve">Average</w:t>
      </w:r>
      <w:r>
        <w:t xml:space="preserve"> </w:t>
      </w:r>
      <w:r>
        <w:rPr>
          <w:i/>
        </w:rPr>
        <w:t xml:space="preserve">MeanDecreaseAccuracy</w:t>
      </w:r>
      <w:r>
        <w:t xml:space="preserve"> </w:t>
      </w:r>
      <w:r>
        <w:t xml:space="preserve">plots generated from the creation of all 24 random</w:t>
      </w:r>
      <w:r>
        <w:t xml:space="preserve"> </w:t>
      </w:r>
      <w:r>
        <w:t xml:space="preserve">forest models for Stage 1 during the leave-one-out evaluation. These plots</w:t>
      </w:r>
      <w:r>
        <w:t xml:space="preserve"> </w:t>
      </w:r>
      <w:r>
        <w:t xml:space="preserve">are useful in providing a quantitative assessment of the predictive importance of each feature.</w:t>
      </w:r>
      <w:r>
        <w:t xml:space="preserve"> </w:t>
      </w:r>
      <w:r>
        <w:t xml:space="preserve">Features are ranked in descending order of importance.</w:t>
      </w:r>
      <w:r>
        <w:t xml:space="preserve"> </w:t>
      </w:r>
      <w:r>
        <w:t xml:space="preserve">The horizontal error bars provide the</w:t>
      </w:r>
      <w:r>
        <w:t xml:space="preserve"> </w:t>
      </w:r>
      <m:oMath>
        <m:sSup>
          <m:e>
            <m:r>
              <m:rPr/>
              <m:t>95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percentile</w:t>
      </w:r>
      <w:r>
        <w:t xml:space="preserve"> </w:t>
      </w:r>
      <w:r>
        <w:t xml:space="preserve">and illustrate the</w:t>
      </w:r>
      <w:r>
        <w:t xml:space="preserve"> </w:t>
      </w:r>
      <w:r>
        <w:t xml:space="preserve">stability of the feature importance across the leave-one-out models.</w:t>
      </w:r>
      <w:r>
        <w:t xml:space="preserve"> </w:t>
      </w:r>
      <w:r>
        <w:t xml:space="preserve">At this initial stage only 31 feature images are used.</w:t>
      </w:r>
    </w:p>
    <w:p>
      <w:pPr>
        <w:pStyle w:val="BodyText"/>
      </w:pPr>
      <w:r>
        <w:rPr>
          <w:b/>
        </w:rPr>
        <w:t xml:space="preserve">Figure 7:</w:t>
      </w:r>
      <w:r>
        <w:t xml:space="preserve"> </w:t>
      </w:r>
      <w:r>
        <w:t xml:space="preserve">Average</w:t>
      </w:r>
      <w:r>
        <w:t xml:space="preserve"> </w:t>
      </w:r>
      <w:r>
        <w:rPr>
          <w:i/>
        </w:rPr>
        <w:t xml:space="preserve">MeanDecreaseAccuracy</w:t>
      </w:r>
      <w:r>
        <w:t xml:space="preserve"> </w:t>
      </w:r>
      <w:r>
        <w:t xml:space="preserve">plots generated from the creation of all 24 random</w:t>
      </w:r>
      <w:r>
        <w:t xml:space="preserve"> </w:t>
      </w:r>
      <w:r>
        <w:t xml:space="preserve">forest models for Stage 2 during the leave-one-out evaluation. These plots</w:t>
      </w:r>
      <w:r>
        <w:t xml:space="preserve"> </w:t>
      </w:r>
      <w:r>
        <w:t xml:space="preserve">are useful in providing a quantitative assessment of the predictive importance of each feature.</w:t>
      </w:r>
      <w:r>
        <w:t xml:space="preserve"> </w:t>
      </w:r>
      <w:r>
        <w:t xml:space="preserve">Features are ranked in descending order of importance.</w:t>
      </w:r>
      <w:r>
        <w:t xml:space="preserve"> </w:t>
      </w:r>
      <w:r>
        <w:t xml:space="preserve">The horizontal error bars provide the</w:t>
      </w:r>
      <w:r>
        <w:t xml:space="preserve"> </w:t>
      </w:r>
      <m:oMath>
        <m:sSup>
          <m:e>
            <m:r>
              <m:rPr/>
              <m:t>95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percentile</w:t>
      </w:r>
      <w:r>
        <w:t xml:space="preserve"> </w:t>
      </w:r>
      <w:r>
        <w:t xml:space="preserve">and illustrate the</w:t>
      </w:r>
      <w:r>
        <w:t xml:space="preserve"> </w:t>
      </w:r>
      <w:r>
        <w:t xml:space="preserve">stability of the feature importance across the leave-one-out models.</w:t>
      </w:r>
      <w:r>
        <w:t xml:space="preserve"> </w:t>
      </w:r>
      <w:r>
        <w:t xml:space="preserve">We augment the 31 feature images from the first stage by adding an additional</w:t>
      </w:r>
      <w:r>
        <w:t xml:space="preserve"> </w:t>
      </w:r>
      <w:r>
        <w:t xml:space="preserve">seven voting maps and 7 segmentation posteriors from application of the Bayesian-based</w:t>
      </w:r>
      <w:r>
        <w:t xml:space="preserve"> </w:t>
      </w:r>
      <w:r>
        <w:t xml:space="preserve">segmentation for a total of 45 images for the second stage.</w:t>
      </w:r>
    </w:p>
    <w:p>
      <w:pPr>
        <w:pStyle w:val="BodyText"/>
      </w:pPr>
      <w:r>
        <w:rPr>
          <w:b/>
        </w:rPr>
        <w:t xml:space="preserve">Figure 8:</w:t>
      </w:r>
      <w:r>
        <w:t xml:space="preserve"> </w:t>
      </w:r>
      <w:r>
        <w:t xml:space="preserve">(a) FLAIR image slice illustrating WMHs which have been manually delineated.</w:t>
      </w:r>
      <w:r>
        <w:t xml:space="preserve"> </w:t>
      </w:r>
      <w:r>
        <w:t xml:space="preserve">The region around the WMHs is enlarged (b) in the original FLAIR and the</w:t>
      </w:r>
      <w:r>
        <w:t xml:space="preserve"> </w:t>
      </w:r>
      <w:r>
        <w:t xml:space="preserve">(c) contralateral FLAIR difference image.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65bc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