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image features for</w:t>
      </w:r>
      <w:r>
        <w:t xml:space="preserve"> </w:t>
      </w:r>
      <w:r>
        <w:t xml:space="preserve">segmenting WMHs in a TBI cohort. The framework is built upon the</w:t>
      </w:r>
      <w:r>
        <w:t xml:space="preserve"> </w:t>
      </w:r>
      <w:r>
        <w:t xml:space="preserve">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Performance measures include sensitivity,</w:t>
      </w:r>
      <w:r>
        <w:t xml:space="preserve"> </w:t>
      </w:r>
      <w:r>
        <w:t xml:space="preserve">positive predictive value,</w:t>
      </w:r>
      <w:r>
        <w:t xml:space="preserve"> </w:t>
      </w:r>
      <m:oMath>
        <m:sSub>
          <m:e>
            <m:r>
              <m:rPr/>
              <m:t>F</m:t>
            </m:r>
          </m:e>
          <m:sub>
            <m:r>
              <m:rPr/>
              <m:t>1</m:t>
            </m:r>
          </m:sub>
        </m:sSub>
      </m:oMath>
      <w:r>
        <w:t xml:space="preserve"> </w:t>
      </w:r>
      <w:r>
        <w:t xml:space="preserve">score, and relative volume difference.</w:t>
      </w:r>
      <w:r>
        <w:t xml:space="preserve"> </w:t>
      </w:r>
      <w:r>
        <w:t xml:space="preserve">Final average results were: sensitivity = 0.68</w:t>
      </w:r>
      <w:r>
        <w:t xml:space="preserve"> </w:t>
      </w:r>
      <m:oMath>
        <m:r>
          <m:rPr/>
          <m:t>±</m:t>
        </m:r>
      </m:oMath>
      <w:r>
        <w:t xml:space="preserve"> </w:t>
      </w:r>
      <w:r>
        <w:t xml:space="preserve">0.38, positive</w:t>
      </w:r>
      <w:r>
        <w:t xml:space="preserve"> </w:t>
      </w:r>
      <w:r>
        <w:t xml:space="preserve">predictive value = 0.51</w:t>
      </w:r>
      <w:r>
        <w:t xml:space="preserve"> </w:t>
      </w:r>
      <m:oMath>
        <m:r>
          <m:rPr/>
          <m:t>±</m:t>
        </m:r>
      </m:oMath>
      <w:r>
        <w:t xml:space="preserve"> </w:t>
      </w:r>
      <w:r>
        <w:t xml:space="preserve">0.40,</w:t>
      </w:r>
      <w:r>
        <w:t xml:space="preserve"> </w:t>
      </w:r>
      <m:oMath>
        <m:sSub>
          <m:e>
            <m:r>
              <m:rPr/>
              <m:t>F</m:t>
            </m:r>
          </m:e>
          <m:sub>
            <m:r>
              <m:rPr/>
              <m:t>1</m:t>
            </m:r>
          </m:sub>
        </m:sSub>
      </m:oMath>
      <w:r>
        <w:t xml:space="preserve"> </w:t>
      </w:r>
      <w:r>
        <w:t xml:space="preserve">= 0.52</w:t>
      </w:r>
      <w:r>
        <w:t xml:space="preserve"> </w:t>
      </w:r>
      <m:oMath>
        <m:r>
          <m:rPr/>
          <m:t>±</m:t>
        </m:r>
      </m:oMath>
      <w:r>
        <w:t xml:space="preserve"> </w:t>
      </w:r>
      <w:r>
        <w:t xml:space="preserve">0.36,</w:t>
      </w:r>
      <w:r>
        <w:t xml:space="preserve"> </w:t>
      </w:r>
      <w:r>
        <w:t xml:space="preserve">relative volume difference = 43</w:t>
      </w:r>
      <w:r>
        <w:t xml:space="preserve"> </w:t>
      </w:r>
      <m:oMath>
        <m:r>
          <m:rPr/>
          <m:t>±</m:t>
        </m:r>
      </m:oMath>
      <w:r>
        <w:t xml:space="preserve"> </w:t>
      </w:r>
      <w:r>
        <w:t xml:space="preserve">26%. In addition, three</w:t>
      </w:r>
      <w:r>
        <w:t xml:space="preserve"> </w:t>
      </w:r>
      <w:r>
        <w:t xml:space="preserve">lesion size ranges are selected to illustrate the variation in</w:t>
      </w:r>
      <w:r>
        <w:t xml:space="preserve"> </w:t>
      </w:r>
      <w:r>
        <w:t xml:space="preserve">performance with lesion size.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t xml:space="preserve">White matter hyperintensities (WMHs) are foci of abnormally increased signal intensity seen within white matter regions within the cerebrum and brainstem on fluid attenuation inversion recovery (FLAIR) magnetic resonance imaging (MRI) sequences.</w:t>
      </w:r>
      <w:r>
        <w:t xml:space="preserve"> </w:t>
      </w:r>
      <w:r>
        <w:t xml:space="preserve">WMHs are a frequent finding following traumatic brain injury (TBI) and have been correlated with functional outcome and injury severity in both pediatric</w:t>
      </w:r>
      <w:r>
        <w:t xml:space="preserve"> </w:t>
      </w:r>
      <w:r>
        <w:t xml:space="preserve">[1, 2]</w:t>
      </w:r>
      <w:r>
        <w:t xml:space="preserve"> </w:t>
      </w:r>
      <w:r>
        <w:t xml:space="preserve">and adult</w:t>
      </w:r>
      <w:r>
        <w:t xml:space="preserve"> </w:t>
      </w:r>
      <w:r>
        <w:t xml:space="preserve">[3–6]</w:t>
      </w:r>
      <w:r>
        <w:t xml:space="preserve"> </w:t>
      </w:r>
      <w:r>
        <w:t xml:space="preserve">populations.</w:t>
      </w:r>
    </w:p>
    <w:p>
      <w:pPr>
        <w:pStyle w:val="BodyText"/>
      </w:pPr>
      <w:r>
        <w:t xml:space="preserve">Further research involving WMHs has shown that regional distribution and volume of WMHs have been shown to possess prognostic value in the TBI patient</w:t>
      </w:r>
      <w:r>
        <w:t xml:space="preserve"> </w:t>
      </w:r>
      <w:r>
        <w:t xml:space="preserve">[2, 6–8]</w:t>
      </w:r>
      <w:r>
        <w:t xml:space="preserve">. Specifically, lesion volume in corpus callosum correlates with functional scores in the acute phase following injury, while lesion volume in frontal lobes correlates with scores at 1 year following injury</w:t>
      </w:r>
      <w:r>
        <w:t xml:space="preserve"> </w:t>
      </w:r>
      <w:r>
        <w:t xml:space="preserve">[6]</w:t>
      </w:r>
      <w:r>
        <w:t xml:space="preserve">.</w:t>
      </w:r>
      <w:r>
        <w:t xml:space="preserve"> </w:t>
      </w:r>
      <w:r>
        <w:t xml:space="preserve">Further, volume of FLAIR lesions within the corpus</w:t>
      </w:r>
      <w:r>
        <w:t xml:space="preserve"> </w:t>
      </w:r>
      <w:r>
        <w:t xml:space="preserve">callosum, brainstem, and thalamus in patients with severe TBI correlates</w:t>
      </w:r>
      <w:r>
        <w:t xml:space="preserve"> </w:t>
      </w:r>
      <w:r>
        <w:t xml:space="preserve">with Glasgow Outcome-Extended (GOS-E) scores---a numeric groupwise assessment used to</w:t>
      </w:r>
      <w:r>
        <w:t xml:space="preserve"> </w:t>
      </w:r>
      <w:r>
        <w:t xml:space="preserve">classify "outcome" in TBI patients where "outcome" refers to the</w:t>
      </w:r>
      <w:r>
        <w:t xml:space="preserve"> </w:t>
      </w:r>
      <w:r>
        <w:t xml:space="preserve">spectrum of possible prognoses from death to disability to recovery</w:t>
      </w:r>
      <w:r>
        <w:t xml:space="preserve"> </w:t>
      </w:r>
      <w:r>
        <w:t xml:space="preserve">[4]</w:t>
      </w:r>
      <w:r>
        <w:t xml:space="preserve">. Additionally,</w:t>
      </w:r>
      <w:r>
        <w:t xml:space="preserve"> </w:t>
      </w:r>
      <w:r>
        <w:t xml:space="preserve">in patients who are comatose following severe TBI</w:t>
      </w:r>
      <w:r>
        <w:t xml:space="preserve"> </w:t>
      </w:r>
      <w:r>
        <w:t xml:space="preserve">the regional distribution of FLAIR lesions within the pons, midbrain, hypothalamus, basal forebrain, parietal, temporal, occipital lobes, and insula along with the observation of grasping or chewing behavior are associated with poor outcome</w:t>
      </w:r>
      <w:r>
        <w:t xml:space="preserve"> </w:t>
      </w:r>
      <w:r>
        <w:t xml:space="preserve">[7]</w:t>
      </w:r>
      <w:r>
        <w:t xml:space="preserve">.</w:t>
      </w:r>
    </w:p>
    <w:p>
      <w:pPr>
        <w:pStyle w:val="BodyText"/>
      </w:pPr>
      <w:r>
        <w:t xml:space="preserve">Despite the above findings which demonstrate that WMHs have potential prognostic value, they are not routinely employed as a diagnostic measure in clinical practice. Performing a comprehensive manual counting of number and distribution of lesions in the clinical setting is simply not practical. The development of such lesion quantification approaches may allow for the practical inclusion of this type of information within routine radiological practice. In this work, we present an automated framework for quantification of WMHs in</w:t>
      </w:r>
      <w:r>
        <w:t xml:space="preserve"> </w:t>
      </w:r>
      <w:r>
        <w:t xml:space="preserve">multi-modal MRI using the random forest machine learning technique.</w:t>
      </w:r>
    </w:p>
    <w:p>
      <w:pPr>
        <w:pStyle w:val="Heading2"/>
      </w:pPr>
      <w:bookmarkStart w:id="24" w:name="random-forests-for-wmh-segmentation"/>
      <w:bookmarkEnd w:id="24"/>
      <w:r>
        <w:t xml:space="preserve">Random forests for WMH segmentation</w:t>
      </w:r>
    </w:p>
    <w:p>
      <w:pPr>
        <w:pStyle w:val="FirstParagraph"/>
      </w:pPr>
      <w:r>
        <w:t xml:space="preserve">The random forests framework</w:t>
      </w:r>
      <w:r>
        <w:t xml:space="preserve"> </w:t>
      </w:r>
      <w:r>
        <w:t xml:space="preserve">[9]</w:t>
      </w:r>
      <w:r>
        <w:t xml:space="preserve"> </w:t>
      </w:r>
      <w:r>
        <w:t xml:space="preserve">is a popular machine learning technique that has demonstrated significant utility for supervised segmentation tasks (e.g.,</w:t>
      </w:r>
      <w:r>
        <w:t xml:space="preserve"> </w:t>
      </w:r>
      <w:r>
        <w:t xml:space="preserve">normal human brain segmentation</w:t>
      </w:r>
      <w:r>
        <w:t xml:space="preserve"> </w:t>
      </w:r>
      <w:r>
        <w:t xml:space="preserve">[10]</w:t>
      </w:r>
      <w:r>
        <w:t xml:space="preserve">) and other computer vision applications</w:t>
      </w:r>
      <w:r>
        <w:t xml:space="preserve"> </w:t>
      </w:r>
      <w:r>
        <w:t xml:space="preserve">[11]</w:t>
      </w:r>
      <w:r>
        <w:t xml:space="preserve">.</w:t>
      </w:r>
      <w:r>
        <w:t xml:space="preserve"> </w:t>
      </w:r>
      <w:r>
        <w:t xml:space="preserve">Random forest-based paradigms have been successfully employed in the</w:t>
      </w:r>
      <w:r>
        <w:t xml:space="preserve"> </w:t>
      </w:r>
      <w:r>
        <w:t xml:space="preserve">delineation of other neuropathologies</w:t>
      </w:r>
      <w:r>
        <w:t xml:space="preserve"> </w:t>
      </w:r>
      <w:r>
        <w:t xml:space="preserve">[12–17]</w:t>
      </w:r>
      <w:r>
        <w:t xml:space="preserve"> </w:t>
      </w:r>
      <w:r>
        <w:t xml:space="preserve">for both single and multi-modal acquisition protocols.</w:t>
      </w:r>
    </w:p>
    <w:p>
      <w:pPr>
        <w:pStyle w:val="BodyText"/>
      </w:pPr>
      <w:r>
        <w:t xml:space="preserve">Random forests are conceptually straightforward</w:t>
      </w:r>
      <w:r>
        <w:t xml:space="preserve"> </w:t>
      </w:r>
      <w:r>
        <w:t xml:space="preserve">[9]</w:t>
      </w:r>
      <w:r>
        <w:t xml:space="preserve">.</w:t>
      </w:r>
      <w:r>
        <w:t xml:space="preserve"> </w:t>
      </w:r>
      <w:r>
        <w:t xml:space="preserve">The basic component of</w:t>
      </w:r>
      <w:r>
        <w:t xml:space="preserve"> </w:t>
      </w:r>
      <w:r>
        <w:t xml:space="preserve">the random forest paradigm is the "decision tree" often represented by a flowchart or</w:t>
      </w:r>
      <w:r>
        <w:t xml:space="preserve"> </w:t>
      </w:r>
      <w:r>
        <w:t xml:space="preserve">graph where internal nodes represent "tests", or decisions, and the edges represent the outcome of those tests. The final, or end, nodes represent the various classifications produced by traversal through the decision tree. For the proposed application, individual</w:t>
      </w:r>
      <w:r>
        <w:t xml:space="preserve"> </w:t>
      </w:r>
      <w:r>
        <w:t xml:space="preserve">voxels (and their corresponding feature values) are introduced at the root of a particular</w:t>
      </w:r>
      <w:r>
        <w:t xml:space="preserve"> </w:t>
      </w:r>
      <w:r>
        <w:t xml:space="preserve">decision tree and traverse the edges and internal nodes ultimately ending up at one of</w:t>
      </w:r>
      <w:r>
        <w:t xml:space="preserve"> </w:t>
      </w:r>
      <w:r>
        <w:t xml:space="preserve">the classification nodes according to the tests at each internal node. A single random</w:t>
      </w:r>
      <w:r>
        <w:t xml:space="preserve"> </w:t>
      </w:r>
      <w:r>
        <w:t xml:space="preserve">forest model will consist of many such trees (often refered to as an "ensemble").</w:t>
      </w:r>
      <w:r>
        <w:t xml:space="preserve"> </w:t>
      </w:r>
      <w:r>
        <w:t xml:space="preserve">Although decision trees had been extensively studied, the success of employing collections of such weak learners for boosting machine learning performance</w:t>
      </w:r>
      <w:r>
        <w:t xml:space="preserve"> </w:t>
      </w:r>
      <w:r>
        <w:t xml:space="preserve">(e.g., AdaBoost)</w:t>
      </w:r>
      <w:r>
        <w:t xml:space="preserve"> </w:t>
      </w:r>
      <w:r>
        <w:t xml:space="preserve">[18, 19]</w:t>
      </w:r>
      <w:r>
        <w:t xml:space="preserve"> </w:t>
      </w:r>
      <w:r>
        <w:t xml:space="preserve">influenced the similarly styled conglomeration of decision trees into "forests" with randomized node optimization</w:t>
      </w:r>
      <w:r>
        <w:t xml:space="preserve"> </w:t>
      </w:r>
      <w:r>
        <w:t xml:space="preserve">[20, 21]</w:t>
      </w:r>
      <w:r>
        <w:t xml:space="preserve">.</w:t>
      </w:r>
      <w:r>
        <w:t xml:space="preserve"> </w:t>
      </w:r>
      <w:r>
        <w:t xml:space="preserve">Finally, Breiman</w:t>
      </w:r>
      <w:r>
        <w:t xml:space="preserve"> </w:t>
      </w:r>
      <w:r>
        <w:t xml:space="preserve">[9]</w:t>
      </w:r>
      <w:r>
        <w:t xml:space="preserve"> </w:t>
      </w:r>
      <w:r>
        <w:t xml:space="preserve">improved accuracy by random sampling of training data (i.e., "bagging") resulting</w:t>
      </w:r>
      <w:r>
        <w:t xml:space="preserve"> </w:t>
      </w:r>
      <w:r>
        <w:t xml:space="preserve">in the current random forest technique applied here.</w:t>
      </w:r>
      <w:r>
        <w:t xml:space="preserve"> </w:t>
      </w:r>
      <w:r>
        <w:t xml:space="preserve">As voxels and their feature values are "pushed" through each decision tree in the forest, votes for each label are accumulated and converted to probability values for all classification possiblilities at</w:t>
      </w:r>
      <w:r>
        <w:t xml:space="preserve"> </w:t>
      </w:r>
      <w:r>
        <w:t xml:space="preserve">each voxel location.</w:t>
      </w:r>
    </w:p>
    <w:p>
      <w:pPr>
        <w:pStyle w:val="BodyText"/>
      </w:pPr>
      <w:r>
        <w:t xml:space="preserve">In this work, we develop a concatenated random forest framework with a</w:t>
      </w:r>
      <w:r>
        <w:t xml:space="preserve"> </w:t>
      </w:r>
      <w:r>
        <w:t xml:space="preserve">feature image set (both spatial and intensity-based)</w:t>
      </w:r>
      <w:r>
        <w:t xml:space="preserve"> </w:t>
      </w:r>
      <w:r>
        <w:t xml:space="preserve">for segmenting WMHs in a large TBI cohort.</w:t>
      </w:r>
      <w:r>
        <w:t xml:space="preserve"> </w:t>
      </w:r>
      <w:r>
        <w:t xml:space="preserve">The entire framework is built on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 were derived from MR acquisitions of 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 All lesions were isolated in the white matter of the cerebrum. Table 1 provides a descriptive statistical summary of the variation in lesion</w:t>
      </w:r>
      <w:r>
        <w:t xml:space="preserve"> </w:t>
      </w:r>
      <w:r>
        <w:t xml:space="preserve">load across the selected cohort.</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w:t>
      </w:r>
      <w:r>
        <w:t xml:space="preserve"> </w:t>
      </w:r>
      <m:oMath>
        <m:sSup>
          <m:e>
            <m:r>
              <m:rPr/>
              <m:t>9</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ETL: = 133; 170 sagittal slices with a 1.2 mm slice thickness, 256</w:t>
      </w:r>
      <w:r>
        <w:t xml:space="preserve"> </w:t>
      </w:r>
      <m:oMath>
        <m:r>
          <m:rPr/>
          <m:t>×</m:t>
        </m:r>
      </m:oMath>
      <w:r>
        <w:t xml:space="preserve"> </w:t>
      </w:r>
      <w:r>
        <w:t xml:space="preserve">256 acquisition matrix, and 256 x 256 mm FOV.</w:t>
      </w:r>
    </w:p>
    <w:p>
      <w:pPr>
        <w:pStyle w:val="BodyText"/>
      </w:pPr>
      <w:r>
        <w:t xml:space="preserve">The first author (J. R. S.) performed the manual WMH tracings for all 26</w:t>
      </w:r>
      <w:r>
        <w:t xml:space="preserve"> </w:t>
      </w:r>
      <w:r>
        <w:t xml:space="preserve">subjects. J. R. S. is a radiologist certified by the American Board of Radiology, with a certificate of advanced qualification in vascular and interventional radiology, over 18 years of research experience in TBI, and 6 years of clinical imaging experience. All</w:t>
      </w:r>
      <w:r>
        <w:t xml:space="preserve"> </w:t>
      </w:r>
      <w:r>
        <w:t xml:space="preserve">multi-modal MR dicom image slices were converted to the nifti file format.</w:t>
      </w:r>
      <w:r>
        <w:rPr>
          <w:rStyle w:val="FootnoteReference"/>
        </w:rPr>
        <w:footnoteReference w:id="31"/>
      </w:r>
      <w:r>
        <w:t xml:space="preserve"/>
      </w:r>
      <w:r>
        <w:t xml:space="preserve"> </w:t>
      </w:r>
      <w:r>
        <w:t xml:space="preserve">All nifti image volumes for each subject were rigidly aligned to the T1 image of that subject using the ANTs software</w:t>
      </w:r>
      <w:r>
        <w:t xml:space="preserve"> </w:t>
      </w:r>
      <w:r>
        <w:t xml:space="preserve">[22]</w:t>
      </w:r>
      <w:r>
        <w:t xml:space="preserve">. The normalized MRI volumes were then provided to</w:t>
      </w:r>
      <w:r>
        <w:t xml:space="preserve"> </w:t>
      </w:r>
      <w:r>
        <w:t xml:space="preserve">J. R. S. who traced each lesion using the ITK-SNAP tool</w:t>
      </w:r>
      <w:r>
        <w:t xml:space="preserve"> </w:t>
      </w:r>
      <w:r>
        <w:t xml:space="preserve">[23]</w:t>
      </w:r>
      <w:r>
        <w:t xml:space="preserve"> </w:t>
      </w:r>
      <w:r>
        <w:t xml:space="preserve">which has multi-image overlay capabilities for visualizing all modalities in all three</w:t>
      </w:r>
      <w:r>
        <w:t xml:space="preserve"> </w:t>
      </w:r>
      <w:r>
        <w:t xml:space="preserve">canonical views.</w:t>
      </w:r>
    </w:p>
    <w:p>
      <w:pPr>
        <w:pStyle w:val="Heading2"/>
      </w:pPr>
      <w:bookmarkStart w:id="33" w:name="quantitative-analysis"/>
      <w:bookmarkEnd w:id="33"/>
      <w:r>
        <w:t xml:space="preserve">Quantitative analysis</w:t>
      </w:r>
    </w:p>
    <w:p>
      <w:pPr>
        <w:pStyle w:val="FirstParagraph"/>
      </w:pPr>
      <w:r>
        <w:t xml:space="preserve">Figure 1 provides a graphical overview of the proposed workflow. The major components</w:t>
      </w:r>
      <w:r>
        <w:t xml:space="preserve"> </w:t>
      </w:r>
      <w:r>
        <w:t xml:space="preserve">include offline generation of symmetric multimodal templates, the creation of</w:t>
      </w:r>
      <w:r>
        <w:t xml:space="preserve"> </w:t>
      </w:r>
      <w:r>
        <w:t xml:space="preserve">feature images from the training data which are then employed for statistical</w:t>
      </w:r>
      <w:r>
        <w:t xml:space="preserve"> </w:t>
      </w:r>
      <w:r>
        <w:t xml:space="preserve">prediction using a concatenated random forest framework. This framework involves</w:t>
      </w:r>
      <w:r>
        <w:t xml:space="preserve"> </w:t>
      </w:r>
      <w:r>
        <w:t xml:space="preserve">the use of two random forest models where the outcome (i.e., the tissue</w:t>
      </w:r>
      <w:r>
        <w:t xml:space="preserve"> </w:t>
      </w:r>
      <w:r>
        <w:t xml:space="preserve">probability estimates) of the first RF model application,</w:t>
      </w:r>
      <w:r>
        <w:t xml:space="preserve"> </w:t>
      </w:r>
      <w:r>
        <w:t xml:space="preserve">which we denote as "Stage 1", is used as input (along with the original set of</w:t>
      </w:r>
      <w:r>
        <w:t xml:space="preserve"> </w:t>
      </w:r>
      <w:r>
        <w:t xml:space="preserve">feature images) to a refinement RF model segmentation which we denote as "Stage 2".</w:t>
      </w:r>
      <w:r>
        <w:t xml:space="preserve"> </w:t>
      </w:r>
      <w:r>
        <w:t xml:space="preserve">Once these offline steps</w:t>
      </w:r>
      <w:r>
        <w:t xml:space="preserve"> </w:t>
      </w:r>
      <w:r>
        <w:t xml:space="preserve">are performed, a new (i.e., unsegmented) subject can then be processed using the proposed pipeline.</w:t>
      </w:r>
    </w:p>
    <w:p>
      <w:pPr>
        <w:pStyle w:val="Heading3"/>
      </w:pPr>
      <w:bookmarkStart w:id="34" w:name="symmetric-multi-modal-templates"/>
      <w:bookmarkEnd w:id="34"/>
      <w:r>
        <w:t xml:space="preserve">Symmetric multi-modal templates</w:t>
      </w:r>
    </w:p>
    <w:p>
      <w:pPr>
        <w:pStyle w:val="FirstParagraph"/>
      </w:pPr>
      <w:r>
        <w:t xml:space="preserve">Following</w:t>
      </w:r>
      <w:r>
        <w:t xml:space="preserve"> </w:t>
      </w:r>
      <w:r>
        <w:t xml:space="preserve">[24]</w:t>
      </w:r>
      <w:r>
        <w:t xml:space="preserve"> </w:t>
      </w:r>
      <w:r>
        <w:t xml:space="preserve">and</w:t>
      </w:r>
      <w:r>
        <w:t xml:space="preserve"> </w:t>
      </w:r>
      <w:r>
        <w:t xml:space="preserve">[17]</w:t>
      </w:r>
      <w:r>
        <w:t xml:space="preserve">, optimally derived templates</w:t>
      </w:r>
      <w:r>
        <w:t xml:space="preserve"> </w:t>
      </w:r>
      <w:r>
        <w:t xml:space="preserve">serve for both brain tissue segmentation (for the derivation of tissue prior probability maps) and generation of asymmetry feature images.</w:t>
      </w:r>
      <w:r>
        <w:t xml:space="preserve"> </w:t>
      </w:r>
      <w:r>
        <w:t xml:space="preserve">For this work we use the multi-modal data available from the public MMRR data set</w:t>
      </w:r>
      <w:r>
        <w:t xml:space="preserve"> </w:t>
      </w:r>
      <w:r>
        <w:t xml:space="preserve">[25]</w:t>
      </w:r>
      <w:r>
        <w:t xml:space="preserve">. We used all 46 multi-modal acquisitions of that study to produce a multi-modal template according to the procedure described in</w:t>
      </w:r>
      <w:r>
        <w:t xml:space="preserve"> </w:t>
      </w:r>
      <w:r>
        <w:t xml:space="preserve">[26]</w:t>
      </w:r>
      <w:r>
        <w:t xml:space="preserve"> </w:t>
      </w:r>
      <w:r>
        <w:t xml:space="preserve">which</w:t>
      </w:r>
      <w:r>
        <w:t xml:space="preserve"> </w:t>
      </w:r>
      <w:r>
        <w:t xml:space="preserve">results in a mean (in terms of both shape and intensity) multivariate template representing the entire cohort. Mid-canonical slices of the FLAIR, T1, and T2 components are illustrated in Figure 2.</w:t>
      </w:r>
    </w:p>
    <w:p>
      <w:pPr>
        <w:pStyle w:val="Heading3"/>
      </w:pPr>
      <w:bookmarkStart w:id="35" w:name="feature-images-for-wmh-segmentation"/>
      <w:bookmarkEnd w:id="35"/>
      <w:r>
        <w:t xml:space="preserve">Feature images for WMH segmentation</w:t>
      </w:r>
    </w:p>
    <w:p>
      <w:pPr>
        <w:pStyle w:val="FirstParagraph"/>
      </w:pPr>
      <w:r>
        <w:t xml:space="preserve">Crucial to these supervised segmentation approaches are the creation and selection of</w:t>
      </w:r>
      <w:r>
        <w:t xml:space="preserve"> </w:t>
      </w:r>
      <w:r>
        <w:t xml:space="preserve">"features" as input (i.e., feature images constructed from the training data)</w:t>
      </w:r>
      <w:r>
        <w:t xml:space="preserve"> </w:t>
      </w:r>
      <w:r>
        <w:t xml:space="preserve">in conjunction with expertly identified structures of interest</w:t>
      </w:r>
      <w:r>
        <w:t xml:space="preserve"> </w:t>
      </w:r>
      <w:r>
        <w:t xml:space="preserve">(i.e., WMHs) for model construction. For the targeted application in this work,</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t xml:space="preserve"> </w:t>
      </w:r>
      <w:r>
        <w:t xml:space="preserve">[27]</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2,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3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T1 and T2 images are rigidly registered to the FLAIR image using</w:t>
      </w:r>
      <w:r>
        <w:t xml:space="preserve"> </w:t>
      </w:r>
      <w:r>
        <w:t xml:space="preserve">the open-source Advanced Normalization Tools (ANTs)</w:t>
      </w:r>
      <w:r>
        <w:t xml:space="preserve"> </w:t>
      </w:r>
      <w:r>
        <w:t xml:space="preserve">[22]</w:t>
      </w:r>
      <w:r>
        <w:t xml:space="preserve">. The aligned images</w:t>
      </w:r>
      <w:r>
        <w:t xml:space="preserve"> </w:t>
      </w:r>
      <w:r>
        <w:t xml:space="preserve">are then preprocessed using the denoising algorithm of</w:t>
      </w:r>
      <w:r>
        <w:t xml:space="preserve"> </w:t>
      </w:r>
      <w:r>
        <w:t xml:space="preserve">[28]</w:t>
      </w:r>
      <w:r>
        <w:t xml:space="preserve"> </w:t>
      </w:r>
      <w:r>
        <w:t xml:space="preserve">followed by</w:t>
      </w:r>
      <w:r>
        <w:t xml:space="preserve"> </w:t>
      </w:r>
      <w:r>
        <w:t xml:space="preserve">N4 bias correction</w:t>
      </w:r>
      <w:r>
        <w:t xml:space="preserve"> </w:t>
      </w:r>
      <w:r>
        <w:t xml:space="preserve">[29]</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t xml:space="preserve"> </w:t>
      </w:r>
      <w:r>
        <w:t xml:space="preserve">[30]</w:t>
      </w:r>
      <w:r>
        <w:t xml:space="preserve">), we found that a simple linear rescaling produced better results similar to previous work</w:t>
      </w:r>
      <w:r>
        <w:t xml:space="preserve">[17]</w:t>
      </w:r>
      <w:r>
        <w:t xml:space="preserve">.</w:t>
      </w:r>
    </w:p>
    <w:p>
      <w:pPr>
        <w:pStyle w:val="BodyText"/>
      </w:pPr>
      <w:r>
        <w:t xml:space="preserve">The T1 image is then processed via the ANTs brain</w:t>
      </w:r>
      <w:r>
        <w:t xml:space="preserve"> </w:t>
      </w:r>
      <w:r>
        <w:t xml:space="preserve">extraction and normal tissue segmentation pipelines</w:t>
      </w:r>
      <w:r>
        <w:t xml:space="preserve"> </w:t>
      </w:r>
      <w:r>
        <w:t xml:space="preserve">[24]</w:t>
      </w:r>
      <w:r>
        <w:t xml:space="preserve">.</w:t>
      </w:r>
      <w:r>
        <w:t xml:space="preserve"> </w:t>
      </w:r>
      <w:r>
        <w:t xml:space="preserve">The result is a mask delineating the brain parenchyma and probabilistic estimates of the</w:t>
      </w:r>
      <w:r>
        <w:t xml:space="preserve"> </w:t>
      </w:r>
      <w:r>
        <w:t xml:space="preserve">CSF, gray matter, white matter, deep gray matter, brain stem, and</w:t>
      </w:r>
      <w:r>
        <w:t xml:space="preserve"> </w:t>
      </w:r>
      <w:r>
        <w:t xml:space="preserve">cerebellum</w:t>
      </w:r>
      <w:r>
        <w:t xml:space="preserve"> </w:t>
      </w:r>
      <w:r>
        <w:t xml:space="preserve">[31]</w:t>
      </w:r>
      <w:r>
        <w:t xml:space="preserve">. These provide the expertly annotated labels for the</w:t>
      </w:r>
      <w:r>
        <w:t xml:space="preserve"> </w:t>
      </w:r>
      <w:r>
        <w:t xml:space="preserve">first six tissue labels given above. Tissue prior probability maps for segmentation</w:t>
      </w:r>
      <w:r>
        <w:t xml:space="preserve"> </w:t>
      </w:r>
      <w:r>
        <w:t xml:space="preserve">are from multi-model optimal symmetric shape/intensity templates</w:t>
      </w:r>
      <w:r>
        <w:t xml:space="preserve"> </w:t>
      </w:r>
      <w:r>
        <w:t xml:space="preserve">[17]</w:t>
      </w:r>
      <w:r>
        <w:t xml:space="preserve"> </w:t>
      </w:r>
      <w:r>
        <w:t xml:space="preserve">created from the public MMRR data set</w:t>
      </w:r>
      <w:r>
        <w:t xml:space="preserve"> </w:t>
      </w:r>
      <w:r>
        <w:t xml:space="preserve">[25]</w:t>
      </w:r>
      <w:r>
        <w:t xml:space="preserve"> </w:t>
      </w:r>
      <w:r>
        <w:t xml:space="preserve">(cf Figure 2).</w:t>
      </w:r>
    </w:p>
    <w:p>
      <w:pPr>
        <w:pStyle w:val="BodyText"/>
      </w:pPr>
      <w:r>
        <w:t xml:space="preserve">Feature values include the preprocessed FLAIR, T1, and T2 image voxel intensities.</w:t>
      </w:r>
      <w:r>
        <w:t xml:space="preserve"> </w:t>
      </w:r>
      <w:r>
        <w:t xml:space="preserve">We also calculate a set 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preprocessed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t xml:space="preserve"> </w:t>
      </w:r>
      <w:r>
        <w:t xml:space="preserve">[32]</w:t>
      </w:r>
      <w:r>
        <w:t xml:space="preserve"> </w:t>
      </w:r>
      <w:r>
        <w:t xml:space="preserve">was based on an important set of intensity features that were created</w:t>
      </w:r>
      <w:r>
        <w:t xml:space="preserve"> </w:t>
      </w:r>
      <w:r>
        <w:t xml:space="preserve">from multi-modal templates mentioned previously</w:t>
      </w:r>
      <w:r>
        <w:t xml:space="preserve"> </w:t>
      </w:r>
      <w:r>
        <w:t xml:space="preserve">[17]</w:t>
      </w:r>
      <w:r>
        <w:t xml:space="preserve"> </w:t>
      </w:r>
      <w:r>
        <w:t xml:space="preserve">and listed in Table 2. We employ the</w:t>
      </w:r>
      <w:r>
        <w:t xml:space="preserve"> </w:t>
      </w:r>
      <w:r>
        <w:t xml:space="preserve">same strategy here.</w:t>
      </w:r>
    </w:p>
    <w:p>
      <w:pPr>
        <w:pStyle w:val="BodyText"/>
      </w:pP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w:t>
      </w:r>
    </w:p>
    <w:p>
      <w:pPr>
        <w:pStyle w:val="BodyText"/>
      </w:pPr>
      <w:r>
        <w:t xml:space="preserve">The segmentation probability images described above are used as feature images to</w:t>
      </w:r>
      <w:r>
        <w:t xml:space="preserve"> </w:t>
      </w:r>
      <w:r>
        <w:t xml:space="preserve">provide a spatial context for the random forest model prediction step. Additional spatial contextual</w:t>
      </w:r>
      <w:r>
        <w:t xml:space="preserve"> </w:t>
      </w:r>
      <w:r>
        <w:t xml:space="preserve">feature images include the distance maps</w:t>
      </w:r>
      <w:r>
        <w:t xml:space="preserve"> </w:t>
      </w:r>
      <w:r>
        <w:t xml:space="preserve">[33]</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w:t>
      </w:r>
      <w:r>
        <w:t xml:space="preserve"> </w:t>
      </w:r>
      <w:r>
        <w:t xml:space="preserve">Similar feature images were used in</w:t>
      </w:r>
      <w:r>
        <w:t xml:space="preserve"> </w:t>
      </w:r>
      <w:r>
        <w:t xml:space="preserve">[34]</w:t>
      </w:r>
      <w:r>
        <w:t xml:space="preserve"> </w:t>
      </w:r>
      <w:r>
        <w:t xml:space="preserve">although, unlike the proposed framework, this previous work lacks</w:t>
      </w:r>
      <w:r>
        <w:t xml:space="preserve"> </w:t>
      </w:r>
      <w:r>
        <w:t xml:space="preserve">normalization to the standard</w:t>
      </w:r>
      <w:r>
        <w:t xml:space="preserve"> </w:t>
      </w:r>
      <w:r>
        <w:t xml:space="preserve">coordinate system provided by the template to dramatically improve spatial specificity</w:t>
      </w:r>
      <w:r>
        <w:t xml:space="preserve"> </w:t>
      </w:r>
      <w:r>
        <w:t xml:space="preserve">across all subjects. To generate these images, the T1 image of each subject is</w:t>
      </w:r>
      <w:r>
        <w:t xml:space="preserve"> </w:t>
      </w:r>
      <w:r>
        <w:t xml:space="preserve">registered to the T1 template component using a B-spline variant</w:t>
      </w:r>
      <w:r>
        <w:t xml:space="preserve"> </w:t>
      </w:r>
      <w:r>
        <w:t xml:space="preserve">[35]</w:t>
      </w:r>
      <w:r>
        <w:t xml:space="preserve"> </w:t>
      </w:r>
      <w:r>
        <w:t xml:space="preserve">of the well-known ANTs Symmetric Normalization (SyN) algorithm</w:t>
      </w:r>
      <w:r>
        <w:t xml:space="preserve"> </w:t>
      </w:r>
      <w:r>
        <w:t xml:space="preserve">[36]</w:t>
      </w:r>
      <w:r>
        <w:t xml:space="preserve">.</w:t>
      </w:r>
      <w:r>
        <w:t xml:space="preserve"> </w:t>
      </w:r>
      <w:r>
        <w:t xml:space="preserve">Using the derived transforms, the template coordinate images are warped back to the space of the individual subject.</w:t>
      </w:r>
    </w:p>
    <w:p>
      <w:pPr>
        <w:pStyle w:val="Heading3"/>
      </w:pPr>
      <w:bookmarkStart w:id="36" w:name="stacked-concatenated-random-forests-for-improved-segmentation-performance"/>
      <w:bookmarkEnd w:id="36"/>
      <w:r>
        <w:t xml:space="preserve">Stacked (concatenated) random forests for improved segmentation performance</w:t>
      </w:r>
    </w:p>
    <w:p>
      <w:pPr>
        <w:pStyle w:val="FirstParagraph"/>
      </w:pPr>
      <w:r>
        <w:t xml:space="preserve">In previous brain tumor segmentation work</w:t>
      </w:r>
      <w:r>
        <w:t xml:space="preserve"> </w:t>
      </w:r>
      <w:r>
        <w:t xml:space="preserve">[17]</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w:t>
      </w:r>
      <w:r>
        <w:t xml:space="preserve"> </w:t>
      </w:r>
      <m:oMath>
        <m:r>
          <m:rPr/>
          <m:t>6</m:t>
        </m:r>
      </m:oMath>
      <w:r>
        <w:t xml:space="preserve">-tissue segmentation algorithm with an</w:t>
      </w:r>
      <w:r>
        <w:t xml:space="preserve"> </w:t>
      </w:r>
      <w:r>
        <w:t xml:space="preserve">additional Markov Random Field spatial prior (MAP-MRF)</w:t>
      </w:r>
      <w:r>
        <w:t xml:space="preserve"> </w:t>
      </w:r>
      <w:r>
        <w:t xml:space="preserve">[31]</w:t>
      </w:r>
      <w:r>
        <w:t xml:space="preserve">.</w:t>
      </w:r>
      <w:r>
        <w:t xml:space="preserve"> </w:t>
      </w:r>
      <w:r>
        <w:t xml:space="preserve">In order to maximize the spatial information for the</w:t>
      </w:r>
      <w:r>
        <w:t xml:space="preserve"> </w:t>
      </w:r>
      <m:oMath>
        <m:r>
          <m:rPr/>
          <m:t>n</m:t>
        </m:r>
      </m:oMath>
      <w:r>
        <w:t xml:space="preserve">-tissue segmentation process following the voxelwise RF classification of Stage 1, we use</w:t>
      </w:r>
      <w:r>
        <w:t xml:space="preserve"> </w:t>
      </w:r>
      <w:r>
        <w:t xml:space="preserve">all three aligned preprocessed images for multivariate segmentation during the</w:t>
      </w:r>
      <w:r>
        <w:t xml:space="preserve"> </w:t>
      </w:r>
      <w:r>
        <w:t xml:space="preserve">second stage.</w:t>
      </w:r>
      <w:r>
        <w:t xml:space="preserve"> </w:t>
      </w:r>
      <w:r>
        <w:t xml:space="preserve">The resulting seven posterior probability images constitute a third additional feature image set for Stage 2.</w:t>
      </w:r>
    </w:p>
    <w:p>
      <w:pPr>
        <w:pStyle w:val="Heading3"/>
      </w:pPr>
      <w:bookmarkStart w:id="37" w:name="implementation"/>
      <w:bookmarkEnd w:id="37"/>
      <w:r>
        <w:t xml:space="preserve">Implementation</w:t>
      </w:r>
    </w:p>
    <w:p>
      <w:pPr>
        <w:pStyle w:val="FirstParagraph"/>
      </w:pPr>
      <w:r>
        <w:t xml:space="preserve">As pointed out in a recent comprehensive lesion segmentation review</w:t>
      </w:r>
      <w:r>
        <w:t xml:space="preserve"> </w:t>
      </w:r>
      <w:r>
        <w:t xml:space="preserve">[37]</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t xml:space="preserve"> </w:t>
      </w:r>
      <w:r>
        <w:t xml:space="preserve">[17]</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t xml:space="preserve"> </w:t>
      </w:r>
      <w:r>
        <w:t xml:space="preserve">[38]</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8"/>
      </w:r>
      <w:r>
        <w:t xml:space="preserve"> we plan on creating</w:t>
      </w:r>
      <w:r>
        <w:t xml:space="preserve"> </w:t>
      </w:r>
      <w:r>
        <w:t xml:space="preserve">a self-encapsulated example to showcase the proposed methodology</w:t>
      </w:r>
      <w:r>
        <w:t xml:space="preserve"> </w:t>
      </w:r>
      <w:r>
        <w:t xml:space="preserve">which will also be available on github.</w:t>
      </w:r>
      <w:r>
        <w:rPr>
          <w:rStyle w:val="FootnoteReference"/>
        </w:rPr>
        <w:footnoteReference w:id="40"/>
      </w:r>
      <w:r>
        <w:t xml:space="preserve"> </w:t>
      </w:r>
      <w:r>
        <w:t xml:space="preserve">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42" w:name="evaluation-protocol-overview"/>
      <w:bookmarkEnd w:id="42"/>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w:t>
      </w:r>
      <w:r>
        <w:t xml:space="preserve"> </w:t>
      </w:r>
      <w:r>
        <w:t xml:space="preserve">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FirstParagraph"/>
      </w:pPr>
      <w:r>
        <w:t xml:space="preserve">Several measures have been employed in the literature for evaluating</w:t>
      </w:r>
      <w:r>
        <w:t xml:space="preserve"> </w:t>
      </w:r>
      <w:r>
        <w:t xml:space="preserve">automated white matter lesion segmentation involving such quantities as lesion load,</w:t>
      </w:r>
      <w:r>
        <w:t xml:space="preserve"> </w:t>
      </w:r>
      <w:r>
        <w:t xml:space="preserve">voxel-based overlap measures (such as the Dice similarity coefficient), and lesion-based measures.</w:t>
      </w:r>
      <w:r>
        <w:t xml:space="preserve">[37]</w:t>
      </w:r>
      <w:r>
        <w:t xml:space="preserve">. For this work, due to the relatively small-size distribution of the lesion load in our data cohort (see Table 1), we used</w:t>
      </w:r>
      <w:r>
        <w:t xml:space="preserve"> </w:t>
      </w:r>
      <w:r>
        <w:t xml:space="preserve">four lesion-based measures: sensitivity, positive predictive value (i.e., precision),</w:t>
      </w:r>
      <w:r>
        <w:t xml:space="preserve"> </w:t>
      </w:r>
      <m:oMath>
        <m:sSub>
          <m:e>
            <m:r>
              <m:rPr/>
              <m:t>F</m:t>
            </m:r>
          </m:e>
          <m:sub>
            <m:r>
              <m:rPr/>
              <m:t>1</m:t>
            </m:r>
          </m:sub>
        </m:sSub>
      </m:oMath>
      <w:r>
        <w:t xml:space="preserve"> </w:t>
      </w:r>
      <w:r>
        <w:t xml:space="preserve">score, and relative volume difference. The first three quantities are based on the number of false positives</w:t>
      </w:r>
      <w:r>
        <w:t xml:space="preserve"> </w:t>
      </w:r>
      <w:r>
        <w:t xml:space="preserve">,</w:t>
      </w:r>
      <w:r>
        <w:t xml:space="preserve"> </w:t>
      </w:r>
      <w:r>
        <w:t xml:space="preserve">false negatives (</w:t>
      </w:r>
      <m:oMath>
        <m:r>
          <m:rPr/>
          <m:t>F</m:t>
        </m:r>
        <m:r>
          <m:rPr/>
          <m:t>N</m:t>
        </m:r>
      </m:oMath>
      <w:r>
        <w:t xml:space="preserve">), and true positives (</w:t>
      </w:r>
      <m:oMath>
        <m:r>
          <m:rPr/>
          <m:t>T</m:t>
        </m:r>
        <m:r>
          <m:rPr/>
          <m:t>P</m:t>
        </m:r>
      </m:oMath>
      <w:r>
        <w:t xml:space="preserve">) in terms of identified lesions. It should be noted that the number of true negatives is not readily</w:t>
      </w:r>
      <w:r>
        <w:t xml:space="preserve"> </w:t>
      </w:r>
      <w:r>
        <w:t xml:space="preserve">incorporated into measures of accuracy as the quantity of "true negatives" (i.e., correctly identified normal brain tissue) would severely skew accuracy assessments. The</w:t>
      </w:r>
      <w:r>
        <w:t xml:space="preserve"> </w:t>
      </w:r>
      <m:oMath>
        <m:sSub>
          <m:e>
            <m:r>
              <m:rPr/>
              <m:t>F</m:t>
            </m:r>
          </m:e>
          <m:sub>
            <m:r>
              <m:rPr/>
              <m:t>1</m:t>
            </m:r>
          </m:sub>
        </m:sSub>
      </m:oMath>
      <w:r>
        <w:t xml:space="preserve"> </w:t>
      </w:r>
      <w:r>
        <w:t xml:space="preserve">score is an assessment of accuracy which takes into account both the sensitivity,</w:t>
      </w:r>
    </w:p>
    <w:p>
      <w:pPr>
        <w:pStyle w:val="BodyText"/>
      </w:pPr>
      <m:oMathPara>
        <m:oMathParaPr>
          <m:jc m:val="center"/>
        </m:oMathParaPr>
        <m:oMath>
          <m:r>
            <m:rPr/>
            <m:t>s</m:t>
          </m:r>
          <m:r>
            <m:rPr/>
            <m:t>e</m:t>
          </m:r>
          <m:r>
            <m:rPr/>
            <m:t>n</m:t>
          </m:r>
          <m:r>
            <m:rPr/>
            <m:t>s</m:t>
          </m:r>
          <m:r>
            <m:rPr/>
            <m:t>i</m:t>
          </m:r>
          <m:r>
            <m:rPr/>
            <m:t>t</m:t>
          </m:r>
          <m:r>
            <m:rPr/>
            <m:t>i</m:t>
          </m:r>
          <m:r>
            <m:rPr/>
            <m:t>v</m:t>
          </m:r>
          <m:r>
            <m:rPr/>
            <m:t>i</m:t>
          </m:r>
          <m:r>
            <m:rPr/>
            <m:t>t</m:t>
          </m:r>
          <m:r>
            <m:rPr/>
            <m:t>y</m:t>
          </m:r>
          <m:r>
            <m:rPr/>
            <m:t>=</m:t>
          </m:r>
          <m:f>
            <m:fPr>
              <m:type m:val="bar"/>
            </m:fPr>
            <m:num>
              <m:r>
                <m:rPr/>
                <m:t>T</m:t>
              </m:r>
              <m:r>
                <m:rPr/>
                <m:t>P</m:t>
              </m:r>
            </m:num>
            <m:den>
              <m:r>
                <m:rPr/>
                <m:t>T</m:t>
              </m:r>
              <m:r>
                <m:rPr/>
                <m:t>P</m:t>
              </m:r>
              <m:r>
                <m:rPr/>
                <m:t>+</m:t>
              </m:r>
              <m:r>
                <m:rPr/>
                <m:t>F</m:t>
              </m:r>
              <m:r>
                <m:rPr/>
                <m:t>N</m:t>
              </m:r>
            </m:den>
          </m:f>
          <m:r>
            <m:rPr/>
            <m:t>,</m:t>
          </m:r>
        </m:oMath>
      </m:oMathPara>
    </w:p>
    <w:p>
      <w:pPr>
        <w:pStyle w:val="BodyText"/>
      </w:pPr>
      <w:r>
        <w:t xml:space="preserve">and the positive predictive value (PPV),</w:t>
      </w:r>
    </w:p>
    <w:p>
      <w:pPr>
        <w:pStyle w:val="BodyText"/>
      </w:pPr>
      <m:oMathPara>
        <m:oMathParaPr>
          <m:jc m:val="center"/>
        </m:oMathParaPr>
        <m:oMath>
          <m:r>
            <m:rPr/>
            <m:t>P</m:t>
          </m:r>
          <m:r>
            <m:rPr/>
            <m:t>P</m:t>
          </m:r>
          <m:r>
            <m:rPr/>
            <m:t>V</m:t>
          </m:r>
          <m:r>
            <m:rPr/>
            <m:t>=</m:t>
          </m:r>
          <m:f>
            <m:fPr>
              <m:type m:val="bar"/>
            </m:fPr>
            <m:num>
              <m:r>
                <m:rPr/>
                <m:t>T</m:t>
              </m:r>
              <m:r>
                <m:rPr/>
                <m:t>P</m:t>
              </m:r>
            </m:num>
            <m:den>
              <m:r>
                <m:rPr/>
                <m:t>T</m:t>
              </m:r>
              <m:r>
                <m:rPr/>
                <m:t>P</m:t>
              </m:r>
              <m:r>
                <m:rPr/>
                <m:t>+</m:t>
              </m:r>
              <m:r>
                <m:rPr/>
                <m:t>F</m:t>
              </m:r>
              <m:r>
                <m:rPr/>
                <m:t>P</m:t>
              </m:r>
            </m:den>
          </m:f>
          <m:r>
            <m:rPr/>
            <m:t>,</m:t>
          </m:r>
        </m:oMath>
      </m:oMathPara>
    </w:p>
    <w:p>
      <w:pPr>
        <w:pStyle w:val="BodyText"/>
      </w:pPr>
      <w:r>
        <w:t xml:space="preserve">such that</w:t>
      </w:r>
      <w:r>
        <w:t xml:space="preserve"> </w:t>
      </w:r>
      <m:oMath>
        <m:sSub>
          <m:e>
            <m:r>
              <m:rPr/>
              <m:t>F</m:t>
            </m:r>
          </m:e>
          <m:sub>
            <m:r>
              <m:rPr/>
              <m:t>1</m:t>
            </m:r>
          </m:sub>
        </m:sSub>
      </m:oMath>
      <w:r>
        <w:t xml:space="preserve"> </w:t>
      </w:r>
      <w:r>
        <w:t xml:space="preserve">is given by</w:t>
      </w:r>
    </w:p>
    <w:p>
      <w:pPr>
        <w:pStyle w:val="BodyText"/>
      </w:pPr>
      <m:oMathPara>
        <m:oMathParaPr>
          <m:jc m:val="center"/>
        </m:oMathParaPr>
        <m:oMath>
          <m:sSub>
            <m:e>
              <m:r>
                <m:rPr/>
                <m:t>F</m:t>
              </m:r>
            </m:e>
            <m:sub>
              <m:r>
                <m:rPr/>
                <m:t>1</m:t>
              </m:r>
            </m:sub>
          </m:sSub>
          <m:r>
            <m:rPr/>
            <m:t>=</m:t>
          </m:r>
          <m:f>
            <m:fPr>
              <m:type m:val="bar"/>
            </m:fPr>
            <m:num>
              <m:r>
                <m:rPr/>
                <m:t>2</m:t>
              </m:r>
              <m:r>
                <m:rPr/>
                <m:t>⋅</m:t>
              </m:r>
              <m:r>
                <m:rPr/>
                <m:t>T</m:t>
              </m:r>
              <m:r>
                <m:rPr/>
                <m:t>P</m:t>
              </m:r>
            </m:num>
            <m:den>
              <m:r>
                <m:rPr/>
                <m:t>2</m:t>
              </m:r>
              <m:r>
                <m:rPr/>
                <m:t>⋅</m:t>
              </m:r>
              <m:r>
                <m:rPr/>
                <m:t>T</m:t>
              </m:r>
              <m:r>
                <m:rPr/>
                <m:t>P</m:t>
              </m:r>
              <m:r>
                <m:rPr/>
                <m:t>+</m:t>
              </m:r>
              <m:r>
                <m:rPr/>
                <m:t>F</m:t>
              </m:r>
              <m:r>
                <m:rPr/>
                <m:t>P</m:t>
              </m:r>
              <m:r>
                <m:rPr/>
                <m:t>+</m:t>
              </m:r>
              <m:r>
                <m:rPr/>
                <m:t>F</m:t>
              </m:r>
              <m:r>
                <m:rPr/>
                <m:t>N</m:t>
              </m:r>
            </m:den>
          </m:f>
          <m:r>
            <m:rPr/>
            <m:t>.</m:t>
          </m:r>
        </m:oMath>
      </m:oMathPara>
    </w:p>
    <w:p>
      <w:pPr>
        <w:pStyle w:val="BodyText"/>
      </w:pPr>
      <w:r>
        <w:t xml:space="preserve">The relative volume difference is calculated for each of the true positive lesions using</w:t>
      </w:r>
      <w:r>
        <w:t xml:space="preserve"> </w:t>
      </w:r>
      <w:r>
        <w:t xml:space="preserve">the manual and predicted lesion volumes:</w:t>
      </w:r>
    </w:p>
    <w:p>
      <w:pPr>
        <w:pStyle w:val="BodyText"/>
      </w:pPr>
      <m:oMathPara>
        <m:oMathParaPr>
          <m:jc m:val="center"/>
        </m:oMathParaPr>
        <m:oMath>
          <m:r>
            <m:rPr/>
            <m:t>R</m:t>
          </m:r>
          <m:r>
            <m:rPr/>
            <m:t>e</m:t>
          </m:r>
          <m:r>
            <m:rPr/>
            <m:t>l</m:t>
          </m:r>
          <m:r>
            <m:rPr/>
            <m:t>a</m:t>
          </m:r>
          <m:r>
            <m:rPr/>
            <m:t>t</m:t>
          </m:r>
          <m:r>
            <m:rPr/>
            <m:t>i</m:t>
          </m:r>
          <m:r>
            <m:rPr/>
            <m:t>v</m:t>
          </m:r>
          <m:r>
            <m:rPr/>
            <m:t>e</m:t>
          </m:r>
          <m:r>
            <m:rPr/>
            <m:t> </m:t>
          </m:r>
          <m:r>
            <m:rPr/>
            <m:t> </m:t>
          </m:r>
          <m:r>
            <m:rPr/>
            <m:t>v</m:t>
          </m:r>
          <m:r>
            <m:rPr/>
            <m:t>o</m:t>
          </m:r>
          <m:r>
            <m:rPr/>
            <m:t>l</m:t>
          </m:r>
          <m:r>
            <m:rPr/>
            <m:t>u</m:t>
          </m:r>
          <m:r>
            <m:rPr/>
            <m:t>m</m:t>
          </m:r>
          <m:r>
            <m:rPr/>
            <m:t>e</m:t>
          </m:r>
          <m:r>
            <m:rPr/>
            <m:t> </m:t>
          </m:r>
          <m:r>
            <m:rPr/>
            <m:t> </m:t>
          </m:r>
          <m:r>
            <m:rPr/>
            <m:t>d</m:t>
          </m:r>
          <m:r>
            <m:rPr/>
            <m:t>i</m:t>
          </m:r>
          <m:r>
            <m:rPr/>
            <m:t>f</m:t>
          </m:r>
          <m:r>
            <m:rPr/>
            <m:t>f</m:t>
          </m:r>
          <m:r>
            <m:rPr/>
            <m:t>e</m:t>
          </m:r>
          <m:r>
            <m:rPr/>
            <m:t>r</m:t>
          </m:r>
          <m:r>
            <m:rPr/>
            <m:t>e</m:t>
          </m:r>
          <m:r>
            <m:rPr/>
            <m:t>n</m:t>
          </m:r>
          <m:r>
            <m:rPr/>
            <m:t>c</m:t>
          </m:r>
          <m:r>
            <m:rPr/>
            <m:t>e</m:t>
          </m:r>
          <m:r>
            <m:rPr/>
            <m:t>=</m:t>
          </m:r>
          <m:f>
            <m:fPr>
              <m:type m:val="bar"/>
            </m:fPr>
            <m:num>
              <m:sSub>
                <m:e>
                  <m:r>
                    <m:rPr/>
                    <m:t>V</m:t>
                  </m:r>
                </m:e>
                <m:sub>
                  <m:r>
                    <m:rPr/>
                    <m:t>m</m:t>
                  </m:r>
                  <m:r>
                    <m:rPr/>
                    <m:t>a</m:t>
                  </m:r>
                  <m:r>
                    <m:rPr/>
                    <m:t>n</m:t>
                  </m:r>
                  <m:r>
                    <m:rPr/>
                    <m:t>u</m:t>
                  </m:r>
                  <m:r>
                    <m:rPr/>
                    <m:t>a</m:t>
                  </m:r>
                  <m:r>
                    <m:rPr/>
                    <m:t>l</m:t>
                  </m:r>
                </m:sub>
              </m:sSub>
              <m:r>
                <m:rPr/>
                <m:t>−</m:t>
              </m:r>
              <m:sSub>
                <m:e>
                  <m:r>
                    <m:rPr/>
                    <m:t>V</m:t>
                  </m:r>
                </m:e>
                <m:sub>
                  <m:r>
                    <m:rPr/>
                    <m:t>p</m:t>
                  </m:r>
                  <m:r>
                    <m:rPr/>
                    <m:t>r</m:t>
                  </m:r>
                  <m:r>
                    <m:rPr/>
                    <m:t>e</m:t>
                  </m:r>
                  <m:r>
                    <m:rPr/>
                    <m:t>d</m:t>
                  </m:r>
                  <m:r>
                    <m:rPr/>
                    <m:t>i</m:t>
                  </m:r>
                  <m:r>
                    <m:rPr/>
                    <m:t>c</m:t>
                  </m:r>
                  <m:r>
                    <m:rPr/>
                    <m:t>t</m:t>
                  </m:r>
                  <m:r>
                    <m:rPr/>
                    <m:t>e</m:t>
                  </m:r>
                  <m:r>
                    <m:rPr/>
                    <m:t>d</m:t>
                  </m:r>
                </m:sub>
              </m:sSub>
            </m:num>
            <m:den>
              <m:sSub>
                <m:e>
                  <m:r>
                    <m:rPr/>
                    <m:t>V</m:t>
                  </m:r>
                </m:e>
                <m:sub>
                  <m:r>
                    <m:rPr/>
                    <m:t>m</m:t>
                  </m:r>
                  <m:r>
                    <m:rPr/>
                    <m:t>a</m:t>
                  </m:r>
                  <m:r>
                    <m:rPr/>
                    <m:t>n</m:t>
                  </m:r>
                  <m:r>
                    <m:rPr/>
                    <m:t>u</m:t>
                  </m:r>
                  <m:r>
                    <m:rPr/>
                    <m:t>a</m:t>
                  </m:r>
                  <m:r>
                    <m:rPr/>
                    <m:t>l</m:t>
                  </m:r>
                </m:sub>
              </m:sSub>
            </m:den>
          </m:f>
          <m:r>
            <m:rPr/>
            <m:t>.</m:t>
          </m:r>
        </m:oMath>
      </m:oMathPara>
    </w:p>
    <w:p>
      <w:pPr>
        <w:pStyle w:val="BodyText"/>
      </w:pPr>
      <w:r>
        <w:t xml:space="preserve">To illustrate how the performance of our framework varies with lesion size, we calculated</w:t>
      </w:r>
      <w:r>
        <w:t xml:space="preserve"> </w:t>
      </w:r>
      <w:r>
        <w:t xml:space="preserve">the above measures based on evenly split quantiles of the manual estimates of lesion volumes into 3 groups. These three size ranges (in terms of the number of voxels) are:</w:t>
      </w:r>
    </w:p>
    <w:p>
      <w:pPr>
        <w:numPr>
          <w:numId w:val="1004"/>
          <w:ilvl w:val="0"/>
        </w:numPr>
      </w:pPr>
      <w:r>
        <w:t xml:space="preserve">Quantile 1:</w:t>
      </w:r>
      <w:r>
        <w:t xml:space="preserve"> </w:t>
      </w:r>
      <m:oMath>
        <m:r>
          <m:rPr/>
          <m:t>[</m:t>
        </m:r>
        <m:r>
          <m:rPr/>
          <m:t>1</m:t>
        </m:r>
        <m:r>
          <m:rPr/>
          <m:t>−</m:t>
        </m:r>
        <m:r>
          <m:rPr/>
          <m:t>12</m:t>
        </m:r>
        <m:r>
          <m:rPr/>
          <m:t>)</m:t>
        </m:r>
      </m:oMath>
      <w:r>
        <w:t xml:space="preserve">,</w:t>
      </w:r>
    </w:p>
    <w:p>
      <w:pPr>
        <w:numPr>
          <w:numId w:val="1004"/>
          <w:ilvl w:val="0"/>
        </w:numPr>
      </w:pPr>
      <w:r>
        <w:t xml:space="preserve">Quantile 2:</w:t>
      </w:r>
      <w:r>
        <w:t xml:space="preserve"> </w:t>
      </w:r>
      <m:oMath>
        <m:r>
          <m:rPr/>
          <m:t>[</m:t>
        </m:r>
        <m:r>
          <m:rPr/>
          <m:t>12</m:t>
        </m:r>
        <m:r>
          <m:rPr/>
          <m:t>−</m:t>
        </m:r>
        <m:r>
          <m:rPr/>
          <m:t>28</m:t>
        </m:r>
        <m:r>
          <m:rPr/>
          <m:t>)</m:t>
        </m:r>
      </m:oMath>
      <w:r>
        <w:t xml:space="preserve">, and</w:t>
      </w:r>
    </w:p>
    <w:p>
      <w:pPr>
        <w:numPr>
          <w:numId w:val="1004"/>
          <w:ilvl w:val="0"/>
        </w:numPr>
      </w:pPr>
      <w:r>
        <w:t xml:space="preserve">Quantile 3:</w:t>
      </w:r>
      <w:r>
        <w:t xml:space="preserve"> </w:t>
      </w:r>
      <m:oMath>
        <m:r>
          <m:rPr/>
          <m:t>[</m:t>
        </m:r>
        <m:r>
          <m:rPr/>
          <m:t>28</m:t>
        </m:r>
        <m:r>
          <m:rPr/>
          <m:t>−</m:t>
        </m:r>
        <m:r>
          <m:rPr/>
          <m:t>551</m:t>
        </m:r>
        <m:r>
          <m:rPr/>
          <m:t>]</m:t>
        </m:r>
      </m:oMath>
      <w:r>
        <w:t xml:space="preserve">.</w:t>
      </w:r>
    </w:p>
    <w:p>
      <w:pPr>
        <w:pStyle w:val="FirstParagraph"/>
      </w:pPr>
      <w:r>
        <w:t xml:space="preserve">These quantiles are used to showcase the performance (cf Figure 5).</w:t>
      </w:r>
    </w:p>
    <w:p>
      <w:pPr>
        <w:pStyle w:val="Heading1"/>
      </w:pPr>
      <w:bookmarkStart w:id="43" w:name="results"/>
      <w:bookmarkEnd w:id="43"/>
      <w:r>
        <w:t xml:space="preserve">Results</w:t>
      </w:r>
    </w:p>
    <w:p>
      <w:pPr>
        <w:pStyle w:val="Heading2"/>
      </w:pPr>
      <w:bookmarkStart w:id="44" w:name="white-matter-hyperintensity-segmentation-evaluation"/>
      <w:bookmarkEnd w:id="44"/>
      <w:r>
        <w:t xml:space="preserve">White matter hyperintensity segmentation evaluation</w:t>
      </w:r>
    </w:p>
    <w:p>
      <w:pPr>
        <w:pStyle w:val="FirstParagraph"/>
      </w:pPr>
      <w:r>
        <w:t xml:space="preserve">In Figure 5 we provide the segmentation evaluations derived from the leave-one-out evaluation</w:t>
      </w:r>
      <w:r>
        <w:t xml:space="preserve"> </w:t>
      </w:r>
      <w:r>
        <w:t xml:space="preserve">of the previously described TBI data over the three lesion volume ranges.</w:t>
      </w:r>
      <w:r>
        <w:t xml:space="preserve"> </w:t>
      </w:r>
      <w:r>
        <w:t xml:space="preserve">These performance measures include sensitivity,</w:t>
      </w:r>
      <w:r>
        <w:t xml:space="preserve"> </w:t>
      </w:r>
      <w:r>
        <w:t xml:space="preserve">positive predictive value,</w:t>
      </w:r>
      <w:r>
        <w:t xml:space="preserve"> </w:t>
      </w:r>
      <m:oMath>
        <m:sSub>
          <m:e>
            <m:r>
              <m:rPr/>
              <m:t>F</m:t>
            </m:r>
          </m:e>
          <m:sub>
            <m:r>
              <m:rPr/>
              <m:t>1</m:t>
            </m:r>
          </m:sub>
        </m:sSub>
      </m:oMath>
      <w:r>
        <w:t xml:space="preserve"> </w:t>
      </w:r>
      <w:r>
        <w:t xml:space="preserve">score, and relative volume difference. The three lesion</w:t>
      </w:r>
      <w:r>
        <w:t xml:space="preserve"> </w:t>
      </w:r>
      <w:r>
        <w:t xml:space="preserve">size ranges over which these measures are computed are meant to illustrate the variation</w:t>
      </w:r>
      <w:r>
        <w:t xml:space="preserve"> </w:t>
      </w:r>
      <w:r>
        <w:t xml:space="preserve">in performance with lesion size.</w:t>
      </w:r>
    </w:p>
    <w:p>
      <w:pPr>
        <w:pStyle w:val="BodyText"/>
      </w:pPr>
      <w:r>
        <w:t xml:space="preserve">Smaller lesions (</w:t>
      </w:r>
      <m:oMath>
        <m:r>
          <m:rPr/>
          <m:t>&lt;</m:t>
        </m:r>
        <m:r>
          <m:rPr/>
          <m:t>12</m:t>
        </m:r>
      </m:oMath>
      <w:r>
        <w:t xml:space="preserve"> </w:t>
      </w:r>
      <w:r>
        <w:t xml:space="preserve">voxels) are more difficult</w:t>
      </w:r>
      <w:r>
        <w:t xml:space="preserve"> </w:t>
      </w:r>
      <w:r>
        <w:t xml:space="preserve">to identify which is why the sensitivity for this range is more varied compared with the largest</w:t>
      </w:r>
      <w:r>
        <w:t xml:space="preserve"> </w:t>
      </w:r>
      <w:r>
        <w:t xml:space="preserve">set of lesions (</w:t>
      </w:r>
      <m:oMath>
        <m:r>
          <m:rPr/>
          <m:t>&gt;</m:t>
        </m:r>
        <m:r>
          <m:rPr/>
          <m:t>28</m:t>
        </m:r>
      </m:oMath>
      <w:r>
        <w:t xml:space="preserve"> </w:t>
      </w:r>
      <w:r>
        <w:t xml:space="preserve">voxels). The first three measures are based on the identification of</w:t>
      </w:r>
      <w:r>
        <w:t xml:space="preserve"> </w:t>
      </w:r>
      <w:r>
        <w:t xml:space="preserve">entire lesions. The relative volume difference provides a direct assessment of the accuracy of</w:t>
      </w:r>
      <w:r>
        <w:t xml:space="preserve"> </w:t>
      </w:r>
      <w:r>
        <w:t xml:space="preserve">the volumetric estimate when comparing the manually identified lesions versus the</w:t>
      </w:r>
      <w:r>
        <w:t xml:space="preserve"> </w:t>
      </w:r>
      <w:r>
        <w:t xml:space="preserve">automatically predicted lesions.</w:t>
      </w:r>
    </w:p>
    <w:p>
      <w:pPr>
        <w:pStyle w:val="BodyText"/>
      </w:pPr>
      <w:r>
        <w:t xml:space="preserve">We averaged these measures over all lesions and all subjects which resulted in the</w:t>
      </w:r>
      <w:r>
        <w:t xml:space="preserve"> </w:t>
      </w:r>
      <w:r>
        <w:t xml:space="preserve">following values:</w:t>
      </w:r>
    </w:p>
    <w:p>
      <w:pPr>
        <w:numPr>
          <w:numId w:val="1005"/>
          <w:ilvl w:val="0"/>
        </w:numPr>
      </w:pPr>
      <w:r>
        <w:t xml:space="preserve">Stage 1</w:t>
      </w:r>
    </w:p>
    <w:p>
      <w:pPr>
        <w:numPr>
          <w:numId w:val="1006"/>
          <w:ilvl w:val="1"/>
        </w:numPr>
      </w:pPr>
      <w:r>
        <w:t xml:space="preserve">sensitivity = 0.70</w:t>
      </w:r>
      <w:r>
        <w:t xml:space="preserve"> </w:t>
      </w:r>
      <m:oMath>
        <m:r>
          <m:rPr/>
          <m:t>±</m:t>
        </m:r>
      </m:oMath>
      <w:r>
        <w:t xml:space="preserve"> </w:t>
      </w:r>
      <w:r>
        <w:t xml:space="preserve">0.34</w:t>
      </w:r>
    </w:p>
    <w:p>
      <w:pPr>
        <w:numPr>
          <w:numId w:val="1006"/>
          <w:ilvl w:val="1"/>
        </w:numPr>
      </w:pPr>
      <w:r>
        <w:t xml:space="preserve">PPV = 0.42</w:t>
      </w:r>
      <w:r>
        <w:t xml:space="preserve"> </w:t>
      </w:r>
      <m:oMath>
        <m:r>
          <m:rPr/>
          <m:t>±</m:t>
        </m:r>
      </m:oMath>
      <w:r>
        <w:t xml:space="preserve"> </w:t>
      </w:r>
      <w:r>
        <w:t xml:space="preserve">0.36</w:t>
      </w:r>
    </w:p>
    <w:p>
      <w:pPr>
        <w:numPr>
          <w:numId w:val="1006"/>
          <w:ilvl w:val="1"/>
        </w:numPr>
      </w:pPr>
      <m:oMath>
        <m:sSub>
          <m:e>
            <m:r>
              <m:rPr/>
              <m:t>F</m:t>
            </m:r>
          </m:e>
          <m:sub>
            <m:r>
              <m:rPr/>
              <m:t>1</m:t>
            </m:r>
          </m:sub>
        </m:sSub>
      </m:oMath>
      <w:r>
        <w:t xml:space="preserve"> </w:t>
      </w:r>
      <w:r>
        <w:t xml:space="preserve">= 0.47</w:t>
      </w:r>
      <w:r>
        <w:t xml:space="preserve"> </w:t>
      </w:r>
      <m:oMath>
        <m:r>
          <m:rPr/>
          <m:t>±</m:t>
        </m:r>
      </m:oMath>
      <w:r>
        <w:t xml:space="preserve"> </w:t>
      </w:r>
      <w:r>
        <w:t xml:space="preserve">0.36</w:t>
      </w:r>
    </w:p>
    <w:p>
      <w:pPr>
        <w:numPr>
          <w:numId w:val="1006"/>
          <w:ilvl w:val="1"/>
        </w:numPr>
      </w:pPr>
      <w:r>
        <w:t xml:space="preserve">relative volume difference = 43</w:t>
      </w:r>
      <w:r>
        <w:t xml:space="preserve"> </w:t>
      </w:r>
      <m:oMath>
        <m:r>
          <m:rPr/>
          <m:t>±</m:t>
        </m:r>
      </m:oMath>
      <w:r>
        <w:t xml:space="preserve"> </w:t>
      </w:r>
      <w:r>
        <w:t xml:space="preserve">38%</w:t>
      </w:r>
    </w:p>
    <w:p>
      <w:pPr>
        <w:numPr>
          <w:numId w:val="1005"/>
          <w:ilvl w:val="0"/>
        </w:numPr>
      </w:pPr>
      <w:r>
        <w:t xml:space="preserve">Stage 2</w:t>
      </w:r>
    </w:p>
    <w:p>
      <w:pPr>
        <w:numPr>
          <w:numId w:val="1007"/>
          <w:ilvl w:val="1"/>
        </w:numPr>
      </w:pPr>
      <w:r>
        <w:t xml:space="preserve">sensitivity = 0.68</w:t>
      </w:r>
      <w:r>
        <w:t xml:space="preserve"> </w:t>
      </w:r>
      <m:oMath>
        <m:r>
          <m:rPr/>
          <m:t>±</m:t>
        </m:r>
      </m:oMath>
      <w:r>
        <w:t xml:space="preserve"> </w:t>
      </w:r>
      <w:r>
        <w:t xml:space="preserve">0.38</w:t>
      </w:r>
    </w:p>
    <w:p>
      <w:pPr>
        <w:numPr>
          <w:numId w:val="1007"/>
          <w:ilvl w:val="1"/>
        </w:numPr>
      </w:pPr>
      <w:r>
        <w:t xml:space="preserve">PPV = 0.51</w:t>
      </w:r>
      <w:r>
        <w:t xml:space="preserve"> </w:t>
      </w:r>
      <m:oMath>
        <m:r>
          <m:rPr/>
          <m:t>±</m:t>
        </m:r>
      </m:oMath>
      <w:r>
        <w:t xml:space="preserve"> </w:t>
      </w:r>
      <w:r>
        <w:t xml:space="preserve">0.40</w:t>
      </w:r>
    </w:p>
    <w:p>
      <w:pPr>
        <w:numPr>
          <w:numId w:val="1007"/>
          <w:ilvl w:val="1"/>
        </w:numPr>
      </w:pPr>
      <m:oMath>
        <m:sSub>
          <m:e>
            <m:r>
              <m:rPr/>
              <m:t>F</m:t>
            </m:r>
          </m:e>
          <m:sub>
            <m:r>
              <m:rPr/>
              <m:t>1</m:t>
            </m:r>
          </m:sub>
        </m:sSub>
      </m:oMath>
      <w:r>
        <w:t xml:space="preserve"> </w:t>
      </w:r>
      <w:r>
        <w:t xml:space="preserve">= 0.52</w:t>
      </w:r>
      <w:r>
        <w:t xml:space="preserve"> </w:t>
      </w:r>
      <m:oMath>
        <m:r>
          <m:rPr/>
          <m:t>±</m:t>
        </m:r>
      </m:oMath>
      <w:r>
        <w:t xml:space="preserve"> </w:t>
      </w:r>
      <w:r>
        <w:t xml:space="preserve">0.36</w:t>
      </w:r>
    </w:p>
    <w:p>
      <w:pPr>
        <w:numPr>
          <w:numId w:val="1007"/>
          <w:ilvl w:val="1"/>
        </w:numPr>
      </w:pPr>
      <w:r>
        <w:t xml:space="preserve">relative volume difference = 43</w:t>
      </w:r>
      <w:r>
        <w:t xml:space="preserve"> </w:t>
      </w:r>
      <m:oMath>
        <m:r>
          <m:rPr/>
          <m:t>±</m:t>
        </m:r>
      </m:oMath>
      <w:r>
        <w:t xml:space="preserve"> </w:t>
      </w:r>
      <w:r>
        <w:t xml:space="preserve">26%</w:t>
      </w:r>
    </w:p>
    <w:p>
      <w:pPr>
        <w:pStyle w:val="Heading2"/>
      </w:pPr>
      <w:bookmarkStart w:id="45" w:name="ranking-feature-importance"/>
      <w:bookmarkEnd w:id="45"/>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6 and 7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Heading1"/>
      </w:pPr>
      <w:bookmarkStart w:id="46" w:name="discussion"/>
      <w:bookmarkEnd w:id="46"/>
      <w:r>
        <w:t xml:space="preserve">Discussion</w:t>
      </w:r>
    </w:p>
    <w:p>
      <w:pPr>
        <w:pStyle w:val="FirstParagraph"/>
      </w:pPr>
      <w:r>
        <w:t xml:space="preserve">In evaluating the segmentation results, there are limited methodologies described in the</w:t>
      </w:r>
      <w:r>
        <w:t xml:space="preserve"> </w:t>
      </w:r>
      <w:r>
        <w:t xml:space="preserve">literature for automatic segmentation of WMHs despite the numerous clinical studies</w:t>
      </w:r>
      <w:r>
        <w:t xml:space="preserve"> </w:t>
      </w:r>
      <w:r>
        <w:t xml:space="preserve">[39, 40]</w:t>
      </w:r>
      <w:r>
        <w:t xml:space="preserve"> </w:t>
      </w:r>
      <w:r>
        <w:t xml:space="preserve">exploring the connections between WMHs and TBI.</w:t>
      </w:r>
      <w:r>
        <w:t xml:space="preserve"> </w:t>
      </w:r>
      <w:r>
        <w:t xml:space="preserve">However, we can extrapolate from similar application areas where such methodologies have a</w:t>
      </w:r>
      <w:r>
        <w:t xml:space="preserve"> </w:t>
      </w:r>
      <w:r>
        <w:t xml:space="preserve">much longer history of development such as white matter lesion segmentation in</w:t>
      </w:r>
      <w:r>
        <w:t xml:space="preserve"> </w:t>
      </w:r>
      <w:r>
        <w:t xml:space="preserve">multiple sclerosis (MS). In a recent literature review</w:t>
      </w:r>
      <w:r>
        <w:t xml:space="preserve"> </w:t>
      </w:r>
      <w:r>
        <w:t xml:space="preserve">[37]</w:t>
      </w:r>
      <w:r>
        <w:t xml:space="preserve">, 47 papers</w:t>
      </w:r>
      <w:r>
        <w:t xml:space="preserve"> </w:t>
      </w:r>
      <w:r>
        <w:t xml:space="preserve">involving automated segmentation of white</w:t>
      </w:r>
      <w:r>
        <w:t xml:space="preserve"> </w:t>
      </w:r>
      <w:r>
        <w:t xml:space="preserve">matter lesions in MS. The most widely-used data for algorithmic evaluation consists</w:t>
      </w:r>
      <w:r>
        <w:t xml:space="preserve"> </w:t>
      </w:r>
      <w:r>
        <w:t xml:space="preserve">of two cohorts from two different sites used in</w:t>
      </w:r>
      <w:r>
        <w:t xml:space="preserve"> </w:t>
      </w:r>
      <w:r>
        <w:t xml:space="preserve">the MS Lesion segmentation challenge associated with the international MICCAI 2008</w:t>
      </w:r>
      <w:r>
        <w:t xml:space="preserve"> </w:t>
      </w:r>
      <w:r>
        <w:t xml:space="preserve">conference. For comparison, this challenge training data set</w:t>
      </w:r>
      <w:r>
        <w:t xml:space="preserve"> </w:t>
      </w:r>
      <w:r>
        <w:t xml:space="preserve">has a mean lesion load of 204 (</w:t>
      </w:r>
      <m:oMath>
        <m:r>
          <m:rPr/>
          <m:t>±</m:t>
        </m:r>
      </m:oMath>
      <w:r>
        <w:t xml:space="preserve"> </w:t>
      </w:r>
      <w:r>
        <w:t xml:space="preserve">752)</w:t>
      </w:r>
      <w:r>
        <w:t xml:space="preserve"> </w:t>
      </w:r>
      <m:oMath>
        <m:r>
          <m:rPr/>
          <m:t>m</m:t>
        </m:r>
        <m:sSup>
          <m:e>
            <m:r>
              <m:rPr/>
              <m:t>m</m:t>
            </m:r>
          </m:e>
          <m:sup>
            <m:r>
              <m:rPr/>
              <m:t>3</m:t>
            </m:r>
          </m:sup>
        </m:sSup>
      </m:oMath>
      <w:r>
        <w:t xml:space="preserve"> </w:t>
      </w:r>
      <w:r>
        <w:t xml:space="preserve">per lesion (compared with</w:t>
      </w:r>
      <w:r>
        <w:t xml:space="preserve"> </w:t>
      </w:r>
      <w:r>
        <w:t xml:space="preserve">our mean lesion load of 33.8 (</w:t>
      </w:r>
      <m:oMath>
        <m:r>
          <m:rPr/>
          <m:t>±</m:t>
        </m:r>
      </m:oMath>
      <w:r>
        <w:t xml:space="preserve"> </w:t>
      </w:r>
      <w:r>
        <w:t xml:space="preserve">55.4) voxels</w:t>
      </w:r>
      <w:r>
        <w:t xml:space="preserve"> </w:t>
      </w:r>
      <m:oMath>
        <m:r>
          <m:rPr/>
          <m:t>×</m:t>
        </m:r>
      </m:oMath>
      <w:r>
        <w:t xml:space="preserve"> </w:t>
      </w:r>
      <w:r>
        <w:t xml:space="preserve">1.2</w:t>
      </w:r>
      <w:r>
        <w:t xml:space="preserve"> </w:t>
      </w:r>
      <m:oMath>
        <m:r>
          <m:rPr/>
          <m:t>m</m:t>
        </m:r>
        <m:sSup>
          <m:e>
            <m:r>
              <m:rPr/>
              <m:t>m</m:t>
            </m:r>
          </m:e>
          <m:sup>
            <m:r>
              <m:rPr/>
              <m:t>3</m:t>
            </m:r>
          </m:sup>
        </m:sSup>
      </m:oMath>
      <w:r>
        <w:t xml:space="preserve"> </w:t>
      </w:r>
      <w:r>
        <w:t xml:space="preserve">per voxel =</w:t>
      </w:r>
      <w:r>
        <w:t xml:space="preserve"> </w:t>
      </w:r>
      <w:r>
        <w:t xml:space="preserve">40.56 (</w:t>
      </w:r>
      <m:oMath>
        <m:r>
          <m:rPr/>
          <m:t>±</m:t>
        </m:r>
      </m:oMath>
      <w:r>
        <w:t xml:space="preserve"> </w:t>
      </w:r>
      <w:r>
        <w:t xml:space="preserve">66.48)</w:t>
      </w:r>
      <w:r>
        <w:t xml:space="preserve"> </w:t>
      </w:r>
      <m:oMath>
        <m:r>
          <m:rPr/>
          <m:t>m</m:t>
        </m:r>
        <m:sSup>
          <m:e>
            <m:r>
              <m:rPr/>
              <m:t>m</m:t>
            </m:r>
          </m:e>
          <m:sup>
            <m:r>
              <m:rPr/>
              <m:t>3</m:t>
            </m:r>
          </m:sup>
        </m:sSup>
      </m:oMath>
      <w:r>
        <w:t xml:space="preserve"> </w:t>
      </w:r>
      <w:r>
        <w:t xml:space="preserve">per lesion) and the resolution is</w:t>
      </w:r>
      <w:r>
        <w:t xml:space="preserve"> </w:t>
      </w:r>
      <w:r>
        <w:t xml:space="preserve">almost twice what is used in this study (i.e., 0.5</w:t>
      </w:r>
      <w:r>
        <w:t xml:space="preserve"> </w:t>
      </w:r>
      <m:oMath>
        <m:r>
          <m:rPr/>
          <m:t>×</m:t>
        </m:r>
      </m:oMath>
      <w:r>
        <w:t xml:space="preserve"> </w:t>
      </w:r>
      <w:r>
        <w:t xml:space="preserve">0.5</w:t>
      </w:r>
      <w:r>
        <w:t xml:space="preserve"> </w:t>
      </w:r>
      <m:oMath>
        <m:r>
          <m:rPr/>
          <m:t>×</m:t>
        </m:r>
      </m:oMath>
      <w:r>
        <w:t xml:space="preserve"> </w:t>
      </w:r>
      <w:r>
        <w:t xml:space="preserve">0.5).</w:t>
      </w:r>
      <w:r>
        <w:t xml:space="preserve"> </w:t>
      </w:r>
      <w:r>
        <w:t xml:space="preserve">Note that our relative volume difference numbers are comparable to the</w:t>
      </w:r>
      <w:r>
        <w:t xml:space="preserve"> </w:t>
      </w:r>
      <w:r>
        <w:t xml:space="preserve">relative volume difference</w:t>
      </w:r>
      <w:r>
        <w:t xml:space="preserve"> </w:t>
      </w:r>
      <w:r>
        <w:rPr>
          <w:i/>
        </w:rPr>
        <w:t xml:space="preserve">between raters</w:t>
      </w:r>
      <w:r>
        <w:t xml:space="preserve"> </w:t>
      </w:r>
      <w:r>
        <w:t xml:space="preserve">of 68 percent (cf Figure 5 (d))</w:t>
      </w:r>
      <w:r>
        <w:t xml:space="preserve"> </w:t>
      </w:r>
      <w:r>
        <w:t xml:space="preserve">[41]</w:t>
      </w:r>
      <w:r>
        <w:t xml:space="preserve">.</w:t>
      </w:r>
    </w:p>
    <w:p>
      <w:pPr>
        <w:pStyle w:val="BodyText"/>
      </w:pPr>
      <w:r>
        <w:t xml:space="preserve">Regarding the feature rankings,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8).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7,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1"/>
      </w:pPr>
      <w:bookmarkStart w:id="47" w:name="conclusions"/>
      <w:bookmarkEnd w:id="47"/>
      <w:r>
        <w:t xml:space="preserve">Conclusions</w:t>
      </w:r>
    </w:p>
    <w:p>
      <w:pPr>
        <w:pStyle w:val="FirstParagraph"/>
      </w:pPr>
      <w:r>
        <w:t xml:space="preserve">The current communications describes a supervised statistical learning</w:t>
      </w:r>
      <w:r>
        <w:t xml:space="preserve"> </w:t>
      </w:r>
      <w:r>
        <w:t xml:space="preserve">methodology for identifying WMHs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w:t>
      </w:r>
    </w:p>
    <w:p>
      <w:pPr>
        <w:pStyle w:val="BodyText"/>
      </w:pPr>
      <w:r>
        <w:t xml:space="preserve">Two major meta-analyses of WMHs have been published covering the periods</w:t>
      </w:r>
      <w:r>
        <w:t xml:space="preserve"> </w:t>
      </w:r>
      <w:r>
        <w:t xml:space="preserve">prior to</w:t>
      </w:r>
      <w:r>
        <w:t xml:space="preserve"> </w:t>
      </w:r>
      <w:r>
        <w:t xml:space="preserve">[39]</w:t>
      </w:r>
      <w:r>
        <w:t xml:space="preserve"> </w:t>
      </w:r>
      <w:r>
        <w:t xml:space="preserve">and after 2010</w:t>
      </w:r>
      <w:r>
        <w:t xml:space="preserve"> </w:t>
      </w:r>
      <w:r>
        <w:t xml:space="preserve">[40]</w:t>
      </w:r>
      <w:r>
        <w:t xml:space="preserve">.</w:t>
      </w:r>
      <w:r>
        <w:t xml:space="preserve"> </w:t>
      </w:r>
      <w:r>
        <w:t xml:space="preserve">Debette &amp; Markus</w:t>
      </w:r>
      <w:r>
        <w:t xml:space="preserve"> </w:t>
      </w:r>
      <w:r>
        <w:t xml:space="preserve">[39]</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Kloppenborg et al.</w:t>
      </w:r>
      <w:r>
        <w:t xml:space="preserve"> </w:t>
      </w:r>
      <w:r>
        <w:t xml:space="preserve">[40]</w:t>
      </w:r>
      <w:r>
        <w:t xml:space="preserve"> </w:t>
      </w:r>
      <w:r>
        <w:t xml:space="preserve">reviewed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This review found</w:t>
      </w:r>
      <w:r>
        <w:t xml:space="preserve"> </w:t>
      </w:r>
      <w:r>
        <w:t xml:space="preserve">that WMHs were associated with cognitive deficit (effect size of -0.10,</w:t>
      </w:r>
      <w:r>
        <w:t xml:space="preserve"> </w:t>
      </w:r>
      <w:r>
        <w:t xml:space="preserve">95% CI: -0.13 to -0.08) after controlling for age.</w:t>
      </w:r>
    </w:p>
    <w:p>
      <w:pPr>
        <w:pStyle w:val="BodyText"/>
      </w:pPr>
      <w:r>
        <w:t xml:space="preserve">Despite the potential clinical significance of WMHs</w:t>
      </w:r>
      <w:r>
        <w:t xml:space="preserve"> </w:t>
      </w:r>
      <w:r>
        <w:t xml:space="preserve">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p>
    <w:p>
      <w:pPr>
        <w:pStyle w:val="Heading2"/>
      </w:pPr>
      <w:bookmarkStart w:id="48" w:name="acknowledgements"/>
      <w:bookmarkEnd w:id="48"/>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9" w:name="declaration-of-interestdisclaimer"/>
      <w:bookmarkEnd w:id="49"/>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50" w:name="references"/>
      <w:bookmarkEnd w:id="50"/>
      <w:r>
        <w:t xml:space="preserve">References</w:t>
      </w:r>
    </w:p>
    <w:p>
      <w:pPr>
        <w:pStyle w:val="Bibliography"/>
      </w:pPr>
      <w:r>
        <w:t xml:space="preserve">1. Bigler, E. D., Abildskov, T. J., Petrie, J., Farrer, T. J., Dennis, M., Simic, N., Taylor, H. G., Rubin, K. H., Vannatta, K., Gerhardt, C. A., Stancin, T., and Owen Yeates, K. “</w:t>
      </w:r>
      <w:r>
        <w:rPr>
          <w:b/>
        </w:rPr>
        <w:t xml:space="preserve">Heterogeneity of Brain Lesions in Pediatric Traumatic Brain Injury</w:t>
      </w:r>
      <w:r>
        <w:t xml:space="preserve">”</w:t>
      </w:r>
      <w:r>
        <w:t xml:space="preserve"> </w:t>
      </w:r>
      <w:r>
        <w:rPr>
          <w:i/>
        </w:rPr>
        <w:t xml:space="preserve">Neuropsychology</w:t>
      </w:r>
      <w:r>
        <w:t xml:space="preserve"> </w:t>
      </w:r>
      <w:r>
        <w:t xml:space="preserve">27, no. 4 (2013): 438–51. doi:</w:t>
      </w:r>
      <w:hyperlink r:id="rId51">
        <w:r>
          <w:rPr>
            <w:rStyle w:val="Hyperlink"/>
          </w:rPr>
          <w:t xml:space="preserve">10.1037/a0032837</w:t>
        </w:r>
      </w:hyperlink>
    </w:p>
    <w:p>
      <w:pPr>
        <w:pStyle w:val="Bibliography"/>
      </w:pPr>
      <w:r>
        <w:t xml:space="preserve">2. Smitherman, E., Hernandez, A., Stavinoha, P. L., Huang, R., Kernie, S. G., Diaz-Arrastia, R., and Miles, D. K. “</w:t>
      </w:r>
      <w:r>
        <w:rPr>
          <w:b/>
        </w:rPr>
        <w:t xml:space="preserve">Predicting Outcome After Pediatric Traumatic Brain Injury by Early Magnetic Resonance Imaging Lesion Location and Volume</w:t>
      </w:r>
      <w:r>
        <w:t xml:space="preserve">”</w:t>
      </w:r>
      <w:r>
        <w:t xml:space="preserve"> </w:t>
      </w:r>
      <w:r>
        <w:rPr>
          <w:i/>
        </w:rPr>
        <w:t xml:space="preserve">J Neurotrauma</w:t>
      </w:r>
      <w:r>
        <w:t xml:space="preserve"> </w:t>
      </w:r>
      <w:r>
        <w:t xml:space="preserve">33, no. 1 (2016): 35–48. doi:</w:t>
      </w:r>
      <w:hyperlink r:id="rId52">
        <w:r>
          <w:rPr>
            <w:rStyle w:val="Hyperlink"/>
          </w:rPr>
          <w:t xml:space="preserve">10.1089/neu.2014.3801</w:t>
        </w:r>
      </w:hyperlink>
    </w:p>
    <w:p>
      <w:pPr>
        <w:pStyle w:val="Bibliography"/>
      </w:pPr>
      <w:r>
        <w:t xml:space="preserve">3. Marquez de la Plata, C., Ardelean, A., Koovakkattu, D., Srinivasan, P., Miller, A., Phuong, V., Harper, C., Moore, C., Whittemore, A., Madden, C., Diaz-Arrastia, R., and Devous, M., Sr. “</w:t>
      </w:r>
      <w:r>
        <w:rPr>
          <w:b/>
        </w:rPr>
        <w:t xml:space="preserve">Magnetic Resonance Imaging of Diffuse Axonal Injury: Quantitative Assessment of White Matter Lesion Volume</w:t>
      </w:r>
      <w:r>
        <w:t xml:space="preserve">”</w:t>
      </w:r>
      <w:r>
        <w:t xml:space="preserve"> </w:t>
      </w:r>
      <w:r>
        <w:rPr>
          <w:i/>
        </w:rPr>
        <w:t xml:space="preserve">J Neurotrauma</w:t>
      </w:r>
      <w:r>
        <w:t xml:space="preserve"> </w:t>
      </w:r>
      <w:r>
        <w:t xml:space="preserve">24, no. 4 (2007): 591–8. doi:</w:t>
      </w:r>
      <w:hyperlink r:id="rId53">
        <w:r>
          <w:rPr>
            <w:rStyle w:val="Hyperlink"/>
          </w:rPr>
          <w:t xml:space="preserve">10.1089/neu.2006.0214</w:t>
        </w:r>
      </w:hyperlink>
    </w:p>
    <w:p>
      <w:pPr>
        <w:pStyle w:val="Bibliography"/>
      </w:pPr>
      <w:r>
        <w:t xml:space="preserve">4. Moen, K. G., Brezova, V., Skandsen, T., Håberg, A. K., Folvik, M., and Vik, A. “</w:t>
      </w:r>
      <w:r>
        <w:rPr>
          <w:b/>
        </w:rPr>
        <w:t xml:space="preserve">Traumatic Axonal Injury: The Prognostic Value of Lesion Load in Corpus Callosum, Brain Stem, and Thalamus in Different Magnetic Resonance Imaging Sequences</w:t>
      </w:r>
      <w:r>
        <w:t xml:space="preserve">”</w:t>
      </w:r>
      <w:r>
        <w:t xml:space="preserve"> </w:t>
      </w:r>
      <w:r>
        <w:rPr>
          <w:i/>
        </w:rPr>
        <w:t xml:space="preserve">J Neurotrauma</w:t>
      </w:r>
      <w:r>
        <w:t xml:space="preserve"> </w:t>
      </w:r>
      <w:r>
        <w:t xml:space="preserve">31, no. 17 (2014): 1486–96. doi:</w:t>
      </w:r>
      <w:hyperlink r:id="rId54">
        <w:r>
          <w:rPr>
            <w:rStyle w:val="Hyperlink"/>
          </w:rPr>
          <w:t xml:space="preserve">10.1089/neu.2013.3258</w:t>
        </w:r>
      </w:hyperlink>
    </w:p>
    <w:p>
      <w:pPr>
        <w:pStyle w:val="Bibliography"/>
      </w:pPr>
      <w:r>
        <w:t xml:space="preserve">5. Ding, K., Marquez de la Plata, C., Wang, J. Y., Mumphrey, M., Moore, C., Harper, C., Madden, C. J., McColl, R., Whittemore, A., Devous, M. D., and Diaz-Arrastia, R. “</w:t>
      </w:r>
      <w:r>
        <w:rPr>
          <w:b/>
        </w:rPr>
        <w:t xml:space="preserve">Cerebral Atrophy After Traumatic White Matter Injury: Correlation with Acute Neuroimaging and Outcome</w:t>
      </w:r>
      <w:r>
        <w:t xml:space="preserve">”</w:t>
      </w:r>
      <w:r>
        <w:t xml:space="preserve"> </w:t>
      </w:r>
      <w:r>
        <w:rPr>
          <w:i/>
        </w:rPr>
        <w:t xml:space="preserve">J Neurotrauma</w:t>
      </w:r>
      <w:r>
        <w:t xml:space="preserve"> </w:t>
      </w:r>
      <w:r>
        <w:t xml:space="preserve">25, no. 12 (2008): 1433–40. doi:</w:t>
      </w:r>
      <w:hyperlink r:id="rId55">
        <w:r>
          <w:rPr>
            <w:rStyle w:val="Hyperlink"/>
          </w:rPr>
          <w:t xml:space="preserve">10.1089/neu.2008.0683</w:t>
        </w:r>
      </w:hyperlink>
    </w:p>
    <w:p>
      <w:pPr>
        <w:pStyle w:val="Bibliography"/>
      </w:pPr>
      <w:r>
        <w:t xml:space="preserve">6. Pierallini, A., Pantano, P., Fantozzi, L. M., Bonamini, M., Vichi, R., Zylberman, R., Pisarri, F., Colonnese, C., and Bozzao, L. “</w:t>
      </w:r>
      <w:r>
        <w:rPr>
          <w:b/>
        </w:rPr>
        <w:t xml:space="preserve">Correlation Between MRI Findings and Long-Term Outcome in Patients with Severe Brain Trauma</w:t>
      </w:r>
      <w:r>
        <w:t xml:space="preserve">”</w:t>
      </w:r>
      <w:r>
        <w:t xml:space="preserve"> </w:t>
      </w:r>
      <w:r>
        <w:rPr>
          <w:i/>
        </w:rPr>
        <w:t xml:space="preserve">Neuroradiology</w:t>
      </w:r>
      <w:r>
        <w:t xml:space="preserve"> </w:t>
      </w:r>
      <w:r>
        <w:t xml:space="preserve">42, no. 12 (2000): 860–7.</w:t>
      </w:r>
      <w:r>
        <w:t xml:space="preserve"> </w:t>
      </w:r>
    </w:p>
    <w:p>
      <w:pPr>
        <w:pStyle w:val="Bibliography"/>
      </w:pPr>
      <w:r>
        <w:t xml:space="preserve">7. Weiss, N., Galanaud, D., Carpentier, A., Tezenas de Montcel, S., Naccache, L., Coriat, P., and Puybasset, L. “</w:t>
      </w:r>
      <w:r>
        <w:rPr>
          <w:b/>
        </w:rPr>
        <w:t xml:space="preserve">A Combined Clinical and MRI Approach for Outcome Assessment of Traumatic Head Injured Comatose Patients</w:t>
      </w:r>
      <w:r>
        <w:t xml:space="preserve">”</w:t>
      </w:r>
      <w:r>
        <w:t xml:space="preserve"> </w:t>
      </w:r>
      <w:r>
        <w:rPr>
          <w:i/>
        </w:rPr>
        <w:t xml:space="preserve">J Neurol</w:t>
      </w:r>
      <w:r>
        <w:t xml:space="preserve"> </w:t>
      </w:r>
      <w:r>
        <w:t xml:space="preserve">255, no. 2 (2008): 217–23. doi:</w:t>
      </w:r>
      <w:hyperlink r:id="rId56">
        <w:r>
          <w:rPr>
            <w:rStyle w:val="Hyperlink"/>
          </w:rPr>
          <w:t xml:space="preserve">10.1007/s00415-008-0658-4</w:t>
        </w:r>
      </w:hyperlink>
    </w:p>
    <w:p>
      <w:pPr>
        <w:pStyle w:val="Bibliography"/>
      </w:pPr>
      <w:r>
        <w:t xml:space="preserve">8. Levin, H. S., Williams, D., Crofford, M. J., High, W. M., Jr, Eisenberg, H. M., Amparo, E. G., Guinto, F. C., Jr, Kalisky, Z., Handel, S. F., and Goldman, A. M. “</w:t>
      </w:r>
      <w:r>
        <w:rPr>
          <w:b/>
        </w:rPr>
        <w:t xml:space="preserve">Relationship of Depth of Brain Lesions to Consciousness and Outcome After Closed Head Injury</w:t>
      </w:r>
      <w:r>
        <w:t xml:space="preserve">”</w:t>
      </w:r>
      <w:r>
        <w:t xml:space="preserve"> </w:t>
      </w:r>
      <w:r>
        <w:rPr>
          <w:i/>
        </w:rPr>
        <w:t xml:space="preserve">J Neurosurg</w:t>
      </w:r>
      <w:r>
        <w:t xml:space="preserve"> </w:t>
      </w:r>
      <w:r>
        <w:t xml:space="preserve">69, no. 6 (1988): 861–6. doi:</w:t>
      </w:r>
      <w:hyperlink r:id="rId57">
        <w:r>
          <w:rPr>
            <w:rStyle w:val="Hyperlink"/>
          </w:rPr>
          <w:t xml:space="preserve">10.3171/jns.1988.69.6.0861</w:t>
        </w:r>
      </w:hyperlink>
    </w:p>
    <w:p>
      <w:pPr>
        <w:pStyle w:val="Bibliography"/>
      </w:pPr>
      <w:r>
        <w:t xml:space="preserve">9. Breiman, L. “</w:t>
      </w:r>
      <w:r>
        <w:rPr>
          <w:b/>
        </w:rPr>
        <w:t xml:space="preserve">Random Forests</w:t>
      </w:r>
      <w:r>
        <w:t xml:space="preserve">”</w:t>
      </w:r>
      <w:r>
        <w:t xml:space="preserve"> </w:t>
      </w:r>
      <w:r>
        <w:rPr>
          <w:i/>
        </w:rPr>
        <w:t xml:space="preserve">Machine learning</w:t>
      </w:r>
      <w:r>
        <w:t xml:space="preserve"> </w:t>
      </w:r>
      <w:r>
        <w:t xml:space="preserve">(2001): 5–32.</w:t>
      </w:r>
      <w:r>
        <w:t xml:space="preserve"> </w:t>
      </w:r>
    </w:p>
    <w:p>
      <w:pPr>
        <w:pStyle w:val="Bibliography"/>
      </w:pPr>
      <w:r>
        <w:t xml:space="preserve">10. Yi, Z., Criminisi, A., Shotton, J., and Blake, A. “</w:t>
      </w:r>
      <w:r>
        <w:rPr>
          <w:b/>
        </w:rPr>
        <w:t xml:space="preserve">Discriminative, Semantic Segmentation of Brain Tissue in MR Images</w:t>
      </w:r>
      <w:r>
        <w:t xml:space="preserve">”</w:t>
      </w:r>
      <w:r>
        <w:t xml:space="preserve"> </w:t>
      </w:r>
      <w:r>
        <w:rPr>
          <w:i/>
        </w:rPr>
        <w:t xml:space="preserve">Med Image Comput Comput Assist Interv</w:t>
      </w:r>
      <w:r>
        <w:t xml:space="preserve"> </w:t>
      </w:r>
      <w:r>
        <w:t xml:space="preserve">12, no. Pt 2 (2009): 558–65.</w:t>
      </w:r>
      <w:r>
        <w:t xml:space="preserve"> </w:t>
      </w:r>
    </w:p>
    <w:p>
      <w:pPr>
        <w:pStyle w:val="Bibliography"/>
      </w:pPr>
      <w:r>
        <w:t xml:space="preserve">11. Viola, P., Jones, M., and Snow, D. “</w:t>
      </w:r>
      <w:r>
        <w:rPr>
          <w:b/>
        </w:rPr>
        <w:t xml:space="preserve">Detecting Pedestrians Using Patterns of Motion and Appearance</w:t>
      </w:r>
      <w:r>
        <w:t xml:space="preserve">”</w:t>
      </w:r>
      <w:r>
        <w:t xml:space="preserve"> </w:t>
      </w:r>
      <w:r>
        <w:rPr>
          <w:i/>
        </w:rPr>
        <w:t xml:space="preserve">International Journal of Computer Vision</w:t>
      </w:r>
      <w:r>
        <w:t xml:space="preserve"> </w:t>
      </w:r>
      <w:r>
        <w:t xml:space="preserve">63, (2005): 153–161.</w:t>
      </w:r>
      <w:r>
        <w:t xml:space="preserve"> </w:t>
      </w:r>
    </w:p>
    <w:p>
      <w:pPr>
        <w:pStyle w:val="Bibliography"/>
      </w:pPr>
      <w:r>
        <w:t xml:space="preserve">12. Geremia, E., Clatz, O., Menze, B. H., Konukoglu, E., Criminisi, A., and Ayache, N. “</w:t>
      </w:r>
      <w:r>
        <w:rPr>
          <w:b/>
        </w:rPr>
        <w:t xml:space="preserve">Spatial Decision Forests for MS Lesion Segmentation in Multi-Channel Magnetic Resonance Images</w:t>
      </w:r>
      <w:r>
        <w:t xml:space="preserve">”</w:t>
      </w:r>
      <w:r>
        <w:t xml:space="preserve"> </w:t>
      </w:r>
      <w:r>
        <w:rPr>
          <w:i/>
        </w:rPr>
        <w:t xml:space="preserve">Neuroimage</w:t>
      </w:r>
      <w:r>
        <w:t xml:space="preserve"> </w:t>
      </w:r>
      <w:r>
        <w:t xml:space="preserve">57, no. 2 (2011): 378–90. doi:</w:t>
      </w:r>
      <w:hyperlink r:id="rId58">
        <w:r>
          <w:rPr>
            <w:rStyle w:val="Hyperlink"/>
          </w:rPr>
          <w:t xml:space="preserve">10.1016/j.neuroimage.2011.03.080</w:t>
        </w:r>
      </w:hyperlink>
    </w:p>
    <w:p>
      <w:pPr>
        <w:pStyle w:val="Bibliography"/>
      </w:pPr>
      <w:r>
        <w:t xml:space="preserve">13. Pustina, D., Coslett, H. B., Turkeltaub, P. E., Tustison, N., Schwartz, M. F., and Avants, B. “</w:t>
      </w:r>
      <w:r>
        <w:rPr>
          <w:b/>
        </w:rPr>
        <w:t xml:space="preserve">Automated Segmentation of Chronic Stroke Lesions Using LINDA: Lesion Identification with Neighborhood Data Analysis</w:t>
      </w:r>
      <w:r>
        <w:t xml:space="preserve">”</w:t>
      </w:r>
      <w:r>
        <w:t xml:space="preserve"> </w:t>
      </w:r>
      <w:r>
        <w:rPr>
          <w:i/>
        </w:rPr>
        <w:t xml:space="preserve">Hum Brain Mapp</w:t>
      </w:r>
      <w:r>
        <w:t xml:space="preserve"> </w:t>
      </w:r>
      <w:r>
        <w:t xml:space="preserve">(2016): doi:</w:t>
      </w:r>
      <w:hyperlink r:id="rId59">
        <w:r>
          <w:rPr>
            <w:rStyle w:val="Hyperlink"/>
          </w:rPr>
          <w:t xml:space="preserve">10.1002/hbm.23110</w:t>
        </w:r>
      </w:hyperlink>
    </w:p>
    <w:p>
      <w:pPr>
        <w:pStyle w:val="Bibliography"/>
      </w:pPr>
      <w:r>
        <w:t xml:space="preserve">14. Geremia, E., Menze, B. H., and Ayache, N. “</w:t>
      </w:r>
      <w:r>
        <w:rPr>
          <w:b/>
        </w:rPr>
        <w:t xml:space="preserve">Spatial Decision Forests for Glioma Segmentation in Multi-Channel MR Images</w:t>
      </w:r>
      <w:r>
        <w:t xml:space="preserve">”</w:t>
      </w:r>
      <w:r>
        <w:t xml:space="preserve"> </w:t>
      </w:r>
      <w:r>
        <w:rPr>
          <w:i/>
        </w:rPr>
        <w:t xml:space="preserve">Proceedings of MICCAI-BRATS 2012</w:t>
      </w:r>
      <w:r>
        <w:t xml:space="preserve"> </w:t>
      </w:r>
      <w:r>
        <w:t xml:space="preserve">(2012):</w:t>
      </w:r>
      <w:r>
        <w:t xml:space="preserve"> </w:t>
      </w:r>
    </w:p>
    <w:p>
      <w:pPr>
        <w:pStyle w:val="Bibliography"/>
      </w:pPr>
      <w:r>
        <w:t xml:space="preserve">15. Bauer, S., Fejes, T., Slotboom, J., Wiest, R., Nolte, L.-P., and Reyes, M. “</w:t>
      </w:r>
      <w:r>
        <w:rPr>
          <w:b/>
        </w:rPr>
        <w:t xml:space="preserve">Segmentation of Brain Tumor Images Based on Integrated Hierarchical Classification and Regularization</w:t>
      </w:r>
      <w:r>
        <w:t xml:space="preserve">”</w:t>
      </w:r>
      <w:r>
        <w:t xml:space="preserve"> </w:t>
      </w:r>
      <w:r>
        <w:rPr>
          <w:i/>
        </w:rPr>
        <w:t xml:space="preserve">Proceedings of MICCAI-BRATS 2012</w:t>
      </w:r>
      <w:r>
        <w:t xml:space="preserve"> </w:t>
      </w:r>
      <w:r>
        <w:t xml:space="preserve">(2012): 10–13.</w:t>
      </w:r>
      <w:r>
        <w:t xml:space="preserve"> </w:t>
      </w:r>
    </w:p>
    <w:p>
      <w:pPr>
        <w:pStyle w:val="Bibliography"/>
      </w:pPr>
      <w:r>
        <w:t xml:space="preserve">16. Zikic, D., Glocker, B., Konukoglu, E., Shotton, J., Criminisi, A., Ye, D. H., Demiralp, C., Thomas, O. M., Das, T., Jena, R., and Price, S. J. “</w:t>
      </w:r>
      <w:r>
        <w:rPr>
          <w:b/>
        </w:rPr>
        <w:t xml:space="preserve">Context-Sensitive Classification Forests for Segmentation of Brain Tumor Tissues</w:t>
      </w:r>
      <w:r>
        <w:t xml:space="preserve">”</w:t>
      </w:r>
      <w:r>
        <w:t xml:space="preserve"> </w:t>
      </w:r>
      <w:r>
        <w:rPr>
          <w:i/>
        </w:rPr>
        <w:t xml:space="preserve">Proceedings of MICCAI-BRATS 2012</w:t>
      </w:r>
      <w:r>
        <w:t xml:space="preserve"> </w:t>
      </w:r>
      <w:r>
        <w:t xml:space="preserve">(2012): 1–9.</w:t>
      </w:r>
      <w:r>
        <w:t xml:space="preserve"> </w:t>
      </w:r>
    </w:p>
    <w:p>
      <w:pPr>
        <w:pStyle w:val="Bibliography"/>
      </w:pPr>
      <w:r>
        <w:t xml:space="preserve">17. Tustison, N. J., Shrinidhi, K. L., Wintermark, M., Durst, C. R., Kandel, B. M., Gee, J. C., Grossman, M. C., and Avants, B. B. “</w:t>
      </w:r>
      <w:r>
        <w:rPr>
          <w:b/>
        </w:rPr>
        <w:t xml:space="preserve">Optimal Symmetric Multimodal Templates and Concatenated Random Forests for Supervised Brain Tumor Segmentation (Simplified) with ANTsR</w:t>
      </w:r>
      <w:r>
        <w:t xml:space="preserve">”</w:t>
      </w:r>
      <w:r>
        <w:t xml:space="preserve"> </w:t>
      </w:r>
      <w:r>
        <w:rPr>
          <w:i/>
        </w:rPr>
        <w:t xml:space="preserve">Neuroinformatics</w:t>
      </w:r>
      <w:r>
        <w:t xml:space="preserve"> </w:t>
      </w:r>
      <w:r>
        <w:t xml:space="preserve">13, no. 2 (2015): 209–25. doi:</w:t>
      </w:r>
      <w:hyperlink r:id="rId60">
        <w:r>
          <w:rPr>
            <w:rStyle w:val="Hyperlink"/>
          </w:rPr>
          <w:t xml:space="preserve">10.1007/s12021-014-9245-2</w:t>
        </w:r>
      </w:hyperlink>
    </w:p>
    <w:p>
      <w:pPr>
        <w:pStyle w:val="Bibliography"/>
      </w:pPr>
      <w:r>
        <w:t xml:space="preserve">18. Schapire, R. “</w:t>
      </w:r>
      <w:r>
        <w:rPr>
          <w:b/>
        </w:rPr>
        <w:t xml:space="preserve">The Strength of Weak Learnability</w:t>
      </w:r>
      <w:r>
        <w:t xml:space="preserve">”</w:t>
      </w:r>
      <w:r>
        <w:t xml:space="preserve"> </w:t>
      </w:r>
      <w:r>
        <w:rPr>
          <w:i/>
        </w:rPr>
        <w:t xml:space="preserve">Machine Learning</w:t>
      </w:r>
      <w:r>
        <w:t xml:space="preserve"> </w:t>
      </w:r>
      <w:r>
        <w:t xml:space="preserve">5, (1990): 197–227.</w:t>
      </w:r>
      <w:r>
        <w:t xml:space="preserve"> </w:t>
      </w:r>
    </w:p>
    <w:p>
      <w:pPr>
        <w:pStyle w:val="Bibliography"/>
      </w:pPr>
      <w:r>
        <w:t xml:space="preserve">19. Freund, Y. and Schapire, R. “</w:t>
      </w:r>
      <w:r>
        <w:rPr>
          <w:b/>
        </w:rPr>
        <w:t xml:space="preserve">A Decision-Theoretic Generalization of on-Line Learning and an Application to Boosting</w:t>
      </w:r>
      <w:r>
        <w:t xml:space="preserve">”</w:t>
      </w:r>
      <w:r>
        <w:t xml:space="preserve"> </w:t>
      </w:r>
      <w:r>
        <w:rPr>
          <w:i/>
        </w:rPr>
        <w:t xml:space="preserve">Journal of Computer and System Sciences</w:t>
      </w:r>
      <w:r>
        <w:t xml:space="preserve"> </w:t>
      </w:r>
      <w:r>
        <w:t xml:space="preserve">55, (1997): 119–139.</w:t>
      </w:r>
      <w:r>
        <w:t xml:space="preserve"> </w:t>
      </w:r>
    </w:p>
    <w:p>
      <w:pPr>
        <w:pStyle w:val="Bibliography"/>
      </w:pPr>
      <w:r>
        <w:t xml:space="preserve">20. Ho, T. K. “</w:t>
      </w:r>
      <w:r>
        <w:rPr>
          <w:b/>
        </w:rPr>
        <w:t xml:space="preserve">Random Decision Forests</w:t>
      </w:r>
      <w:r>
        <w:t xml:space="preserve">”</w:t>
      </w:r>
      <w:r>
        <w:t xml:space="preserve"> </w:t>
      </w:r>
      <w:r>
        <w:rPr>
          <w:i/>
        </w:rPr>
        <w:t xml:space="preserve">Document analysis and recognition, 1995., proceedings of the third international conference on</w:t>
      </w:r>
      <w:r>
        <w:t xml:space="preserve"> </w:t>
      </w:r>
      <w:r>
        <w:t xml:space="preserve">1, (1995): 278–282 vol.1. doi:</w:t>
      </w:r>
      <w:hyperlink r:id="rId61">
        <w:r>
          <w:rPr>
            <w:rStyle w:val="Hyperlink"/>
          </w:rPr>
          <w:t xml:space="preserve">10.1109/ICDAR.1995.598994</w:t>
        </w:r>
      </w:hyperlink>
    </w:p>
    <w:p>
      <w:pPr>
        <w:pStyle w:val="Bibliography"/>
      </w:pPr>
      <w:r>
        <w:t xml:space="preserve">21. Amit, Y. and Geman, D. “</w:t>
      </w:r>
      <w:r>
        <w:rPr>
          <w:b/>
        </w:rPr>
        <w:t xml:space="preserve">Shape Quantization and Recognition with Randomized Trees</w:t>
      </w:r>
      <w:r>
        <w:t xml:space="preserve">”</w:t>
      </w:r>
      <w:r>
        <w:t xml:space="preserve"> </w:t>
      </w:r>
      <w:r>
        <w:rPr>
          <w:i/>
        </w:rPr>
        <w:t xml:space="preserve">Neural Computation</w:t>
      </w:r>
      <w:r>
        <w:t xml:space="preserve"> </w:t>
      </w:r>
      <w:r>
        <w:t xml:space="preserve">9, (1997): 1545–1588.</w:t>
      </w:r>
      <w:r>
        <w:t xml:space="preserve"> </w:t>
      </w:r>
    </w:p>
    <w:p>
      <w:pPr>
        <w:pStyle w:val="Bibliography"/>
      </w:pPr>
      <w:r>
        <w:t xml:space="preserve">22. Avants, B. B., Tustison, N. J., Stauffer, M., Song, G., Wu, B., and Gee, J. C. “</w:t>
      </w:r>
      <w:r>
        <w:rPr>
          <w:b/>
        </w:rPr>
        <w:t xml:space="preserve">The Insight ToolKit Image Registration Framework</w:t>
      </w:r>
      <w:r>
        <w:t xml:space="preserve">”</w:t>
      </w:r>
      <w:r>
        <w:t xml:space="preserve"> </w:t>
      </w:r>
      <w:r>
        <w:rPr>
          <w:i/>
        </w:rPr>
        <w:t xml:space="preserve">Front Neuroinform</w:t>
      </w:r>
      <w:r>
        <w:t xml:space="preserve"> </w:t>
      </w:r>
      <w:r>
        <w:t xml:space="preserve">8, (2014): 44. doi:</w:t>
      </w:r>
      <w:hyperlink r:id="rId62">
        <w:r>
          <w:rPr>
            <w:rStyle w:val="Hyperlink"/>
          </w:rPr>
          <w:t xml:space="preserve">10.3389/fninf.2014.00044</w:t>
        </w:r>
      </w:hyperlink>
    </w:p>
    <w:p>
      <w:pPr>
        <w:pStyle w:val="Bibliography"/>
      </w:pPr>
      <w:r>
        <w:t xml:space="preserve">23. Yushkevich, P. A., Piven, J., Hazlett, H. C., Smith, R. G., Ho, S., Gee, J. C., and Gerig, G. “</w:t>
      </w:r>
      <w:r>
        <w:rPr>
          <w:b/>
        </w:rPr>
        <w:t xml:space="preserve">User-Guided 3D Active Contour Segmentation of Anatomical Structures: Significantly Improved Efficiency and Reliability</w:t>
      </w:r>
      <w:r>
        <w:t xml:space="preserve">”</w:t>
      </w:r>
      <w:r>
        <w:t xml:space="preserve"> </w:t>
      </w:r>
      <w:r>
        <w:rPr>
          <w:i/>
        </w:rPr>
        <w:t xml:space="preserve">Neuroimage</w:t>
      </w:r>
      <w:r>
        <w:t xml:space="preserve"> </w:t>
      </w:r>
      <w:r>
        <w:t xml:space="preserve">31, no. 3 (2006): 1116–28. doi:</w:t>
      </w:r>
      <w:hyperlink r:id="rId63">
        <w:r>
          <w:rPr>
            <w:rStyle w:val="Hyperlink"/>
          </w:rPr>
          <w:t xml:space="preserve">10.1016/j.neuroimage.2006.01.015</w:t>
        </w:r>
      </w:hyperlink>
    </w:p>
    <w:p>
      <w:pPr>
        <w:pStyle w:val="Bibliography"/>
      </w:pPr>
      <w:r>
        <w:t xml:space="preserve">24. Tustison, N. J., Cook, P. A., Klein, A., Song, G., Das, S. R., Duda, J. T., Kandel, B. M., Strien, N. van, Stone, J. R., Gee, J. C., and Avants, B. B. “</w:t>
      </w:r>
      <w:r>
        <w:rPr>
          <w:b/>
        </w:rPr>
        <w:t xml:space="preserve">Large-Scale Evaluation of ANTs and FreeSurfer Cortical Thickness Measurements</w:t>
      </w:r>
      <w:r>
        <w:t xml:space="preserve">”</w:t>
      </w:r>
      <w:r>
        <w:t xml:space="preserve"> </w:t>
      </w:r>
      <w:r>
        <w:rPr>
          <w:i/>
        </w:rPr>
        <w:t xml:space="preserve">Neuroimage</w:t>
      </w:r>
      <w:r>
        <w:t xml:space="preserve"> </w:t>
      </w:r>
      <w:r>
        <w:t xml:space="preserve">99, (2014): 166–79. doi:</w:t>
      </w:r>
      <w:hyperlink r:id="rId64">
        <w:r>
          <w:rPr>
            <w:rStyle w:val="Hyperlink"/>
          </w:rPr>
          <w:t xml:space="preserve">10.1016/j.neuroimage.2014.05.044</w:t>
        </w:r>
      </w:hyperlink>
    </w:p>
    <w:p>
      <w:pPr>
        <w:pStyle w:val="Bibliography"/>
      </w:pPr>
      <w:r>
        <w:t xml:space="preserve">25. Landman, B. A., Huang, A. J., Gifford, A., Vikram, D. S., Lim, I. A. L., Farrell, J. A. D., Bogovic, J. A., Hua, J., Chen, M., Jarso, S., Smith, S. A., Joel, S., Mori, S., Pekar, J. J., Barker, P. B., Prince, J. L., and Zijl, P. C. M. van. “</w:t>
      </w:r>
      <w:r>
        <w:rPr>
          <w:b/>
        </w:rPr>
        <w:t xml:space="preserve">Multi-Parametric Neuroimaging Reproducibility: A 3-T Resource Study</w:t>
      </w:r>
      <w:r>
        <w:t xml:space="preserve">”</w:t>
      </w:r>
      <w:r>
        <w:t xml:space="preserve"> </w:t>
      </w:r>
      <w:r>
        <w:rPr>
          <w:i/>
        </w:rPr>
        <w:t xml:space="preserve">Neuroimage</w:t>
      </w:r>
      <w:r>
        <w:t xml:space="preserve"> </w:t>
      </w:r>
      <w:r>
        <w:t xml:space="preserve">54, no. 4 (2011): 2854–66. doi:</w:t>
      </w:r>
      <w:hyperlink r:id="rId65">
        <w:r>
          <w:rPr>
            <w:rStyle w:val="Hyperlink"/>
          </w:rPr>
          <w:t xml:space="preserve">10.1016/j.neuroimage.2010.11.047</w:t>
        </w:r>
      </w:hyperlink>
    </w:p>
    <w:p>
      <w:pPr>
        <w:pStyle w:val="Bibliography"/>
      </w:pPr>
      <w:r>
        <w:t xml:space="preserve">26. Avants, B. B., Yushkevich, P., Pluta, J., Minkoff, D., Korczykowski, M., Detre, J., and Gee, J. C. “</w:t>
      </w:r>
      <w:r>
        <w:rPr>
          <w:b/>
        </w:rPr>
        <w:t xml:space="preserve">The Optimal Template Effect in Hippocampus Studies of Diseased Populations</w:t>
      </w:r>
      <w:r>
        <w:t xml:space="preserve">”</w:t>
      </w:r>
      <w:r>
        <w:t xml:space="preserve"> </w:t>
      </w:r>
      <w:r>
        <w:rPr>
          <w:i/>
        </w:rPr>
        <w:t xml:space="preserve">Neuroimage</w:t>
      </w:r>
      <w:r>
        <w:t xml:space="preserve"> </w:t>
      </w:r>
      <w:r>
        <w:t xml:space="preserve">49, no. 3 (2010): 2457–66. doi:</w:t>
      </w:r>
      <w:hyperlink r:id="rId66">
        <w:r>
          <w:rPr>
            <w:rStyle w:val="Hyperlink"/>
          </w:rPr>
          <w:t xml:space="preserve">10.1016/j.neuroimage.2009.09.062</w:t>
        </w:r>
      </w:hyperlink>
    </w:p>
    <w:p>
      <w:pPr>
        <w:pStyle w:val="Bibliography"/>
      </w:pPr>
      <w:r>
        <w:t xml:space="preserve">27. Neema, M., Guss, Z. D., Stankiewicz, J. M., Arora, A., Healy, B. C., and Bakshi, R. “</w:t>
      </w:r>
      <w:r>
        <w:rPr>
          <w:b/>
        </w:rPr>
        <w:t xml:space="preserve">Normal Findings on Brain Fluid-Attenuated Inversion Recovery MR Images at 3T</w:t>
      </w:r>
      <w:r>
        <w:t xml:space="preserve">”</w:t>
      </w:r>
      <w:r>
        <w:t xml:space="preserve"> </w:t>
      </w:r>
      <w:r>
        <w:rPr>
          <w:i/>
        </w:rPr>
        <w:t xml:space="preserve">AJNR Am J Neuroradiol</w:t>
      </w:r>
      <w:r>
        <w:t xml:space="preserve"> </w:t>
      </w:r>
      <w:r>
        <w:t xml:space="preserve">30, no. 5 (2009): 911–6. doi:</w:t>
      </w:r>
      <w:hyperlink r:id="rId67">
        <w:r>
          <w:rPr>
            <w:rStyle w:val="Hyperlink"/>
          </w:rPr>
          <w:t xml:space="preserve">10.3174/ajnr.A1514</w:t>
        </w:r>
      </w:hyperlink>
    </w:p>
    <w:p>
      <w:pPr>
        <w:pStyle w:val="Bibliography"/>
      </w:pPr>
      <w:r>
        <w:t xml:space="preserve">28. Manjón, J. V., Coupé, P., Martí-Bonmatí, L., Collins, D. L., and Robles, M. “</w:t>
      </w:r>
      <w:r>
        <w:rPr>
          <w:b/>
        </w:rPr>
        <w:t xml:space="preserve">Adaptive Non-Local Means Denoising of MR Images with Spatially Varying Noise Levels</w:t>
      </w:r>
      <w:r>
        <w:t xml:space="preserve">”</w:t>
      </w:r>
      <w:r>
        <w:t xml:space="preserve"> </w:t>
      </w:r>
      <w:r>
        <w:rPr>
          <w:i/>
        </w:rPr>
        <w:t xml:space="preserve">J Magn Reson Imaging</w:t>
      </w:r>
      <w:r>
        <w:t xml:space="preserve"> </w:t>
      </w:r>
      <w:r>
        <w:t xml:space="preserve">31, no. 1 (2010): 192–203. doi:</w:t>
      </w:r>
      <w:hyperlink r:id="rId68">
        <w:r>
          <w:rPr>
            <w:rStyle w:val="Hyperlink"/>
          </w:rPr>
          <w:t xml:space="preserve">10.1002/jmri.22003</w:t>
        </w:r>
      </w:hyperlink>
    </w:p>
    <w:p>
      <w:pPr>
        <w:pStyle w:val="Bibliography"/>
      </w:pPr>
      <w:r>
        <w:t xml:space="preserve">29. Tustison, N. J., Avants, B. B., Cook, P. A., Zheng, Y., Egan, A., Yushkevich, P. A., and Gee, J. C. “</w:t>
      </w:r>
      <w:r>
        <w:rPr>
          <w:b/>
        </w:rPr>
        <w:t xml:space="preserve">N4ITK: Improved N3 Bias Correction</w:t>
      </w:r>
      <w:r>
        <w:t xml:space="preserve">”</w:t>
      </w:r>
      <w:r>
        <w:t xml:space="preserve"> </w:t>
      </w:r>
      <w:r>
        <w:rPr>
          <w:i/>
        </w:rPr>
        <w:t xml:space="preserve">IEEE Trans Med Imaging</w:t>
      </w:r>
      <w:r>
        <w:t xml:space="preserve"> </w:t>
      </w:r>
      <w:r>
        <w:t xml:space="preserve">29, no. 6 (2010): 1310–20. doi:</w:t>
      </w:r>
      <w:hyperlink r:id="rId69">
        <w:r>
          <w:rPr>
            <w:rStyle w:val="Hyperlink"/>
          </w:rPr>
          <w:t xml:space="preserve">10.1109/TMI.2010.2046908</w:t>
        </w:r>
      </w:hyperlink>
    </w:p>
    <w:p>
      <w:pPr>
        <w:pStyle w:val="Bibliography"/>
      </w:pPr>
      <w:r>
        <w:t xml:space="preserve">30. Nyúl, L. G., Udupa, J. K., and Zhang, X. “</w:t>
      </w:r>
      <w:r>
        <w:rPr>
          <w:b/>
        </w:rPr>
        <w:t xml:space="preserve">New Variants of a Method of MRI Scale Standardization</w:t>
      </w:r>
      <w:r>
        <w:t xml:space="preserve">”</w:t>
      </w:r>
      <w:r>
        <w:t xml:space="preserve"> </w:t>
      </w:r>
      <w:r>
        <w:rPr>
          <w:i/>
        </w:rPr>
        <w:t xml:space="preserve">IEEE Trans Med Imaging</w:t>
      </w:r>
      <w:r>
        <w:t xml:space="preserve"> </w:t>
      </w:r>
      <w:r>
        <w:t xml:space="preserve">19, no. 2 (2000): 143–50. doi:</w:t>
      </w:r>
      <w:hyperlink r:id="rId70">
        <w:r>
          <w:rPr>
            <w:rStyle w:val="Hyperlink"/>
          </w:rPr>
          <w:t xml:space="preserve">10.1109/42.836373</w:t>
        </w:r>
      </w:hyperlink>
    </w:p>
    <w:p>
      <w:pPr>
        <w:pStyle w:val="Bibliography"/>
      </w:pPr>
      <w:r>
        <w:t xml:space="preserve">31. Avants, B. B., Tustison, N. J., Wu, J., Cook, P. A., and Gee, J. C. “</w:t>
      </w:r>
      <w:r>
        <w:rPr>
          <w:b/>
        </w:rPr>
        <w:t xml:space="preserve">An Open Source Multivariate Framework for</w:t>
      </w:r>
      <w:r>
        <w:rPr>
          <w:b/>
        </w:rPr>
        <w:t xml:space="preserve"> </w:t>
      </w:r>
      <m:oMath>
        <m:r>
          <m:rPr/>
          <m:t>n</m:t>
        </m:r>
      </m:oMath>
      <w:r>
        <w:rPr>
          <w:b/>
        </w:rPr>
        <w:t xml:space="preserve">-Tissue Segmentation with Evaluation on Public Data</w:t>
      </w:r>
      <w:r>
        <w:t xml:space="preserve">”</w:t>
      </w:r>
      <w:r>
        <w:t xml:space="preserve"> </w:t>
      </w:r>
      <w:r>
        <w:rPr>
          <w:i/>
        </w:rPr>
        <w:t xml:space="preserve">Neuroinformatics</w:t>
      </w:r>
      <w:r>
        <w:t xml:space="preserve"> </w:t>
      </w:r>
      <w:r>
        <w:t xml:space="preserve">9, no. 4 (2011): 381–400. doi:</w:t>
      </w:r>
      <w:hyperlink r:id="rId71">
        <w:r>
          <w:rPr>
            <w:rStyle w:val="Hyperlink"/>
          </w:rPr>
          <w:t xml:space="preserve">10.1007/s12021-011-9109-y</w:t>
        </w:r>
      </w:hyperlink>
    </w:p>
    <w:p>
      <w:pPr>
        <w:pStyle w:val="Bibliography"/>
      </w:pPr>
      <w:r>
        <w:t xml:space="preserve">32. Menze, B. H., Jakab, A., Bauer, S., Kalpathy-Cramer, J., Farahani, K., Kirby, J., Burren, Y., Porz, N., Slotboom, J., Wiest, R., Lanczi, L., Gerstner, E., Weber, M.-A., Arbel, T., Avants, B. B., Ayache, N., Buendia, P., Collins, D. L., Cordier, N., Corso, J. J., Criminisi, A., Das, T., Delingette, H., Demiralp, Ç., Durst, C. R., Dojat, M., Doyle, S., Festa, J., Forbes, F., Geremia, E., Glocker, B., Golland, P., Guo, X., Hamamci, A., Iftekharuddin, K. M., Jena, R., John, N. M., Konukoglu, E., Lashkari, D., Mariz, J. A., Meier, R., Pereira, S., Precup, D., Price, S. J., Raviv, T. R., Reza, S. M. S., Ryan, M., Sarikaya, D., Schwartz, L., Shin, H.-C., Shotton, J., Silva, C. A., Sousa, N., Subbanna, N. K., Szekely, G., Taylor, T. J., Thomas, O. M., Tustison, N. J., Unal, G., Vasseur, F., Wintermark, M., Ye, D. H., Zhao, L., Zhao, B., Zikic, D., Prastawa, M., Reyes, M., and Van Leemput, K. “</w:t>
      </w:r>
      <w:r>
        <w:rPr>
          <w:b/>
        </w:rPr>
        <w:t xml:space="preserve">The Multimodal Brain Tumor Image Segmentation Benchmark (BRATS)</w:t>
      </w:r>
      <w:r>
        <w:t xml:space="preserve">”</w:t>
      </w:r>
      <w:r>
        <w:t xml:space="preserve"> </w:t>
      </w:r>
      <w:r>
        <w:rPr>
          <w:i/>
        </w:rPr>
        <w:t xml:space="preserve">IEEE Trans Med Imaging</w:t>
      </w:r>
      <w:r>
        <w:t xml:space="preserve"> </w:t>
      </w:r>
      <w:r>
        <w:t xml:space="preserve">34, no. 10 (2015): 1993–2024. doi:</w:t>
      </w:r>
      <w:hyperlink r:id="rId72">
        <w:r>
          <w:rPr>
            <w:rStyle w:val="Hyperlink"/>
          </w:rPr>
          <w:t xml:space="preserve">10.1109/TMI.2014.2377694</w:t>
        </w:r>
      </w:hyperlink>
    </w:p>
    <w:p>
      <w:pPr>
        <w:pStyle w:val="Bibliography"/>
      </w:pPr>
      <w:r>
        <w:t xml:space="preserve">33. Maurer, C. R., Rensheng, Q., and Raghavan, V. “</w:t>
      </w:r>
      <w:r>
        <w:rPr>
          <w:b/>
        </w:rPr>
        <w:t xml:space="preserve">A Linear Time Algorithm for Computing Exact Euclidean Distance Transforms of Binary Images in Arbitrary Dimensions</w:t>
      </w:r>
      <w:r>
        <w:t xml:space="preserve">”</w:t>
      </w:r>
      <w:r>
        <w:t xml:space="preserve"> </w:t>
      </w:r>
      <w:r>
        <w:rPr>
          <w:i/>
        </w:rPr>
        <w:t xml:space="preserve">Pattern Analysis and Machine Intelligence, IEEE Transactions on</w:t>
      </w:r>
      <w:r>
        <w:t xml:space="preserve"> </w:t>
      </w:r>
      <w:r>
        <w:t xml:space="preserve">25, no. 2 (2003): 265–270. doi:</w:t>
      </w:r>
      <w:hyperlink r:id="rId73">
        <w:r>
          <w:rPr>
            <w:rStyle w:val="Hyperlink"/>
          </w:rPr>
          <w:t xml:space="preserve">10.1109/TPAMI.2003.1177156</w:t>
        </w:r>
      </w:hyperlink>
    </w:p>
    <w:p>
      <w:pPr>
        <w:pStyle w:val="Bibliography"/>
      </w:pPr>
      <w:r>
        <w:t xml:space="preserve">34. Anbeek, P., Vincken, K. L., Osch, M. J. P. van, Bisschops, R. H. C., and Grond, J. van der. “</w:t>
      </w:r>
      <w:r>
        <w:rPr>
          <w:b/>
        </w:rPr>
        <w:t xml:space="preserve">Probabilistic Segmentation of White Matter Lesions in MR Imaging</w:t>
      </w:r>
      <w:r>
        <w:t xml:space="preserve">”</w:t>
      </w:r>
      <w:r>
        <w:t xml:space="preserve"> </w:t>
      </w:r>
      <w:r>
        <w:rPr>
          <w:i/>
        </w:rPr>
        <w:t xml:space="preserve">Neuroimage</w:t>
      </w:r>
      <w:r>
        <w:t xml:space="preserve"> </w:t>
      </w:r>
      <w:r>
        <w:t xml:space="preserve">21, no. 3 (2004): 1037–44. doi:</w:t>
      </w:r>
      <w:hyperlink r:id="rId74">
        <w:r>
          <w:rPr>
            <w:rStyle w:val="Hyperlink"/>
          </w:rPr>
          <w:t xml:space="preserve">10.1016/j.neuroimage.2003.10.012</w:t>
        </w:r>
      </w:hyperlink>
    </w:p>
    <w:p>
      <w:pPr>
        <w:pStyle w:val="Bibliography"/>
      </w:pPr>
      <w:r>
        <w:t xml:space="preserve">35. Tustison, N. J. and Avants, B. B. “</w:t>
      </w:r>
      <w:r>
        <w:rPr>
          <w:b/>
        </w:rPr>
        <w:t xml:space="preserve">Explicit B-Spline Regularization in Diffeomorphic Image Registration</w:t>
      </w:r>
      <w:r>
        <w:t xml:space="preserve">”</w:t>
      </w:r>
      <w:r>
        <w:t xml:space="preserve"> </w:t>
      </w:r>
      <w:r>
        <w:rPr>
          <w:i/>
        </w:rPr>
        <w:t xml:space="preserve">Front Neuroinform</w:t>
      </w:r>
      <w:r>
        <w:t xml:space="preserve"> </w:t>
      </w:r>
      <w:r>
        <w:t xml:space="preserve">7, (2013): 39. doi:</w:t>
      </w:r>
      <w:hyperlink r:id="rId75">
        <w:r>
          <w:rPr>
            <w:rStyle w:val="Hyperlink"/>
          </w:rPr>
          <w:t xml:space="preserve">10.3389/fninf.2013.00039</w:t>
        </w:r>
      </w:hyperlink>
    </w:p>
    <w:p>
      <w:pPr>
        <w:pStyle w:val="Bibliography"/>
      </w:pPr>
      <w:r>
        <w:t xml:space="preserve">36. Avants, B. B., Tustison, N. J., Song, G., Cook, P. A., Klein, A., and Gee, J. C. “</w:t>
      </w:r>
      <w:r>
        <w:rPr>
          <w:b/>
        </w:rPr>
        <w:t xml:space="preserve">A Reproducible Evaluation of ANTs Similarity Metric Performance in Brain Image Registration</w:t>
      </w:r>
      <w:r>
        <w:t xml:space="preserve">”</w:t>
      </w:r>
      <w:r>
        <w:t xml:space="preserve"> </w:t>
      </w:r>
      <w:r>
        <w:rPr>
          <w:i/>
        </w:rPr>
        <w:t xml:space="preserve">Neuroimage</w:t>
      </w:r>
      <w:r>
        <w:t xml:space="preserve"> </w:t>
      </w:r>
      <w:r>
        <w:t xml:space="preserve">54, no. 3 (2011): 2033–44. doi:</w:t>
      </w:r>
      <w:hyperlink r:id="rId76">
        <w:r>
          <w:rPr>
            <w:rStyle w:val="Hyperlink"/>
          </w:rPr>
          <w:t xml:space="preserve">10.1016/j.neuroimage.2010.09.025</w:t>
        </w:r>
      </w:hyperlink>
    </w:p>
    <w:p>
      <w:pPr>
        <w:pStyle w:val="Bibliography"/>
      </w:pPr>
      <w:r>
        <w:t xml:space="preserve">37. García-Lorenzo, D., Francis, S., Narayanan, S., Arnold, D. L., and Collins, D. L. “</w:t>
      </w:r>
      <w:r>
        <w:rPr>
          <w:b/>
        </w:rPr>
        <w:t xml:space="preserve">Review of Automatic Segmentation Methods of Multiple Sclerosis White Matter Lesions on Conventional Magnetic Resonance Imaging</w:t>
      </w:r>
      <w:r>
        <w:t xml:space="preserve">”</w:t>
      </w:r>
      <w:r>
        <w:t xml:space="preserve"> </w:t>
      </w:r>
      <w:r>
        <w:rPr>
          <w:i/>
        </w:rPr>
        <w:t xml:space="preserve">Med Image Anal</w:t>
      </w:r>
      <w:r>
        <w:t xml:space="preserve"> </w:t>
      </w:r>
      <w:r>
        <w:t xml:space="preserve">17, no. 1 (2013): 1–18. doi:</w:t>
      </w:r>
      <w:hyperlink r:id="rId77">
        <w:r>
          <w:rPr>
            <w:rStyle w:val="Hyperlink"/>
          </w:rPr>
          <w:t xml:space="preserve">10.1016/j.media.2012.09.004</w:t>
        </w:r>
      </w:hyperlink>
    </w:p>
    <w:p>
      <w:pPr>
        <w:pStyle w:val="Bibliography"/>
      </w:pPr>
      <w:r>
        <w:t xml:space="preserve">38. Liaw, A. and Wiener, M. “</w:t>
      </w:r>
      <w:r>
        <w:rPr>
          <w:b/>
        </w:rPr>
        <w:t xml:space="preserve">Classification and Regression by randomForest</w:t>
      </w:r>
      <w:r>
        <w:t xml:space="preserve">”</w:t>
      </w:r>
      <w:r>
        <w:t xml:space="preserve"> </w:t>
      </w:r>
      <w:r>
        <w:rPr>
          <w:i/>
        </w:rPr>
        <w:t xml:space="preserve">R News</w:t>
      </w:r>
      <w:r>
        <w:t xml:space="preserve"> </w:t>
      </w:r>
      <w:r>
        <w:t xml:space="preserve">2/3, (2002): 18–22.</w:t>
      </w:r>
      <w:r>
        <w:t xml:space="preserve"> </w:t>
      </w:r>
    </w:p>
    <w:p>
      <w:pPr>
        <w:pStyle w:val="Bibliography"/>
      </w:pPr>
      <w:r>
        <w:t xml:space="preserve">39. Debette, S. and Markus, H. S. “</w:t>
      </w:r>
      <w:r>
        <w:rPr>
          <w:b/>
        </w:rPr>
        <w:t xml:space="preserve">The Clinical Importance of White Matter Hyperintensities on Brain Magnetic Resonance Imaging: Systematic Review and Meta-Analysis</w:t>
      </w:r>
      <w:r>
        <w:t xml:space="preserve">”</w:t>
      </w:r>
      <w:r>
        <w:t xml:space="preserve"> </w:t>
      </w:r>
      <w:r>
        <w:rPr>
          <w:i/>
        </w:rPr>
        <w:t xml:space="preserve">BMJ</w:t>
      </w:r>
      <w:r>
        <w:t xml:space="preserve"> </w:t>
      </w:r>
      <w:r>
        <w:t xml:space="preserve">341, (2010): c3666.</w:t>
      </w:r>
      <w:r>
        <w:t xml:space="preserve"> </w:t>
      </w:r>
    </w:p>
    <w:p>
      <w:pPr>
        <w:pStyle w:val="Bibliography"/>
      </w:pPr>
      <w:r>
        <w:t xml:space="preserve">40. Kloppenborg, R. P., Nederkoorn, P. J., Geerlings, M. I., and Berg, E. van den. “</w:t>
      </w:r>
      <w:r>
        <w:rPr>
          <w:b/>
        </w:rPr>
        <w:t xml:space="preserve">Presence and Progression of White Matter Hyperintensities and Cognition: A Meta-Analysis</w:t>
      </w:r>
      <w:r>
        <w:t xml:space="preserve">”</w:t>
      </w:r>
      <w:r>
        <w:t xml:space="preserve"> </w:t>
      </w:r>
      <w:r>
        <w:rPr>
          <w:i/>
        </w:rPr>
        <w:t xml:space="preserve">Neurology</w:t>
      </w:r>
      <w:r>
        <w:t xml:space="preserve"> </w:t>
      </w:r>
      <w:r>
        <w:t xml:space="preserve">82, no. 23 (2014): 2127–38. doi:</w:t>
      </w:r>
      <w:hyperlink r:id="rId78">
        <w:r>
          <w:rPr>
            <w:rStyle w:val="Hyperlink"/>
          </w:rPr>
          <w:t xml:space="preserve">10.1212/WNL.0000000000000505</w:t>
        </w:r>
      </w:hyperlink>
    </w:p>
    <w:p>
      <w:pPr>
        <w:pStyle w:val="Bibliography"/>
      </w:pPr>
      <w:r>
        <w:t xml:space="preserve">41. Ginneken, B. V., Heimann, T., and Styner, M. “</w:t>
      </w:r>
      <w:r>
        <w:rPr>
          <w:b/>
        </w:rPr>
        <w:t xml:space="preserve">3D Segmentation in the Clinic: A Grand Challenge</w:t>
      </w:r>
      <w:r>
        <w:t xml:space="preserve">”</w:t>
      </w:r>
      <w:r>
        <w:t xml:space="preserve"> </w:t>
      </w:r>
      <w:r>
        <w:rPr>
          <w:i/>
        </w:rPr>
        <w:t xml:space="preserve">3D segmentation in the clinic: A grand challenge</w:t>
      </w:r>
      <w:r>
        <w:t xml:space="preserve"> </w:t>
      </w:r>
      <w:r>
        <w:t xml:space="preserve">(2007): 7–15.</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1">
    <w:p>
      <w:pPr>
        <w:pStyle w:val="FootnoteText"/>
      </w:pPr>
      <w:r>
        <w:rPr>
          <w:rStyle w:val="FootnoteReference"/>
        </w:rPr>
        <w:footnoteRef/>
      </w:r>
      <w:r>
        <w:t xml:space="preserve"> </w:t>
      </w:r>
      <w:hyperlink r:id="rId32">
        <w:r>
          <w:rPr>
            <w:rStyle w:val="Hyperlink"/>
          </w:rPr>
          <w:t xml:space="preserve">http://nifti.nimh.nih.gov/nifti-1</w:t>
        </w:r>
      </w:hyperlink>
    </w:p>
  </w:footnote>
  <w:footnote w:id="38">
    <w:p>
      <w:pPr>
        <w:pStyle w:val="FootnoteText"/>
      </w:pPr>
      <w:r>
        <w:rPr>
          <w:rStyle w:val="FootnoteReference"/>
        </w:rPr>
        <w:footnoteRef/>
      </w:r>
      <w:r>
        <w:t xml:space="preserve"> </w:t>
      </w:r>
      <w:hyperlink r:id="rId39">
        <w:r>
          <w:rPr>
            <w:rStyle w:val="Hyperlink"/>
          </w:rPr>
          <w:t xml:space="preserve">https://github.com/ntustison/ANTsAndArboles</w:t>
        </w:r>
      </w:hyperlink>
    </w:p>
  </w:footnote>
  <w:footnote w:id="40">
    <w:p>
      <w:pPr>
        <w:pStyle w:val="FootnoteText"/>
      </w:pPr>
      <w:r>
        <w:rPr>
          <w:rStyle w:val="FootnoteReference"/>
        </w:rPr>
        <w:footnoteRef/>
      </w:r>
      <w:r>
        <w:t xml:space="preserve"> </w:t>
      </w:r>
      <w:hyperlink r:id="rId41">
        <w:r>
          <w:rPr>
            <w:rStyle w:val="Hyperlink"/>
          </w:rPr>
          <w:t xml:space="preserve">https://github.com/ntustison/WatchMeHyperventilate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a37c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2ab1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ifti.nimh.nih.gov/nifti-1" TargetMode="External" /><Relationship Type="http://schemas.openxmlformats.org/officeDocument/2006/relationships/hyperlink" Id="rId59" Target="https://doi.org/10.1002/hbm.23110" TargetMode="External" /><Relationship Type="http://schemas.openxmlformats.org/officeDocument/2006/relationships/hyperlink" Id="rId68" Target="https://doi.org/10.1002/jmri.22003" TargetMode="External" /><Relationship Type="http://schemas.openxmlformats.org/officeDocument/2006/relationships/hyperlink" Id="rId56" Target="https://doi.org/10.1007/s00415-008-0658-4" TargetMode="External" /><Relationship Type="http://schemas.openxmlformats.org/officeDocument/2006/relationships/hyperlink" Id="rId71" Target="https://doi.org/10.1007/s12021-011-9109-y" TargetMode="External" /><Relationship Type="http://schemas.openxmlformats.org/officeDocument/2006/relationships/hyperlink" Id="rId60" Target="https://doi.org/10.1007/s12021-014-9245-2" TargetMode="External" /><Relationship Type="http://schemas.openxmlformats.org/officeDocument/2006/relationships/hyperlink" Id="rId77" Target="https://doi.org/10.1016/j.media.2012.09.004" TargetMode="External" /><Relationship Type="http://schemas.openxmlformats.org/officeDocument/2006/relationships/hyperlink" Id="rId74" Target="https://doi.org/10.1016/j.neuroimage.2003.10.012" TargetMode="External" /><Relationship Type="http://schemas.openxmlformats.org/officeDocument/2006/relationships/hyperlink" Id="rId63" Target="https://doi.org/10.1016/j.neuroimage.2006.01.015" TargetMode="External" /><Relationship Type="http://schemas.openxmlformats.org/officeDocument/2006/relationships/hyperlink" Id="rId66" Target="https://doi.org/10.1016/j.neuroimage.2009.09.062" TargetMode="External" /><Relationship Type="http://schemas.openxmlformats.org/officeDocument/2006/relationships/hyperlink" Id="rId76" Target="https://doi.org/10.1016/j.neuroimage.2010.09.025" TargetMode="External" /><Relationship Type="http://schemas.openxmlformats.org/officeDocument/2006/relationships/hyperlink" Id="rId65" Target="https://doi.org/10.1016/j.neuroimage.2010.11.047" TargetMode="External" /><Relationship Type="http://schemas.openxmlformats.org/officeDocument/2006/relationships/hyperlink" Id="rId58" Target="https://doi.org/10.1016/j.neuroimage.2011.03.080" TargetMode="External" /><Relationship Type="http://schemas.openxmlformats.org/officeDocument/2006/relationships/hyperlink" Id="rId64" Target="https://doi.org/10.1016/j.neuroimage.2014.05.044" TargetMode="External" /><Relationship Type="http://schemas.openxmlformats.org/officeDocument/2006/relationships/hyperlink" Id="rId51" Target="https://doi.org/10.1037/a0032837" TargetMode="External" /><Relationship Type="http://schemas.openxmlformats.org/officeDocument/2006/relationships/hyperlink" Id="rId53" Target="https://doi.org/10.1089/neu.2006.0214" TargetMode="External" /><Relationship Type="http://schemas.openxmlformats.org/officeDocument/2006/relationships/hyperlink" Id="rId55" Target="https://doi.org/10.1089/neu.2008.0683" TargetMode="External" /><Relationship Type="http://schemas.openxmlformats.org/officeDocument/2006/relationships/hyperlink" Id="rId54" Target="https://doi.org/10.1089/neu.2013.3258" TargetMode="External" /><Relationship Type="http://schemas.openxmlformats.org/officeDocument/2006/relationships/hyperlink" Id="rId52" Target="https://doi.org/10.1089/neu.2014.3801" TargetMode="External" /><Relationship Type="http://schemas.openxmlformats.org/officeDocument/2006/relationships/hyperlink" Id="rId70" Target="https://doi.org/10.1109/42.836373" TargetMode="External" /><Relationship Type="http://schemas.openxmlformats.org/officeDocument/2006/relationships/hyperlink" Id="rId61" Target="https://doi.org/10.1109/ICDAR.1995.598994" TargetMode="External" /><Relationship Type="http://schemas.openxmlformats.org/officeDocument/2006/relationships/hyperlink" Id="rId69" Target="https://doi.org/10.1109/TMI.2010.2046908" TargetMode="External" /><Relationship Type="http://schemas.openxmlformats.org/officeDocument/2006/relationships/hyperlink" Id="rId72" Target="https://doi.org/10.1109/TMI.2014.2377694" TargetMode="External" /><Relationship Type="http://schemas.openxmlformats.org/officeDocument/2006/relationships/hyperlink" Id="rId73" Target="https://doi.org/10.1109/TPAMI.2003.1177156" TargetMode="External" /><Relationship Type="http://schemas.openxmlformats.org/officeDocument/2006/relationships/hyperlink" Id="rId78" Target="https://doi.org/10.1212/WNL.0000000000000505" TargetMode="External" /><Relationship Type="http://schemas.openxmlformats.org/officeDocument/2006/relationships/hyperlink" Id="rId57" Target="https://doi.org/10.3171/jns.1988.69.6.0861" TargetMode="External" /><Relationship Type="http://schemas.openxmlformats.org/officeDocument/2006/relationships/hyperlink" Id="rId67" Target="https://doi.org/10.3174/ajnr.A1514" TargetMode="External" /><Relationship Type="http://schemas.openxmlformats.org/officeDocument/2006/relationships/hyperlink" Id="rId75" Target="https://doi.org/10.3389/fninf.2013.00039" TargetMode="External" /><Relationship Type="http://schemas.openxmlformats.org/officeDocument/2006/relationships/hyperlink" Id="rId62" Target="https://doi.org/10.3389/fninf.2014.00044"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2" Target="http://nifti.nimh.nih.gov/nifti-1" TargetMode="External" /><Relationship Type="http://schemas.openxmlformats.org/officeDocument/2006/relationships/hyperlink" Id="rId59" Target="https://doi.org/10.1002/hbm.23110" TargetMode="External" /><Relationship Type="http://schemas.openxmlformats.org/officeDocument/2006/relationships/hyperlink" Id="rId68" Target="https://doi.org/10.1002/jmri.22003" TargetMode="External" /><Relationship Type="http://schemas.openxmlformats.org/officeDocument/2006/relationships/hyperlink" Id="rId56" Target="https://doi.org/10.1007/s00415-008-0658-4" TargetMode="External" /><Relationship Type="http://schemas.openxmlformats.org/officeDocument/2006/relationships/hyperlink" Id="rId71" Target="https://doi.org/10.1007/s12021-011-9109-y" TargetMode="External" /><Relationship Type="http://schemas.openxmlformats.org/officeDocument/2006/relationships/hyperlink" Id="rId60" Target="https://doi.org/10.1007/s12021-014-9245-2" TargetMode="External" /><Relationship Type="http://schemas.openxmlformats.org/officeDocument/2006/relationships/hyperlink" Id="rId77" Target="https://doi.org/10.1016/j.media.2012.09.004" TargetMode="External" /><Relationship Type="http://schemas.openxmlformats.org/officeDocument/2006/relationships/hyperlink" Id="rId74" Target="https://doi.org/10.1016/j.neuroimage.2003.10.012" TargetMode="External" /><Relationship Type="http://schemas.openxmlformats.org/officeDocument/2006/relationships/hyperlink" Id="rId63" Target="https://doi.org/10.1016/j.neuroimage.2006.01.015" TargetMode="External" /><Relationship Type="http://schemas.openxmlformats.org/officeDocument/2006/relationships/hyperlink" Id="rId66" Target="https://doi.org/10.1016/j.neuroimage.2009.09.062" TargetMode="External" /><Relationship Type="http://schemas.openxmlformats.org/officeDocument/2006/relationships/hyperlink" Id="rId76" Target="https://doi.org/10.1016/j.neuroimage.2010.09.025" TargetMode="External" /><Relationship Type="http://schemas.openxmlformats.org/officeDocument/2006/relationships/hyperlink" Id="rId65" Target="https://doi.org/10.1016/j.neuroimage.2010.11.047" TargetMode="External" /><Relationship Type="http://schemas.openxmlformats.org/officeDocument/2006/relationships/hyperlink" Id="rId58" Target="https://doi.org/10.1016/j.neuroimage.2011.03.080" TargetMode="External" /><Relationship Type="http://schemas.openxmlformats.org/officeDocument/2006/relationships/hyperlink" Id="rId64" Target="https://doi.org/10.1016/j.neuroimage.2014.05.044" TargetMode="External" /><Relationship Type="http://schemas.openxmlformats.org/officeDocument/2006/relationships/hyperlink" Id="rId51" Target="https://doi.org/10.1037/a0032837" TargetMode="External" /><Relationship Type="http://schemas.openxmlformats.org/officeDocument/2006/relationships/hyperlink" Id="rId53" Target="https://doi.org/10.1089/neu.2006.0214" TargetMode="External" /><Relationship Type="http://schemas.openxmlformats.org/officeDocument/2006/relationships/hyperlink" Id="rId55" Target="https://doi.org/10.1089/neu.2008.0683" TargetMode="External" /><Relationship Type="http://schemas.openxmlformats.org/officeDocument/2006/relationships/hyperlink" Id="rId54" Target="https://doi.org/10.1089/neu.2013.3258" TargetMode="External" /><Relationship Type="http://schemas.openxmlformats.org/officeDocument/2006/relationships/hyperlink" Id="rId52" Target="https://doi.org/10.1089/neu.2014.3801" TargetMode="External" /><Relationship Type="http://schemas.openxmlformats.org/officeDocument/2006/relationships/hyperlink" Id="rId70" Target="https://doi.org/10.1109/42.836373" TargetMode="External" /><Relationship Type="http://schemas.openxmlformats.org/officeDocument/2006/relationships/hyperlink" Id="rId61" Target="https://doi.org/10.1109/ICDAR.1995.598994" TargetMode="External" /><Relationship Type="http://schemas.openxmlformats.org/officeDocument/2006/relationships/hyperlink" Id="rId69" Target="https://doi.org/10.1109/TMI.2010.2046908" TargetMode="External" /><Relationship Type="http://schemas.openxmlformats.org/officeDocument/2006/relationships/hyperlink" Id="rId72" Target="https://doi.org/10.1109/TMI.2014.2377694" TargetMode="External" /><Relationship Type="http://schemas.openxmlformats.org/officeDocument/2006/relationships/hyperlink" Id="rId73" Target="https://doi.org/10.1109/TPAMI.2003.1177156" TargetMode="External" /><Relationship Type="http://schemas.openxmlformats.org/officeDocument/2006/relationships/hyperlink" Id="rId78" Target="https://doi.org/10.1212/WNL.0000000000000505" TargetMode="External" /><Relationship Type="http://schemas.openxmlformats.org/officeDocument/2006/relationships/hyperlink" Id="rId57" Target="https://doi.org/10.3171/jns.1988.69.6.0861" TargetMode="External" /><Relationship Type="http://schemas.openxmlformats.org/officeDocument/2006/relationships/hyperlink" Id="rId67" Target="https://doi.org/10.3174/ajnr.A1514" TargetMode="External" /><Relationship Type="http://schemas.openxmlformats.org/officeDocument/2006/relationships/hyperlink" Id="rId75" Target="https://doi.org/10.3389/fninf.2013.00039" TargetMode="External" /><Relationship Type="http://schemas.openxmlformats.org/officeDocument/2006/relationships/hyperlink" Id="rId62" Target="https://doi.org/10.3389/fninf.2014.00044"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