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white-matter-hyperintensities-in-tbi"/>
      <w:bookmarkEnd w:id="22"/>
      <w:r>
        <w:t xml:space="preserve">White matter hyperintensities in TBI</w:t>
      </w:r>
    </w:p>
    <w:p>
      <w:pPr>
        <w:pStyle w:val="Heading2"/>
      </w:pPr>
      <w:bookmarkStart w:id="23" w:name="random-forests-for-wmh-segmentation"/>
      <w:bookmarkEnd w:id="23"/>
      <w:r>
        <w:t xml:space="preserve">Random forests for WMH segmentation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 add-on</w:t>
      </w:r>
      <w:r>
        <w:t xml:space="preserve"> </w:t>
      </w:r>
      <w:r>
        <w:t xml:space="preserve">toolkits.</w:t>
      </w:r>
    </w:p>
    <w:p>
      <w:pPr>
        <w:pStyle w:val="BodyText"/>
      </w:pPr>
      <w:r>
        <w:t xml:space="preserve">Random forests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[9]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[10]</w:t>
      </w:r>
      <w:r>
        <w:t xml:space="preserve">, stroke lesions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[12–15]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[16]</w:t>
      </w:r>
      <w:r>
        <w:t xml:space="preserve"> </w:t>
      </w:r>
      <w:r>
        <w:t xml:space="preserve">and has continued every year since under the auspices of the International Conference</w:t>
      </w:r>
      <w:r>
        <w:t xml:space="preserve"> </w:t>
      </w:r>
      <w:r>
        <w:t xml:space="preserve">of Medical Image Computing and Computer Assisted Interventions (MICCAI).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be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[17, 18]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[19, 20]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framework.</w:t>
      </w:r>
    </w:p>
    <w:p>
      <w:pPr>
        <w:pStyle w:val="BodyText"/>
      </w:pPr>
      <w:r>
        <w:t xml:space="preserve">In this work, we develop a concatenated random forest framework with a tailored feature image set</w:t>
      </w:r>
      <w:r>
        <w:t xml:space="preserve"> </w:t>
      </w:r>
      <w:r>
        <w:t xml:space="preserve">for segmenting white matter hyperintensities in traumatic brain injury cohorts. Additionally,</w:t>
      </w:r>
      <w:r>
        <w:t xml:space="preserve"> </w:t>
      </w:r>
      <w:r>
        <w:t xml:space="preserve">the entire framework is provided as open source through the well-known open-source</w:t>
      </w:r>
      <w:r>
        <w:t xml:space="preserve"> </w:t>
      </w:r>
      <w:r>
        <w:t xml:space="preserve">ANTs</w:t>
      </w:r>
      <w:r>
        <w:rPr>
          <w:rStyle w:val="FootnoteReference"/>
        </w:rPr>
        <w:footnoteReference w:id="24"/>
      </w:r>
      <w:r>
        <w:t xml:space="preserve"> </w:t>
      </w:r>
      <w:r>
        <w:t xml:space="preserve">and ANTsR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toolkits. Further motivating the investigation of this work is</w:t>
      </w:r>
      <w:r>
        <w:t xml:space="preserve"> </w:t>
      </w:r>
      <w:r>
        <w:t xml:space="preserve">the additional public availability of the TBI cohorts thus permitting full reproducibility</w:t>
      </w:r>
      <w:r>
        <w:t xml:space="preserve"> </w:t>
      </w:r>
      <w:r>
        <w:t xml:space="preserve">of the results reported and discussed.</w:t>
      </w:r>
    </w:p>
    <w:p>
      <w:pPr>
        <w:pStyle w:val="Heading1"/>
      </w:pPr>
      <w:bookmarkStart w:id="28" w:name="materials-and-methods"/>
      <w:bookmarkEnd w:id="28"/>
      <w:r>
        <w:t xml:space="preserve">Materials and Methods</w:t>
      </w:r>
    </w:p>
    <w:p>
      <w:pPr>
        <w:pStyle w:val="Heading2"/>
      </w:pPr>
      <w:bookmarkStart w:id="29" w:name="imaging"/>
      <w:bookmarkEnd w:id="29"/>
      <w:r>
        <w:t xml:space="preserve">Imaging</w:t>
      </w:r>
    </w:p>
    <w:p>
      <w:pPr>
        <w:pStyle w:val="Heading2"/>
      </w:pPr>
      <w:bookmarkStart w:id="30" w:name="quantitative-analysis"/>
      <w:bookmarkEnd w:id="30"/>
      <w:r>
        <w:t xml:space="preserve">Quantitative analysis</w:t>
      </w:r>
    </w:p>
    <w:p>
      <w:pPr>
        <w:pStyle w:val="FirstParagraph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[21]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31" w:name="feature-images-for-wmh-segmentation"/>
      <w:bookmarkEnd w:id="31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 Note that in this work we categorize the brain parenchyma</w:t>
      </w:r>
      <w:r>
        <w:t xml:space="preserve"> </w:t>
      </w:r>
      <w:r>
        <w:t xml:space="preserve">with seven labels:</w:t>
      </w:r>
      <w:r>
        <w:t xml:space="preserve"> </w:t>
      </w:r>
      <w:r>
        <w:t xml:space="preserve">* cerebrospinal fluid (label 1),</w:t>
      </w:r>
      <w:r>
        <w:t xml:space="preserve"> </w:t>
      </w:r>
      <w:r>
        <w:t xml:space="preserve">* gray matter (label 2),</w:t>
      </w:r>
      <w:r>
        <w:t xml:space="preserve"> </w:t>
      </w:r>
      <w:r>
        <w:t xml:space="preserve">* white matter (label 3),</w:t>
      </w:r>
      <w:r>
        <w:t xml:space="preserve"> </w:t>
      </w:r>
      <w:r>
        <w:t xml:space="preserve">* deep gray matter (label 4),</w:t>
      </w:r>
      <w:r>
        <w:t xml:space="preserve"> </w:t>
      </w:r>
      <w:r>
        <w:t xml:space="preserve">* brain stem (label 5),</w:t>
      </w:r>
      <w:r>
        <w:t xml:space="preserve"> </w:t>
      </w:r>
      <w:r>
        <w:t xml:space="preserve">* cerebellum (label 6), and</w:t>
      </w:r>
      <w:r>
        <w:t xml:space="preserve"> </w:t>
      </w:r>
      <w:r>
        <w:t xml:space="preserve">* white matter hyperintensities (label 7).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[22]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[24]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[25]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[22]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[24]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[26]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[25]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These provide the ground-truth labels for the first six tissue labels</w:t>
      </w:r>
      <w:r>
        <w:t xml:space="preserve"> </w:t>
      </w:r>
      <w:r>
        <w:t xml:space="preserve">given above. The white matter hyperintensities were manually identified by one of the authors</w:t>
      </w:r>
      <w:r>
        <w:t xml:space="preserve"> </w:t>
      </w:r>
      <w:r>
        <w:t xml:space="preserve">(J. R. S.) using the ITK-SNAP tool</w:t>
      </w:r>
      <w:r>
        <w:t xml:space="preserve"> </w:t>
      </w:r>
      <w:r>
        <w:t xml:space="preserve">[27]</w:t>
      </w:r>
      <w:r>
        <w:t xml:space="preserve">. Segmentation is performed using</w:t>
      </w:r>
      <w:r>
        <w:t xml:space="preserve"> </w:t>
      </w:r>
      <w:r>
        <w:t xml:space="preserve">the ANTs Atropos tool</w:t>
      </w:r>
      <w:r>
        <w:t xml:space="preserve"> </w:t>
      </w:r>
      <w:r>
        <w:t xml:space="preserve">[28]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[15]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[29]</w:t>
      </w:r>
      <w:r>
        <w:t xml:space="preserve">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[16]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[15]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[30]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[31]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[32]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can warp the voxel index locations</w:t>
      </w:r>
      <w:r>
        <w:t xml:space="preserve"> </w:t>
      </w:r>
      <w:r>
        <w:t xml:space="preserve">back to 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[33]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33" w:name="stackedcascadedconcatenated-random-forests-for-improved-segmentation-performance"/>
      <w:bookmarkEnd w:id="33"/>
      <w:r>
        <w:t xml:space="preserve">Stacked/cascaded/concatenated random forests for improved segmentation performance</w:t>
      </w:r>
    </w:p>
    <w:p>
      <w:pPr>
        <w:pStyle w:val="FirstParagraph"/>
      </w:pPr>
      <w:r>
        <w:t xml:space="preserve">In previous brain tumor segmentation work</w:t>
      </w:r>
      <w:r>
        <w:t xml:space="preserve"> </w:t>
      </w:r>
      <w:r>
        <w:t xml:space="preserve">[15]</w:t>
      </w:r>
      <w:r>
        <w:t xml:space="preserve">, it was demonstrated that a</w:t>
      </w:r>
      <w:r>
        <w:t xml:space="preserve"> </w:t>
      </w:r>
      <w:r>
        <w:t xml:space="preserve">concatenated supervised approach, whereby the prediction output from the first random forest</w:t>
      </w:r>
      <w:r>
        <w:t xml:space="preserve"> </w:t>
      </w:r>
      <w:r>
        <w:t xml:space="preserve">model serves as partial input for a second random forest model, can significantly improve</w:t>
      </w:r>
      <w:r>
        <w:t xml:space="preserve"> </w:t>
      </w:r>
      <w:r>
        <w:t xml:space="preserve">segmentation performance. We do the same thing for the work described here. The Stage 1</w:t>
      </w:r>
      <w:r>
        <w:t xml:space="preserve"> </w:t>
      </w:r>
      <w:r>
        <w:t xml:space="preserve">feature images of the training data (as described previously) are used to construct the</w:t>
      </w:r>
      <w:r>
        <w:t xml:space="preserve"> </w:t>
      </w:r>
      <w:r>
        <w:t xml:space="preserve">Stage 1 model. The training data Stage 1 features are then used to produce the voxelwise</w:t>
      </w:r>
      <w:r>
        <w:t xml:space="preserve"> </w:t>
      </w:r>
      <w:r>
        <w:t xml:space="preserve">voting maps via the Stage 1 model. All the Stage 1 features plus the Stage 1 voting maps</w:t>
      </w:r>
      <w:r>
        <w:t xml:space="preserve"> </w:t>
      </w:r>
      <w:r>
        <w:t xml:space="preserve">are used as input to the Stage 2 model. In addition, we use the Stage 1 voting maps as</w:t>
      </w:r>
      <w:r>
        <w:t xml:space="preserve"> </w:t>
      </w:r>
      <w:r>
        <w:t xml:space="preserve">tissue priors for a second application of the Atropos maximum aposteriori algorithm with an</w:t>
      </w:r>
      <w:r>
        <w:t xml:space="preserve"> </w:t>
      </w:r>
      <w:r>
        <w:t xml:space="preserve">additional Markov Random Field spatial prior (MAP-MRF)</w:t>
      </w:r>
      <w:r>
        <w:t xml:space="preserve"> </w:t>
      </w:r>
      <w:r>
        <w:t xml:space="preserve">[28]</w:t>
      </w:r>
      <w:r>
        <w:t xml:space="preserve">. However, for</w:t>
      </w:r>
      <w:r>
        <w:t xml:space="preserve"> </w:t>
      </w:r>
      <w:r>
        <w:t xml:space="preserve">the second stage we use all three aligned preprocessed images for a multivariate</w:t>
      </w:r>
      <w:r>
        <w:t xml:space="preserve"> </w:t>
      </w:r>
      <w:r>
        <w:t xml:space="preserve">analysis. The resulting seven posterior probability images constitute a third additional</w:t>
      </w:r>
      <w:r>
        <w:t xml:space="preserve"> </w:t>
      </w:r>
      <w:r>
        <w:t xml:space="preserve">feature image set for Stage 2.</w:t>
      </w:r>
    </w:p>
    <w:p>
      <w:pPr>
        <w:pStyle w:val="Heading3"/>
      </w:pPr>
      <w:bookmarkStart w:id="34" w:name="code-and-data-availability"/>
      <w:bookmarkEnd w:id="34"/>
      <w:r>
        <w:t xml:space="preserve">Code and data availability</w:t>
      </w:r>
    </w:p>
    <w:p>
      <w:pPr>
        <w:pStyle w:val="FirstParagraph"/>
      </w:pPr>
      <w:r>
        <w:t xml:space="preserve">As pointed out in a recent comprehensive multiple sclerosis lesion segmentation review</w:t>
      </w:r>
      <w:r>
        <w:t xml:space="preserve"> </w:t>
      </w:r>
      <w:r>
        <w:t xml:space="preserve">[34]</w:t>
      </w:r>
      <w:r>
        <w:t xml:space="preserve">, although the number of algorithms reported in the literature</w:t>
      </w:r>
      <w:r>
        <w:t xml:space="preserve"> </w:t>
      </w:r>
      <w:r>
        <w:t xml:space="preserve">is quite extensive, there were only four publicly available segmentation algorithms</w:t>
      </w:r>
      <w:r>
        <w:t xml:space="preserve"> </w:t>
      </w:r>
      <w:r>
        <w:t xml:space="preserve">at the time of writing of which none are based on supervised learning. As we did for</w:t>
      </w:r>
      <w:r>
        <w:t xml:space="preserve"> </w:t>
      </w:r>
      <w:r>
        <w:t xml:space="preserve">our brain tumor segmentation algorithm</w:t>
      </w:r>
      <w:r>
        <w:t xml:space="preserve"> </w:t>
      </w:r>
      <w:r>
        <w:t xml:space="preserve">[15]</w:t>
      </w:r>
      <w:r>
        <w:t xml:space="preserve">, all of the code described in</w:t>
      </w:r>
      <w:r>
        <w:t xml:space="preserve"> </w:t>
      </w:r>
      <w:r>
        <w:t xml:space="preserve">this work is publicly available through the open-source ANTs/ANTsR toolkits. In addition,</w:t>
      </w:r>
      <w:r>
        <w:t xml:space="preserve"> </w:t>
      </w:r>
      <w:r>
        <w:t xml:space="preserve">similar to our previous offering,</w:t>
      </w:r>
      <w:r>
        <w:rPr>
          <w:rStyle w:val="FootnoteReference"/>
        </w:rPr>
        <w:footnoteReference w:id="35"/>
      </w:r>
      <w:r>
        <w:t xml:space="preserve"> we plan on creating</w:t>
      </w:r>
      <w:r>
        <w:t xml:space="preserve"> </w:t>
      </w:r>
      <w:r>
        <w:t xml:space="preserve">a self-encapsulated example to showcase the proposed methodology. The fact that this</w:t>
      </w:r>
      <w:r>
        <w:t xml:space="preserve"> </w:t>
      </w:r>
      <w:r>
        <w:t xml:space="preserve">the data will also be made available</w:t>
      </w:r>
      <w:r>
        <w:t xml:space="preserve"> </w:t>
      </w:r>
      <w:r>
        <w:t xml:space="preserve"> </w:t>
      </w:r>
      <w:r>
        <w:t xml:space="preserve">along</w:t>
      </w:r>
      <w:r>
        <w:t xml:space="preserve"> </w:t>
      </w:r>
      <w:r>
        <w:t xml:space="preserve">with the ground truth data.</w:t>
      </w:r>
    </w:p>
    <w:p>
      <w:pPr>
        <w:pStyle w:val="Heading3"/>
      </w:pPr>
      <w:bookmarkStart w:id="37" w:name="evaluation-protocol"/>
      <w:bookmarkEnd w:id="37"/>
      <w:r>
        <w:t xml:space="preserve">Evaluation protocol</w:t>
      </w:r>
    </w:p>
    <w:p>
      <w:pPr>
        <w:pStyle w:val="Heading1"/>
      </w:pPr>
      <w:bookmarkStart w:id="38" w:name="results"/>
      <w:bookmarkEnd w:id="38"/>
      <w:r>
        <w:t xml:space="preserve">Results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BodyText"/>
      </w:pPr>
      <w:r>
        <w:t xml:space="preserve">To calculate this quantity for a single feature from a single random forest model, the</w:t>
      </w:r>
      <w:r>
        <w:t xml:space="preserve"> </w:t>
      </w:r>
      <w:r>
        <w:t xml:space="preserve">decrease in prediction accuracy produced by omitting the specified feature is calculated</w:t>
      </w:r>
      <w:r>
        <w:t xml:space="preserve"> </w:t>
      </w:r>
      <w:r>
        <w:t xml:space="preserve">during the out-of-bag phase of model creation.</w:t>
      </w:r>
    </w:p>
    <w:p>
      <w:pPr>
        <w:pStyle w:val="BodyText"/>
      </w:pPr>
      <w:r>
        <w:t xml:space="preserve">During the out-of-bag error calculation stage of the random forest model creation, the</w:t>
      </w:r>
      <w:r>
        <w:t xml:space="preserve"> </w:t>
      </w:r>
      <w:r>
        <w:t xml:space="preserve">decrease in prediction accuracy with the omission of a single feature or variable is</w:t>
      </w:r>
      <w:r>
        <w:t xml:space="preserve"> </w:t>
      </w:r>
      <w:r>
        <w:t xml:space="preserve">tracked and averaged. Those features which have the greatest decrease in mean accuracy are</w:t>
      </w:r>
      <w:r>
        <w:t xml:space="preserve"> </w:t>
      </w:r>
      <w:r>
        <w:t xml:space="preserve">considered to be the most discriminative. In this work, we do not use these measurements for</w:t>
      </w:r>
      <w:r>
        <w:t xml:space="preserve"> </w:t>
      </w:r>
      <w:r>
        <w:t xml:space="preserve">feature pruning.</w:t>
      </w:r>
    </w:p>
    <w:p>
      <w:pPr>
        <w:pStyle w:val="BodyText"/>
      </w:pPr>
    </w:p>
    <w:p>
      <w:pPr>
        <w:pStyle w:val="Heading1"/>
      </w:pPr>
      <w:bookmarkStart w:id="40" w:name="references"/>
      <w:bookmarkEnd w:id="40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41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42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43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44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45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10.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46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11.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47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12.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13.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14.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15.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</w:t>
      </w:r>
      <w:r>
        <w:rPr>
          <w:b/>
        </w:rPr>
        <w:t xml:space="preserve"> </w:t>
      </w:r>
      <m:oMath>
        <m:r>
          <m:rPr/>
          <m:t>A</m:t>
        </m:r>
        <m:r>
          <m:rPr/>
          <m:t>N</m:t>
        </m:r>
        <m:r>
          <m:rPr/>
          <m:t>T</m:t>
        </m:r>
        <m:r>
          <m:rPr/>
          <m:t>s</m:t>
        </m:r>
        <m:r>
          <m:rPr/>
          <m:t>R</m:t>
        </m:r>
      </m:oMath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(2014): doi:</w:t>
      </w:r>
      <w:hyperlink r:id="rId48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16.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49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17.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18.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19.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50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20.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21.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51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22.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52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23.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53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24.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54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25.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55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26.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56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27. Yushkevich, P. A., Piven, J., Hazlett, H. C., Smith, R. G., Ho, S., Gee, J. C., and Gerig, G. “</w:t>
      </w:r>
      <w:r>
        <w:rPr>
          <w:b/>
        </w:rPr>
        <w:t xml:space="preserve">User-Guided 3D Active Contour Segmentation of Anatomical Structures: Significantly Improved Efficiency and Reliability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31, no. 3 (2006): 1116–28. doi:</w:t>
      </w:r>
      <w:hyperlink r:id="rId57">
        <w:r>
          <w:rPr>
            <w:rStyle w:val="Hyperlink"/>
          </w:rPr>
          <w:t xml:space="preserve">10.1016/j.neuroimage.2006.01.015</w:t>
        </w:r>
      </w:hyperlink>
    </w:p>
    <w:p>
      <w:pPr>
        <w:pStyle w:val="Bibliography"/>
      </w:pPr>
      <w:r>
        <w:t xml:space="preserve">28.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58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29.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59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30.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60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31.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61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32.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62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33.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63">
        <w:r>
          <w:rPr>
            <w:rStyle w:val="Hyperlink"/>
          </w:rPr>
          <w:t xml:space="preserve">10.1016/j.neuroimage.2003.10.012</w:t>
        </w:r>
      </w:hyperlink>
    </w:p>
    <w:p>
      <w:pPr>
        <w:pStyle w:val="Bibliography"/>
      </w:pPr>
      <w:r>
        <w:t xml:space="preserve">34. García-Lorenzo, D., Francis, S., Narayanan, S., Arnold, D. L., and Collins, D. L. “</w:t>
      </w:r>
      <w:r>
        <w:rPr>
          <w:b/>
        </w:rPr>
        <w:t xml:space="preserve">Review of Automatic Segmentation Methods of Multiple Sclerosis White Matter Lesions on Conventional Magnetic Resonance Imaging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17, no. 1 (2013): 1–18. doi:</w:t>
      </w:r>
      <w:hyperlink r:id="rId64">
        <w:r>
          <w:rPr>
            <w:rStyle w:val="Hyperlink"/>
          </w:rPr>
          <w:t xml:space="preserve">10.1016/j.media.2012.09.004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>
        <w:r>
          <w:rPr>
            <w:rStyle w:val="Hyperlink"/>
          </w:rPr>
          <w:t xml:space="preserve">https://github.com/stnava/ANTs</w:t>
        </w:r>
      </w:hyperlink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https://github.com/stnava/ANTsR</w:t>
        </w:r>
      </w:hyperlink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6">
        <w:r>
          <w:rPr>
            <w:rStyle w:val="Hyperlink"/>
          </w:rPr>
          <w:t xml:space="preserve">https://github.com/ntustison/ANTsAndArboles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39c4c6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32" Target="media/rId32.png" /><Relationship Type="http://schemas.openxmlformats.org/officeDocument/2006/relationships/hyperlink" Id="rId41" Target="http://mlmi2015.web.unc.edu" TargetMode="External" /><Relationship Type="http://schemas.openxmlformats.org/officeDocument/2006/relationships/hyperlink" Id="rId45" Target="http://www.scipy.org/" TargetMode="External" /><Relationship Type="http://schemas.openxmlformats.org/officeDocument/2006/relationships/hyperlink" Id="rId47" Target="https://doi.org/10.1002/hbm.23110" TargetMode="External" /><Relationship Type="http://schemas.openxmlformats.org/officeDocument/2006/relationships/hyperlink" Id="rId54" Target="https://doi.org/10.1002/jmri.22003" TargetMode="External" /><Relationship Type="http://schemas.openxmlformats.org/officeDocument/2006/relationships/hyperlink" Id="rId44" Target="https://doi.org/10.1007/s11682-013-9255-y" TargetMode="External" /><Relationship Type="http://schemas.openxmlformats.org/officeDocument/2006/relationships/hyperlink" Id="rId58" Target="https://doi.org/10.1007/s12021-011-9109-y" TargetMode="External" /><Relationship Type="http://schemas.openxmlformats.org/officeDocument/2006/relationships/hyperlink" Id="rId48" Target="https://doi.org/10.1007/s12021-014-9245-2" TargetMode="External" /><Relationship Type="http://schemas.openxmlformats.org/officeDocument/2006/relationships/hyperlink" Id="rId64" Target="https://doi.org/10.1016/j.media.2012.09.004" TargetMode="External" /><Relationship Type="http://schemas.openxmlformats.org/officeDocument/2006/relationships/hyperlink" Id="rId42" Target="https://doi.org/10.1016/j.media.2014.04.006" TargetMode="External" /><Relationship Type="http://schemas.openxmlformats.org/officeDocument/2006/relationships/hyperlink" Id="rId63" Target="https://doi.org/10.1016/j.neuroimage.2003.10.012" TargetMode="External" /><Relationship Type="http://schemas.openxmlformats.org/officeDocument/2006/relationships/hyperlink" Id="rId57" Target="https://doi.org/10.1016/j.neuroimage.2006.01.015" TargetMode="External" /><Relationship Type="http://schemas.openxmlformats.org/officeDocument/2006/relationships/hyperlink" Id="rId62" Target="https://doi.org/10.1016/j.neuroimage.2010.09.025" TargetMode="External" /><Relationship Type="http://schemas.openxmlformats.org/officeDocument/2006/relationships/hyperlink" Id="rId59" Target="https://doi.org/10.1016/j.neuroimage.2010.11.047" TargetMode="External" /><Relationship Type="http://schemas.openxmlformats.org/officeDocument/2006/relationships/hyperlink" Id="rId46" Target="https://doi.org/10.1016/j.neuroimage.2011.03.080" TargetMode="External" /><Relationship Type="http://schemas.openxmlformats.org/officeDocument/2006/relationships/hyperlink" Id="rId43" Target="https://doi.org/10.1016/j.neuroimage.2013.06.033" TargetMode="External" /><Relationship Type="http://schemas.openxmlformats.org/officeDocument/2006/relationships/hyperlink" Id="rId55" Target="https://doi.org/10.1016/j.neuroimage.2014.05.044" TargetMode="External" /><Relationship Type="http://schemas.openxmlformats.org/officeDocument/2006/relationships/hyperlink" Id="rId56" Target="https://doi.org/10.1109/42.836373" TargetMode="External" /><Relationship Type="http://schemas.openxmlformats.org/officeDocument/2006/relationships/hyperlink" Id="rId50" Target="https://doi.org/10.1109/ICDAR.1995.598994" TargetMode="External" /><Relationship Type="http://schemas.openxmlformats.org/officeDocument/2006/relationships/hyperlink" Id="rId53" Target="https://doi.org/10.1109/TMI.2010.2046908" TargetMode="External" /><Relationship Type="http://schemas.openxmlformats.org/officeDocument/2006/relationships/hyperlink" Id="rId49" Target="https://doi.org/10.1109/TMI.2014.2377694" TargetMode="External" /><Relationship Type="http://schemas.openxmlformats.org/officeDocument/2006/relationships/hyperlink" Id="rId60" Target="https://doi.org/10.1109/TPAMI.2003.1177156" TargetMode="External" /><Relationship Type="http://schemas.openxmlformats.org/officeDocument/2006/relationships/hyperlink" Id="rId51" Target="https://doi.org/10.3174/ajnr.A1514" TargetMode="External" /><Relationship Type="http://schemas.openxmlformats.org/officeDocument/2006/relationships/hyperlink" Id="rId61" Target="https://doi.org/10.3389/fninf.2013.00039" TargetMode="External" /><Relationship Type="http://schemas.openxmlformats.org/officeDocument/2006/relationships/hyperlink" Id="rId52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://mlmi2015.web.unc.edu" TargetMode="External" /><Relationship Type="http://schemas.openxmlformats.org/officeDocument/2006/relationships/hyperlink" Id="rId45" Target="http://www.scipy.org/" TargetMode="External" /><Relationship Type="http://schemas.openxmlformats.org/officeDocument/2006/relationships/hyperlink" Id="rId47" Target="https://doi.org/10.1002/hbm.23110" TargetMode="External" /><Relationship Type="http://schemas.openxmlformats.org/officeDocument/2006/relationships/hyperlink" Id="rId54" Target="https://doi.org/10.1002/jmri.22003" TargetMode="External" /><Relationship Type="http://schemas.openxmlformats.org/officeDocument/2006/relationships/hyperlink" Id="rId44" Target="https://doi.org/10.1007/s11682-013-9255-y" TargetMode="External" /><Relationship Type="http://schemas.openxmlformats.org/officeDocument/2006/relationships/hyperlink" Id="rId58" Target="https://doi.org/10.1007/s12021-011-9109-y" TargetMode="External" /><Relationship Type="http://schemas.openxmlformats.org/officeDocument/2006/relationships/hyperlink" Id="rId48" Target="https://doi.org/10.1007/s12021-014-9245-2" TargetMode="External" /><Relationship Type="http://schemas.openxmlformats.org/officeDocument/2006/relationships/hyperlink" Id="rId64" Target="https://doi.org/10.1016/j.media.2012.09.004" TargetMode="External" /><Relationship Type="http://schemas.openxmlformats.org/officeDocument/2006/relationships/hyperlink" Id="rId42" Target="https://doi.org/10.1016/j.media.2014.04.006" TargetMode="External" /><Relationship Type="http://schemas.openxmlformats.org/officeDocument/2006/relationships/hyperlink" Id="rId63" Target="https://doi.org/10.1016/j.neuroimage.2003.10.012" TargetMode="External" /><Relationship Type="http://schemas.openxmlformats.org/officeDocument/2006/relationships/hyperlink" Id="rId57" Target="https://doi.org/10.1016/j.neuroimage.2006.01.015" TargetMode="External" /><Relationship Type="http://schemas.openxmlformats.org/officeDocument/2006/relationships/hyperlink" Id="rId62" Target="https://doi.org/10.1016/j.neuroimage.2010.09.025" TargetMode="External" /><Relationship Type="http://schemas.openxmlformats.org/officeDocument/2006/relationships/hyperlink" Id="rId59" Target="https://doi.org/10.1016/j.neuroimage.2010.11.047" TargetMode="External" /><Relationship Type="http://schemas.openxmlformats.org/officeDocument/2006/relationships/hyperlink" Id="rId46" Target="https://doi.org/10.1016/j.neuroimage.2011.03.080" TargetMode="External" /><Relationship Type="http://schemas.openxmlformats.org/officeDocument/2006/relationships/hyperlink" Id="rId43" Target="https://doi.org/10.1016/j.neuroimage.2013.06.033" TargetMode="External" /><Relationship Type="http://schemas.openxmlformats.org/officeDocument/2006/relationships/hyperlink" Id="rId55" Target="https://doi.org/10.1016/j.neuroimage.2014.05.044" TargetMode="External" /><Relationship Type="http://schemas.openxmlformats.org/officeDocument/2006/relationships/hyperlink" Id="rId56" Target="https://doi.org/10.1109/42.836373" TargetMode="External" /><Relationship Type="http://schemas.openxmlformats.org/officeDocument/2006/relationships/hyperlink" Id="rId50" Target="https://doi.org/10.1109/ICDAR.1995.598994" TargetMode="External" /><Relationship Type="http://schemas.openxmlformats.org/officeDocument/2006/relationships/hyperlink" Id="rId53" Target="https://doi.org/10.1109/TMI.2010.2046908" TargetMode="External" /><Relationship Type="http://schemas.openxmlformats.org/officeDocument/2006/relationships/hyperlink" Id="rId49" Target="https://doi.org/10.1109/TMI.2014.2377694" TargetMode="External" /><Relationship Type="http://schemas.openxmlformats.org/officeDocument/2006/relationships/hyperlink" Id="rId60" Target="https://doi.org/10.1109/TPAMI.2003.1177156" TargetMode="External" /><Relationship Type="http://schemas.openxmlformats.org/officeDocument/2006/relationships/hyperlink" Id="rId51" Target="https://doi.org/10.3174/ajnr.A1514" TargetMode="External" /><Relationship Type="http://schemas.openxmlformats.org/officeDocument/2006/relationships/hyperlink" Id="rId61" Target="https://doi.org/10.3389/fninf.2013.00039" TargetMode="External" /><Relationship Type="http://schemas.openxmlformats.org/officeDocument/2006/relationships/hyperlink" Id="rId52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