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32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Heading2"/>
      </w:pPr>
      <w:bookmarkStart w:id="22" w:name="white-matter-hyperintensities-in-tbi"/>
      <w:bookmarkEnd w:id="22"/>
      <w:r>
        <w:t xml:space="preserve">White matter hyperintensities in TBI</w:t>
      </w:r>
    </w:p>
    <w:p>
      <w:pPr>
        <w:pStyle w:val="Heading2"/>
      </w:pPr>
      <w:bookmarkStart w:id="23" w:name="random-forests-for-wmh-segmentation"/>
      <w:bookmarkEnd w:id="23"/>
      <w:r>
        <w:t xml:space="preserve">Random forests for WMH segmentation</w:t>
      </w:r>
    </w:p>
    <w:p>
      <w:pPr>
        <w:pStyle w:val="FirstParagraph"/>
      </w:pPr>
      <w:r>
        <w:t xml:space="preserve">Machine learning and pattern recognition techniques have seen increased application</w:t>
      </w:r>
      <w:r>
        <w:t xml:space="preserve"> </w:t>
      </w:r>
      <w:r>
        <w:t xml:space="preserve">for various medical image analysis workflows (see, for example, the annual</w:t>
      </w:r>
      <w:r>
        <w:t xml:space="preserve"> </w:t>
      </w:r>
      <w:r>
        <w:t xml:space="preserve">Workshop on Machine Learning in Medical Imaging held in conjunction with the Medical</w:t>
      </w:r>
      <w:r>
        <w:t xml:space="preserve"> </w:t>
      </w:r>
      <w:r>
        <w:t xml:space="preserve">Image Computing and Computer-Aided Intervention international meeting</w:t>
      </w:r>
      <w:r>
        <w:t xml:space="preserve"> </w:t>
      </w:r>
      <w:r>
        <w:t xml:space="preserve">[1]</w:t>
      </w:r>
      <w:r>
        <w:t xml:space="preserve">).</w:t>
      </w:r>
      <w:r>
        <w:t xml:space="preserve"> </w:t>
      </w:r>
      <w:r>
        <w:t xml:space="preserve">Popular techniques such as support vector machines and neural networks have been applied</w:t>
      </w:r>
      <w:r>
        <w:t xml:space="preserve"> </w:t>
      </w:r>
      <w:r>
        <w:t xml:space="preserve">successfully to clinically relevant imaging tasks such as supervised image segmentation</w:t>
      </w:r>
      <w:r>
        <w:t xml:space="preserve"> </w:t>
      </w:r>
      <w:r>
        <w:t xml:space="preserve">(e.g.,</w:t>
      </w:r>
      <w:r>
        <w:t xml:space="preserve"> </w:t>
      </w:r>
      <w:r>
        <w:t xml:space="preserve">[2]</w:t>
      </w:r>
      <w:r>
        <w:t xml:space="preserve">) and diagnostic prediction (e.g.,</w:t>
      </w:r>
      <w:r>
        <w:t xml:space="preserve"> </w:t>
      </w:r>
      <w:r>
        <w:t xml:space="preserve">[3, 4]</w:t>
      </w:r>
      <w:r>
        <w:t xml:space="preserve">).</w:t>
      </w:r>
      <w:r>
        <w:t xml:space="preserve"> </w:t>
      </w:r>
      <w:r>
        <w:t xml:space="preserve">Facilitating the current employment of such techniques are the number of available imaging</w:t>
      </w:r>
      <w:r>
        <w:t xml:space="preserve"> </w:t>
      </w:r>
      <w:r>
        <w:t xml:space="preserve">data sets</w:t>
      </w:r>
      <w:r>
        <w:t xml:space="preserve"> </w:t>
      </w:r>
      <w:r>
        <w:t xml:space="preserve">[5]</w:t>
      </w:r>
      <w:r>
        <w:t xml:space="preserve"> </w:t>
      </w:r>
      <w:r>
        <w:t xml:space="preserve">and the public availability of data science packages such as</w:t>
      </w:r>
      <w:r>
        <w:t xml:space="preserve"> </w:t>
      </w:r>
      <w:r>
        <w:t xml:space="preserve">SciPy</w:t>
      </w:r>
      <w:r>
        <w:t xml:space="preserve"> </w:t>
      </w:r>
      <w:r>
        <w:t xml:space="preserve">[6]</w:t>
      </w:r>
      <w:r>
        <w:t xml:space="preserve"> </w:t>
      </w:r>
      <w:r>
        <w:t xml:space="preserve">and the R project for statistical computing</w:t>
      </w:r>
      <w:r>
        <w:t xml:space="preserve"> </w:t>
      </w:r>
      <w:r>
        <w:t xml:space="preserve">[7]</w:t>
      </w:r>
      <w:r>
        <w:t xml:space="preserve"> </w:t>
      </w:r>
      <w:r>
        <w:t xml:space="preserve">and their associated add-on</w:t>
      </w:r>
      <w:r>
        <w:t xml:space="preserve"> </w:t>
      </w:r>
      <w:r>
        <w:t xml:space="preserve">toolkits.</w:t>
      </w:r>
    </w:p>
    <w:p>
      <w:pPr>
        <w:pStyle w:val="BodyText"/>
      </w:pPr>
      <w:r>
        <w:t xml:space="preserve">Random forests</w:t>
      </w:r>
      <w:r>
        <w:t xml:space="preserve"> </w:t>
      </w:r>
      <w:r>
        <w:t xml:space="preserve">[8]</w:t>
      </w:r>
      <w:r>
        <w:t xml:space="preserve"> </w:t>
      </w:r>
      <w:r>
        <w:t xml:space="preserve">is a popular machine learning technique that has</w:t>
      </w:r>
      <w:r>
        <w:t xml:space="preserve"> </w:t>
      </w:r>
      <w:r>
        <w:t xml:space="preserve">demonstrated significant utitility for supervised segmentation tasks (e.g.,</w:t>
      </w:r>
      <w:r>
        <w:t xml:space="preserve"> </w:t>
      </w:r>
      <w:r>
        <w:t xml:space="preserve">normal human brain segmentation) and other computer vision applications</w:t>
      </w:r>
      <w:r>
        <w:t xml:space="preserve"> </w:t>
      </w:r>
      <w:r>
        <w:t xml:space="preserve">(e.g., human gait detection</w:t>
      </w:r>
      <w:r>
        <w:t xml:space="preserve"> </w:t>
      </w:r>
      <w:r>
        <w:t xml:space="preserve">[9]</w:t>
      </w:r>
      <w:r>
        <w:t xml:space="preserve">).</w:t>
      </w:r>
      <w:r>
        <w:t xml:space="preserve"> </w:t>
      </w:r>
      <w:r>
        <w:t xml:space="preserve">In the context of neuropathology, random forest-based paradigms have been employed in the</w:t>
      </w:r>
      <w:r>
        <w:t xml:space="preserve"> </w:t>
      </w:r>
      <w:r>
        <w:t xml:space="preserve">delineation of multiple sclerosis lesions</w:t>
      </w:r>
      <w:r>
        <w:t xml:space="preserve"> </w:t>
      </w:r>
      <w:r>
        <w:t xml:space="preserve">[10]</w:t>
      </w:r>
      <w:r>
        <w:t xml:space="preserve">, stroke lesions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and brain tumors</w:t>
      </w:r>
      <w:r>
        <w:t xml:space="preserve"> </w:t>
      </w:r>
      <w:r>
        <w:t xml:space="preserve">[12–15]</w:t>
      </w:r>
      <w:r>
        <w:t xml:space="preserve">. Of note, these</w:t>
      </w:r>
      <w:r>
        <w:t xml:space="preserve"> </w:t>
      </w:r>
      <w:r>
        <w:t xml:space="preserve">latter random forest approaches for brain tumor segmentation have performed well in recent</w:t>
      </w:r>
      <w:r>
        <w:t xml:space="preserve"> </w:t>
      </w:r>
      <w:r>
        <w:t xml:space="preserve">international competitions. In response to the lack of objective comparisons between</w:t>
      </w:r>
      <w:r>
        <w:t xml:space="preserve"> </w:t>
      </w:r>
      <w:r>
        <w:t xml:space="preserve">segmentation algorithms, the Multimodal Brain Tumor Segmentation (BRATS) challenge was initiated in</w:t>
      </w:r>
      <w:r>
        <w:t xml:space="preserve"> </w:t>
      </w:r>
      <w:r>
        <w:t xml:space="preserve">2012</w:t>
      </w:r>
      <w:r>
        <w:t xml:space="preserve"> </w:t>
      </w:r>
      <w:r>
        <w:t xml:space="preserve">[16]</w:t>
      </w:r>
      <w:r>
        <w:t xml:space="preserve"> </w:t>
      </w:r>
      <w:r>
        <w:t xml:space="preserve">and has continued every year since under the auspices of the International Conference</w:t>
      </w:r>
      <w:r>
        <w:t xml:space="preserve"> </w:t>
      </w:r>
      <w:r>
        <w:t xml:space="preserve">of Medical Image Computing and Computer Assisted Interventions (MICCAI).</w:t>
      </w:r>
    </w:p>
    <w:p>
      <w:pPr>
        <w:pStyle w:val="BodyText"/>
      </w:pPr>
      <w:r>
        <w:t xml:space="preserve">Random forests are conceptually simple</w:t>
      </w:r>
      <w:r>
        <w:t xml:space="preserve"> </w:t>
      </w:r>
      <w:r>
        <w:t xml:space="preserve">[8]</w:t>
      </w:r>
      <w:r>
        <w:t xml:space="preserve">. They consist of ensembles of decision trees</w:t>
      </w:r>
      <w:r>
        <w:t xml:space="preserve"> </w:t>
      </w:r>
      <w:r>
        <w:t xml:space="preserve">that are built from training data. Once constructed, data to be classified is "pushed"</w:t>
      </w:r>
      <w:r>
        <w:t xml:space="preserve"> </w:t>
      </w:r>
      <w:r>
        <w:t xml:space="preserve">through each decision tree resulting in a single classification "vote" per tree. These</w:t>
      </w:r>
      <w:r>
        <w:t xml:space="preserve"> </w:t>
      </w:r>
      <w:r>
        <w:t xml:space="preserve">votes are then be used for regression or classification of the data. Although decision</w:t>
      </w:r>
      <w:r>
        <w:t xml:space="preserve"> </w:t>
      </w:r>
      <w:r>
        <w:t xml:space="preserve">trees had been extensively studied previously, the success of employing collections of</w:t>
      </w:r>
      <w:r>
        <w:t xml:space="preserve"> </w:t>
      </w:r>
      <w:r>
        <w:t xml:space="preserve">such weak learners for boosting machine learning performance</w:t>
      </w:r>
      <w:r>
        <w:t xml:space="preserve"> </w:t>
      </w:r>
      <w:r>
        <w:t xml:space="preserve">(e.g., AdaBoost</w:t>
      </w:r>
      <w:r>
        <w:t xml:space="preserve"> </w:t>
      </w:r>
      <w:r>
        <w:t xml:space="preserve">[17, 18]</w:t>
      </w:r>
      <w:r>
        <w:t xml:space="preserve">) influenced the similarly sytled conglomeration</w:t>
      </w:r>
      <w:r>
        <w:t xml:space="preserve"> </w:t>
      </w:r>
      <w:r>
        <w:t xml:space="preserve">of decision trees into "forests" with randomized node optimization</w:t>
      </w:r>
      <w:r>
        <w:t xml:space="preserve"> </w:t>
      </w:r>
      <w:r>
        <w:t xml:space="preserve">[19, 20]</w:t>
      </w:r>
      <w:r>
        <w:t xml:space="preserve">.</w:t>
      </w:r>
      <w:r>
        <w:t xml:space="preserve"> </w:t>
      </w:r>
      <w:r>
        <w:t xml:space="preserve">Finally, Breiman</w:t>
      </w:r>
      <w:r>
        <w:t xml:space="preserve"> </w:t>
      </w:r>
      <w:r>
        <w:t xml:space="preserve">[8]</w:t>
      </w:r>
      <w:r>
        <w:t xml:space="preserve"> </w:t>
      </w:r>
      <w:r>
        <w:t xml:space="preserve">improved accuracy by random sampling of the training</w:t>
      </w:r>
      <w:r>
        <w:t xml:space="preserve"> </w:t>
      </w:r>
      <w:r>
        <w:t xml:space="preserve">data (i.e., "bagging") resulting in the current random forest framework.</w:t>
      </w:r>
    </w:p>
    <w:p>
      <w:pPr>
        <w:pStyle w:val="BodyText"/>
      </w:pPr>
      <w:r>
        <w:t xml:space="preserve">In this work, we develop a concatenated random forest framework with a tailored feature image set</w:t>
      </w:r>
      <w:r>
        <w:t xml:space="preserve"> </w:t>
      </w:r>
      <w:r>
        <w:t xml:space="preserve">for segmenting white matter hyperintensities in traumatic brain injury cohorts. Additionally,</w:t>
      </w:r>
      <w:r>
        <w:t xml:space="preserve"> </w:t>
      </w:r>
      <w:r>
        <w:t xml:space="preserve">the entire framework is provided as open source through the well-known open-source</w:t>
      </w:r>
      <w:r>
        <w:t xml:space="preserve"> </w:t>
      </w:r>
      <w:r>
        <w:t xml:space="preserve">ANTs</w:t>
      </w:r>
      <w:r>
        <w:rPr>
          <w:rStyle w:val="FootnoteReference"/>
        </w:rPr>
        <w:footnoteReference w:id="24"/>
      </w:r>
      <w:r>
        <w:t xml:space="preserve"> </w:t>
      </w:r>
      <w:r>
        <w:t xml:space="preserve">and ANTsR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toolkits. Further motivating the investigation of this work is</w:t>
      </w:r>
      <w:r>
        <w:t xml:space="preserve"> </w:t>
      </w:r>
      <w:r>
        <w:t xml:space="preserve">the additional public availability of the TBI cohorts thus permitting full reproducibility</w:t>
      </w:r>
      <w:r>
        <w:t xml:space="preserve"> </w:t>
      </w:r>
      <w:r>
        <w:t xml:space="preserve">of the results reported and discussed.</w:t>
      </w:r>
    </w:p>
    <w:p>
      <w:pPr>
        <w:pStyle w:val="Heading1"/>
      </w:pPr>
      <w:bookmarkStart w:id="28" w:name="materials-and-methods"/>
      <w:bookmarkEnd w:id="28"/>
      <w:r>
        <w:t xml:space="preserve">Materials and Methods</w:t>
      </w:r>
    </w:p>
    <w:p>
      <w:pPr>
        <w:pStyle w:val="Heading2"/>
      </w:pPr>
      <w:bookmarkStart w:id="29" w:name="imaging"/>
      <w:bookmarkEnd w:id="29"/>
      <w:r>
        <w:t xml:space="preserve">Imaging</w:t>
      </w:r>
    </w:p>
    <w:p>
      <w:pPr>
        <w:pStyle w:val="Heading2"/>
      </w:pPr>
      <w:bookmarkStart w:id="30" w:name="quantitative-analysis"/>
      <w:bookmarkEnd w:id="30"/>
      <w:r>
        <w:t xml:space="preserve">Quantitative analysis</w:t>
      </w:r>
    </w:p>
    <w:p>
      <w:pPr>
        <w:pStyle w:val="FirstParagraph"/>
      </w:pPr>
      <w:r>
        <w:t xml:space="preserve">Crucial to these supervised segmentation approaches are the creation and selection of</w:t>
      </w:r>
      <w:r>
        <w:t xml:space="preserve"> </w:t>
      </w:r>
      <w:r>
        <w:t xml:space="preserve">"features" as input in conjunction with the ground-truth for model construction. For the</w:t>
      </w:r>
      <w:r>
        <w:t xml:space="preserve"> </w:t>
      </w:r>
      <w:r>
        <w:t xml:space="preserve">targeted application in this work (i.e., white matter hyperintensities),</w:t>
      </w:r>
      <w:r>
        <w:t xml:space="preserve"> </w:t>
      </w:r>
      <w:r>
        <w:t xml:space="preserve">regression/classification are performed at the voxelwise level. In other words, each voxel</w:t>
      </w:r>
      <w:r>
        <w:t xml:space="preserve"> </w:t>
      </w:r>
      <w:r>
        <w:t xml:space="preserve">within the region of interest is sent through the ensemble of decision trees and receives</w:t>
      </w:r>
      <w:r>
        <w:t xml:space="preserve"> </w:t>
      </w:r>
      <w:r>
        <w:t xml:space="preserve">a set of classification votes from each tree permitting a regression or classification</w:t>
      </w:r>
      <w:r>
        <w:t xml:space="preserve"> </w:t>
      </w:r>
      <w:r>
        <w:t xml:space="preserve">solution. Since this procedure is performed at the voxelwise level, intensity information</w:t>
      </w:r>
      <w:r>
        <w:t xml:space="preserve"> </w:t>
      </w:r>
      <w:r>
        <w:t xml:space="preserve">alone is insufficient for good segmentation performance since it lacks spatial context.</w:t>
      </w:r>
      <w:r>
        <w:t xml:space="preserve"> </w:t>
      </w:r>
      <w:r>
        <w:t xml:space="preserve">For example, as pointed out in</w:t>
      </w:r>
      <w:r>
        <w:t xml:space="preserve"> </w:t>
      </w:r>
      <w:r>
        <w:t xml:space="preserve">[21]</w:t>
      </w:r>
      <w:r>
        <w:t xml:space="preserve">, higher intensities can be found at the</w:t>
      </w:r>
      <w:r>
        <w:t xml:space="preserve"> </w:t>
      </w:r>
      <w:r>
        <w:t xml:space="preserve">periventricular caps in normal subjects which often confounds automated lesion detection</w:t>
      </w:r>
      <w:r>
        <w:t xml:space="preserve"> </w:t>
      </w:r>
      <w:r>
        <w:t xml:space="preserve">algorithms. Other potential confounds include MR signal inhomogeneity and noise. Therefore,</w:t>
      </w:r>
      <w:r>
        <w:t xml:space="preserve"> </w:t>
      </w:r>
      <w:r>
        <w:t xml:space="preserve">even though machine learning and pattern recognition techniques are extremely powerful and</w:t>
      </w:r>
      <w:r>
        <w:t xml:space="preserve"> </w:t>
      </w:r>
      <w:r>
        <w:t xml:space="preserve">have significant potential, just as crucial to outcome is the creative construction and</w:t>
      </w:r>
      <w:r>
        <w:t xml:space="preserve"> </w:t>
      </w:r>
      <w:r>
        <w:t xml:space="preserve">deployment of salient feature images which we detail below.</w:t>
      </w:r>
    </w:p>
    <w:p>
      <w:pPr>
        <w:pStyle w:val="Heading3"/>
      </w:pPr>
      <w:bookmarkStart w:id="31" w:name="feature-images-for-wmh-segmentation"/>
      <w:bookmarkEnd w:id="31"/>
      <w:r>
        <w:t xml:space="preserve">Feature images for WMH segmentation</w:t>
      </w:r>
    </w:p>
    <w:p>
      <w:pPr>
        <w:pStyle w:val="FirstParagraph"/>
      </w:pPr>
    </w:p>
    <w:p>
      <w:pPr>
        <w:pStyle w:val="BodyText"/>
      </w:pPr>
      <w:r>
        <w:t xml:space="preserve">Supervised methodologies are uniquely characterized, in part, by the feature images that</w:t>
      </w:r>
      <w:r>
        <w:t xml:space="preserve"> </w:t>
      </w:r>
      <w:r>
        <w:t xml:space="preserve">are used to identify the regions of interest. In Table 1, we provide a list and basic</w:t>
      </w:r>
      <w:r>
        <w:t xml:space="preserve"> </w:t>
      </w:r>
      <w:r>
        <w:t xml:space="preserve">categorization of the feature images used for the initial (i.e., Stage 1---more on the use</w:t>
      </w:r>
      <w:r>
        <w:t xml:space="preserve"> </w:t>
      </w:r>
      <w:r>
        <w:t xml:space="preserve">of multiple random forest stages below) segmentation of the white matter hyperintensities.</w:t>
      </w:r>
      <w:r>
        <w:t xml:space="preserve"> </w:t>
      </w:r>
      <w:r>
        <w:t xml:space="preserve">In addition Figure 1 provides a representation of a set of feature images for a single</w:t>
      </w:r>
      <w:r>
        <w:t xml:space="preserve"> </w:t>
      </w:r>
      <w:r>
        <w:t xml:space="preserve">subject analyzed in this work. Note that in this work we categorize the brain parenchyma</w:t>
      </w:r>
      <w:r>
        <w:t xml:space="preserve"> </w:t>
      </w:r>
      <w:r>
        <w:t xml:space="preserve">with seven labels:</w:t>
      </w:r>
      <w:r>
        <w:t xml:space="preserve"> </w:t>
      </w:r>
      <w:r>
        <w:t xml:space="preserve">* cerebrospinal fluid (label 1),</w:t>
      </w:r>
      <w:r>
        <w:t xml:space="preserve"> </w:t>
      </w:r>
      <w:r>
        <w:t xml:space="preserve">* gray matter (label 2),</w:t>
      </w:r>
      <w:r>
        <w:t xml:space="preserve"> </w:t>
      </w:r>
      <w:r>
        <w:t xml:space="preserve">* white matter (label 3),</w:t>
      </w:r>
      <w:r>
        <w:t xml:space="preserve"> </w:t>
      </w:r>
      <w:r>
        <w:t xml:space="preserve">* deep gray matter (label 4),</w:t>
      </w:r>
      <w:r>
        <w:t xml:space="preserve"> </w:t>
      </w:r>
      <w:r>
        <w:t xml:space="preserve">* brain stem (label 5),</w:t>
      </w:r>
      <w:r>
        <w:t xml:space="preserve"> </w:t>
      </w:r>
      <w:r>
        <w:t xml:space="preserve">* cerebellum (label 6), and</w:t>
      </w:r>
      <w:r>
        <w:t xml:space="preserve"> </w:t>
      </w:r>
      <w:r>
        <w:t xml:space="preserve">* white matter hyperintensities (label 7).</w:t>
      </w:r>
    </w:p>
    <w:p>
      <w:pPr>
        <w:pStyle w:val="FigureWithCaption"/>
      </w:pPr>
      <w:r>
        <w:drawing>
          <wp:inline>
            <wp:extent cx="5334000" cy="22669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eatureIma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Representation of Stage 1 feature images for subject 01C1019. The</w:t>
      </w:r>
      <w:r>
        <w:t xml:space="preserve"> </w:t>
      </w:r>
      <w:r>
        <w:t xml:space="preserve">FLAIR, T1-, and T2-weighted images are rigidly pre-aligned</w:t>
      </w:r>
      <w:r>
        <w:t xml:space="preserve"> </w:t>
      </w:r>
      <w:r>
        <w:t xml:space="preserve">[22]</w:t>
      </w:r>
      <w:r>
        <w:t xml:space="preserve"> </w:t>
      </w:r>
      <w:r>
        <w:t xml:space="preserve">to the space of the T1 image. The three images are then preprocessed</w:t>
      </w:r>
      <w:r>
        <w:t xml:space="preserve"> </w:t>
      </w:r>
      <w:r>
        <w:t xml:space="preserve">(N4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and adaptive denoising</w:t>
      </w:r>
      <w:r>
        <w:t xml:space="preserve"> </w:t>
      </w:r>
      <w:r>
        <w:t xml:space="preserve">[24]</w:t>
      </w:r>
      <w:r>
        <w:t xml:space="preserve">) followed by</w:t>
      </w:r>
      <w:r>
        <w:t xml:space="preserve"> </w:t>
      </w:r>
      <w:r>
        <w:t xml:space="preserve">application of standard ANTs brain extraction and</w:t>
      </w:r>
      <w:r>
        <w:t xml:space="preserve"> </w:t>
      </w:r>
      <m:oMath>
        <m:r>
          <m:rPr/>
          <m:t>n</m:t>
        </m:r>
      </m:oMath>
      <w:r>
        <w:t xml:space="preserve">-tissue segmentation protocols using</w:t>
      </w:r>
      <w:r>
        <w:t xml:space="preserve"> </w:t>
      </w:r>
      <w:r>
        <w:t xml:space="preserve">the MMRR symmetric template corresponding and priors</w:t>
      </w:r>
      <w:r>
        <w:t xml:space="preserve"> </w:t>
      </w:r>
      <w:r>
        <w:t xml:space="preserve">[25]</w:t>
      </w:r>
      <w:r>
        <w:t xml:space="preserve"> </w:t>
      </w:r>
      <w:r>
        <w:t xml:space="preserve">to the T1 image.</w:t>
      </w:r>
      <w:r>
        <w:t xml:space="preserve"> </w:t>
      </w:r>
      <w:r>
        <w:t xml:space="preserve">The feature images are then generated for voxelwise input to the RF model which results in</w:t>
      </w:r>
      <w:r>
        <w:t xml:space="preserve"> </w:t>
      </w:r>
      <w:r>
        <w:t xml:space="preserve">the voting maps illustrated on the right which gives a probabilistic classification of</w:t>
      </w:r>
      <w:r>
        <w:t xml:space="preserve"> </w:t>
      </w:r>
      <w:r>
        <w:t xml:space="preserve">tissue type. Not shown are the probability and voting images for the brain stem and</w:t>
      </w:r>
      <w:r>
        <w:t xml:space="preserve"> </w:t>
      </w:r>
      <w:r>
        <w:t xml:space="preserve">cerebellum.</w:t>
      </w:r>
    </w:p>
    <w:p>
      <w:pPr>
        <w:pStyle w:val="BodyText"/>
      </w:pPr>
      <w:r>
        <w:t xml:space="preserve">As mentioned previously, input for each subject comprises FLAIR, T1-, and T2-weighted</w:t>
      </w:r>
      <w:r>
        <w:t xml:space="preserve"> </w:t>
      </w:r>
      <w:r>
        <w:t xml:space="preserve">acquisitions. The FLAIR and T2 images are rigidly registered to the T1 image using</w:t>
      </w:r>
      <w:r>
        <w:t xml:space="preserve"> </w:t>
      </w:r>
      <w:r>
        <w:t xml:space="preserve">the open-source Advanced Normalization Tools (ANTs)</w:t>
      </w:r>
      <w:r>
        <w:t xml:space="preserve"> </w:t>
      </w:r>
      <w:r>
        <w:t xml:space="preserve">[22]</w:t>
      </w:r>
      <w:r>
        <w:t xml:space="preserve">. The aligned images</w:t>
      </w:r>
      <w:r>
        <w:t xml:space="preserve"> </w:t>
      </w:r>
      <w:r>
        <w:t xml:space="preserve">are then preprocessed using the denoising algorithm of</w:t>
      </w:r>
      <w:r>
        <w:t xml:space="preserve"> </w:t>
      </w:r>
      <w:r>
        <w:t xml:space="preserve">[24]</w:t>
      </w:r>
      <w:r>
        <w:t xml:space="preserve"> </w:t>
      </w:r>
      <w:r>
        <w:t xml:space="preserve">followed by</w:t>
      </w:r>
      <w:r>
        <w:t xml:space="preserve"> </w:t>
      </w:r>
      <w:r>
        <w:t xml:space="preserve">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which are then normalized to the intensity</w:t>
      </w:r>
      <w:r>
        <w:t xml:space="preserve"> </w:t>
      </w:r>
      <w:r>
        <w:t xml:space="preserve">range</w:t>
      </w:r>
      <w:r>
        <w:t xml:space="preserve"> </w:t>
      </w:r>
      <m:oMath>
        <m:r>
          <m:rPr/>
          <m:t>[</m:t>
        </m:r>
        <m:r>
          <m:rPr/>
          <m:t>0</m:t>
        </m:r>
        <m:r>
          <m:rPr/>
          <m:t>,</m:t>
        </m:r>
        <m:r>
          <m:rPr/>
          <m:t>1</m:t>
        </m:r>
        <m:r>
          <m:rPr/>
          <m:t>]</m:t>
        </m:r>
      </m:oMath>
      <w:r>
        <w:t xml:space="preserve">. Although we could have used the intensity standardization algorithm of</w:t>
      </w:r>
      <w:r>
        <w:t xml:space="preserve"> </w:t>
      </w:r>
      <w:r>
        <w:t xml:space="preserve">[26]</w:t>
      </w:r>
      <w:r>
        <w:t xml:space="preserve">, we found that a simple linear rescaling produced better results.</w:t>
      </w:r>
    </w:p>
    <w:p>
      <w:pPr>
        <w:pStyle w:val="BodyText"/>
      </w:pPr>
      <w:r>
        <w:t xml:space="preserve">The T1 image is then processed via the ANTs brain</w:t>
      </w:r>
      <w:r>
        <w:t xml:space="preserve"> </w:t>
      </w:r>
      <w:r>
        <w:t xml:space="preserve">extraction and tissue segmentation protocols described in</w:t>
      </w:r>
      <w:r>
        <w:t xml:space="preserve"> </w:t>
      </w:r>
      <w:r>
        <w:t xml:space="preserve">[25]</w:t>
      </w:r>
      <w:r>
        <w:t xml:space="preserve"> </w:t>
      </w:r>
      <w:r>
        <w:t xml:space="preserve">in order to</w:t>
      </w:r>
      <w:r>
        <w:t xml:space="preserve"> </w:t>
      </w:r>
      <w:r>
        <w:t xml:space="preserve">produce a mask for the brain parenchyma and provide probabilistic estimates of the</w:t>
      </w:r>
      <w:r>
        <w:t xml:space="preserve"> </w:t>
      </w:r>
      <w:r>
        <w:t xml:space="preserve">cerebrospinal fluid (csf), gray matter, white matter, deep gray matter, brain stem, and</w:t>
      </w:r>
      <w:r>
        <w:t xml:space="preserve"> </w:t>
      </w:r>
      <w:r>
        <w:t xml:space="preserve">cerebellum. These provide the ground-truth labels for the first six tissue labels</w:t>
      </w:r>
      <w:r>
        <w:t xml:space="preserve"> </w:t>
      </w:r>
      <w:r>
        <w:t xml:space="preserve">given above. The white matter hyperintensities were manually identified by one of the authors</w:t>
      </w:r>
      <w:r>
        <w:t xml:space="preserve"> </w:t>
      </w:r>
      <w:r>
        <w:t xml:space="preserve">(J. R. S.) using the ITK-SNAP tool</w:t>
      </w:r>
      <w:r>
        <w:t xml:space="preserve"> </w:t>
      </w:r>
      <w:r>
        <w:t xml:space="preserve">[27]</w:t>
      </w:r>
      <w:r>
        <w:t xml:space="preserve">. Segmentation is performed using</w:t>
      </w:r>
      <w:r>
        <w:t xml:space="preserve"> </w:t>
      </w:r>
      <w:r>
        <w:t xml:space="preserve">the ANTs Atropos tool</w:t>
      </w:r>
      <w:r>
        <w:t xml:space="preserve"> </w:t>
      </w:r>
      <w:r>
        <w:t xml:space="preserve">[28]</w:t>
      </w:r>
      <w:r>
        <w:t xml:space="preserve"> </w:t>
      </w:r>
      <w:r>
        <w:t xml:space="preserve">and</w:t>
      </w:r>
      <w:r>
        <w:t xml:space="preserve"> </w:t>
      </w:r>
      <w:r>
        <w:t xml:space="preserve">multi-model optimal symmetric shape/intensity templates</w:t>
      </w:r>
      <w:r>
        <w:t xml:space="preserve"> </w:t>
      </w:r>
      <w:r>
        <w:t xml:space="preserve">[15]</w:t>
      </w:r>
      <w:r>
        <w:t xml:space="preserve"> </w:t>
      </w:r>
      <w:r>
        <w:t xml:space="preserve">created from the public</w:t>
      </w:r>
      <w:r>
        <w:t xml:space="preserve"> </w:t>
      </w:r>
      <w:r>
        <w:t xml:space="preserve">MMRR data set</w:t>
      </w:r>
      <w:r>
        <w:t xml:space="preserve"> </w:t>
      </w:r>
      <w:r>
        <w:t xml:space="preserve">[29]</w:t>
      </w:r>
      <w:r>
        <w:t xml:space="preserve">.</w:t>
      </w:r>
    </w:p>
    <w:p>
      <w:pPr>
        <w:pStyle w:val="BodyText"/>
      </w:pPr>
      <w:r>
        <w:t xml:space="preserve">To model the intensity information the first set of images simply includes the</w:t>
      </w:r>
      <w:r>
        <w:t xml:space="preserve"> </w:t>
      </w:r>
      <w:r>
        <w:t xml:space="preserve">preprocessed and normalized intensity FLAIR, T1, and T2 images. We also calculate a set</w:t>
      </w:r>
      <w:r>
        <w:t xml:space="preserve"> </w:t>
      </w:r>
      <w:r>
        <w:t xml:space="preserve">of neighborhood statistics (mean, standard deviation, and skewness) feature images using</w:t>
      </w:r>
      <w:r>
        <w:t xml:space="preserve"> </w:t>
      </w:r>
      <w:r>
        <w:t xml:space="preserve">a radius of one voxel. For each of the normalized</w:t>
      </w:r>
      <w:r>
        <w:t xml:space="preserve"> </w:t>
      </w:r>
      <w:r>
        <w:t xml:space="preserve">images, we calculate the difference in intensities with the corresponding warped template</w:t>
      </w:r>
      <w:r>
        <w:t xml:space="preserve"> </w:t>
      </w:r>
      <w:r>
        <w:t xml:space="preserve">component. Previous success in the international brain tumor segmentation</w:t>
      </w:r>
      <w:r>
        <w:t xml:space="preserve"> </w:t>
      </w:r>
      <w:r>
        <w:t xml:space="preserve">competition</w:t>
      </w:r>
      <w:r>
        <w:t xml:space="preserve"> </w:t>
      </w:r>
      <w:r>
        <w:t xml:space="preserve">[16]</w:t>
      </w:r>
      <w:r>
        <w:t xml:space="preserve"> </w:t>
      </w:r>
      <w:r>
        <w:t xml:space="preserve">was based on an important set of intensity features that were created</w:t>
      </w:r>
      <w:r>
        <w:t xml:space="preserve"> </w:t>
      </w:r>
      <w:r>
        <w:t xml:space="preserve">from multi-modal templates mentioned previously</w:t>
      </w:r>
      <w:r>
        <w:t xml:space="preserve"> </w:t>
      </w:r>
      <w:r>
        <w:t xml:space="preserve">[15]</w:t>
      </w:r>
      <w:r>
        <w:t xml:space="preserve">. We employ the</w:t>
      </w:r>
      <w:r>
        <w:t xml:space="preserve"> </w:t>
      </w:r>
      <w:r>
        <w:t xml:space="preserve">same strategy here. For example, the template</w:t>
      </w:r>
      <w:r>
        <w:t xml:space="preserve"> </w:t>
      </w:r>
      <w:r>
        <w:t xml:space="preserve">difference feature image for the FLAIR image,</w:t>
      </w:r>
      <w:r>
        <w:t xml:space="preserve"> </w:t>
      </w:r>
      <m:oMath>
        <m:sSub>
          <m:e>
            <m:r>
              <m:rPr/>
              <m:t>S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T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w:r>
        <w:t xml:space="preserve">$\phi_b: S \leftrightarrow \underset{b}{\leftrightsquigarrow} T$</w:t>
      </w:r>
      <w:r>
        <w:t xml:space="preserve"> </w:t>
      </w:r>
      <w:r>
        <w:t xml:space="preserve">is the transform</w:t>
      </w:r>
      <w:r>
        <w:t xml:space="preserve"> </w:t>
      </w:r>
      <w:r>
        <w:t xml:space="preserve">which maps from the individual subject space to the</w:t>
      </w:r>
      <w:r>
        <w:t xml:space="preserve"> </w:t>
      </w:r>
      <w:r>
        <w:t xml:space="preserve">template space and</w:t>
      </w:r>
      <w:r>
        <w:t xml:space="preserve"> </w:t>
      </w:r>
      <m:oMath>
        <m:sSub>
          <m:e>
            <m:r>
              <m:rPr/>
              <m:t>T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the FLAIR template component. Also,</w:t>
      </w:r>
      <w:r>
        <w:t xml:space="preserve"> </w:t>
      </w:r>
      <w:r>
        <w:t xml:space="preserve">to take advantage of the bilateral symmetry of the normal brain (in terms of both shape</w:t>
      </w:r>
      <w:r>
        <w:t xml:space="preserve"> </w:t>
      </w:r>
      <w:r>
        <w:t xml:space="preserve">and intensity), and the fact that the presence of WMH violates that assumption,</w:t>
      </w:r>
      <w:r>
        <w:t xml:space="preserve"> </w:t>
      </w:r>
      <w:r>
        <w:t xml:space="preserve">we use the symmetric templates to compute the contralateral intensity</w:t>
      </w:r>
      <w:r>
        <w:t xml:space="preserve"> </w:t>
      </w:r>
      <w:r>
        <w:t xml:space="preserve">differences as an additional intensity feature. For the FLAIR component, this contralateral</w:t>
      </w:r>
      <w:r>
        <w:t xml:space="preserve"> </w:t>
      </w:r>
      <w:r>
        <w:t xml:space="preserve">difference image is calculated from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rPr/>
                        <m:t>ϕ</m:t>
                      </m:r>
                    </m:e>
                    <m:sub>
                      <m:r>
                        <m:rPr/>
                        <m:t>R</m:t>
                      </m:r>
                    </m:sub>
                  </m:sSub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rPr/>
                            <m:t>ϕ</m:t>
                          </m:r>
                        </m:e>
                        <m:sub>
                          <m:r>
                            <m:rPr/>
                            <m:t>b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m:oMath>
        <m:sSub>
          <m:e>
            <m:r>
              <m:rPr/>
              <m:t>ϕ</m:t>
            </m:r>
          </m:e>
          <m:sub>
            <m:r>
              <m:rPr/>
              <m:t>R</m:t>
            </m:r>
          </m:sub>
        </m:sSub>
      </m:oMath>
      <w:r>
        <w:t xml:space="preserve"> </w:t>
      </w:r>
      <w:r>
        <w:t xml:space="preserve">denotes a horizontal reflection perpendicular to the mid-sagittal plane of</w:t>
      </w:r>
      <w:r>
        <w:t xml:space="preserve"> </w:t>
      </w:r>
      <w:r>
        <w:t xml:space="preserve">the symmetric template.</w:t>
      </w:r>
    </w:p>
    <w:p>
      <w:pPr>
        <w:pStyle w:val="BodyText"/>
      </w:pPr>
      <w:r>
        <w:t xml:space="preserve">The segmentation probability images described above are used as feature images to provide a</w:t>
      </w:r>
      <w:r>
        <w:t xml:space="preserve"> </w:t>
      </w:r>
      <w:r>
        <w:t xml:space="preserve">spatial context for the random forest model prediction step. Additional spatial contextual</w:t>
      </w:r>
      <w:r>
        <w:t xml:space="preserve"> </w:t>
      </w:r>
      <w:r>
        <w:t xml:space="preserve">feature images include the distance maps</w:t>
      </w:r>
      <w:r>
        <w:t xml:space="preserve"> </w:t>
      </w:r>
      <w:r>
        <w:t xml:space="preserve">[30]</w:t>
      </w:r>
      <w:r>
        <w:t xml:space="preserve"> </w:t>
      </w:r>
      <w:r>
        <w:t xml:space="preserve">based on the csf, gray matter, and</w:t>
      </w:r>
      <w:r>
        <w:t xml:space="preserve"> </w:t>
      </w:r>
      <w:r>
        <w:t xml:space="preserve">deep gray matter images. These latter images are intended to help distinguish white matter</w:t>
      </w:r>
      <w:r>
        <w:t xml:space="preserve"> </w:t>
      </w:r>
      <w:r>
        <w:t xml:space="preserve">hyperintensities from false positives induced by the partial voluming at the gray/white</w:t>
      </w:r>
      <w:r>
        <w:t xml:space="preserve"> </w:t>
      </w:r>
      <w:r>
        <w:t xml:space="preserve">matter interface. A third set of images are based on the voxel location within the</w:t>
      </w:r>
      <w:r>
        <w:t xml:space="preserve"> </w:t>
      </w:r>
      <w:r>
        <w:t xml:space="preserve">space of the template. The T1 image of the subject is registered to the T1 template</w:t>
      </w:r>
      <w:r>
        <w:t xml:space="preserve"> </w:t>
      </w:r>
      <w:r>
        <w:t xml:space="preserve">component using a B-spline variant</w:t>
      </w:r>
      <w:r>
        <w:t xml:space="preserve"> </w:t>
      </w:r>
      <w:r>
        <w:t xml:space="preserve">[31]</w:t>
      </w:r>
      <w:r>
        <w:t xml:space="preserve"> </w:t>
      </w:r>
      <w:r>
        <w:t xml:space="preserve">of the well-known ANTs Symmetric</w:t>
      </w:r>
      <w:r>
        <w:t xml:space="preserve"> </w:t>
      </w:r>
      <w:r>
        <w:t xml:space="preserve">Normalization (SyN) algorithm</w:t>
      </w:r>
      <w:r>
        <w:t xml:space="preserve"> </w:t>
      </w:r>
      <w:r>
        <w:t xml:space="preserve">[32]</w:t>
      </w:r>
      <w:r>
        <w:t xml:space="preserve">. Since the inverse transform is also</w:t>
      </w:r>
      <w:r>
        <w:t xml:space="preserve"> </w:t>
      </w:r>
      <w:r>
        <w:t xml:space="preserve">derived as part of the registration process, we can warp the voxel index locations</w:t>
      </w:r>
      <w:r>
        <w:t xml:space="preserve"> </w:t>
      </w:r>
      <w:r>
        <w:t xml:space="preserve">back to the space of the individual subject. Note that this is similar in motivation to the work</w:t>
      </w:r>
      <w:r>
        <w:t xml:space="preserve"> </w:t>
      </w:r>
      <w:r>
        <w:t xml:space="preserve">of</w:t>
      </w:r>
      <w:r>
        <w:t xml:space="preserve"> </w:t>
      </w:r>
      <w:r>
        <w:t xml:space="preserve">[33]</w:t>
      </w:r>
      <w:r>
        <w:t xml:space="preserve">. However, this previous work lacks the normalization to the standard</w:t>
      </w:r>
      <w:r>
        <w:t xml:space="preserve"> </w:t>
      </w:r>
      <w:r>
        <w:t xml:space="preserve">coordinate system provided by the template to dramatically improve spatial specificity</w:t>
      </w:r>
      <w:r>
        <w:t xml:space="preserve"> </w:t>
      </w:r>
      <w:r>
        <w:t xml:space="preserve">across all subjects.</w:t>
      </w:r>
    </w:p>
    <w:p>
      <w:pPr>
        <w:pStyle w:val="Heading3"/>
      </w:pPr>
      <w:bookmarkStart w:id="33" w:name="stacked-concatenated-random-forests-for-improved-segmentation-performance"/>
      <w:bookmarkEnd w:id="33"/>
      <w:r>
        <w:t xml:space="preserve">Stacked (concatenated) random forests for improved segmentation performance</w:t>
      </w:r>
    </w:p>
    <w:p>
      <w:pPr>
        <w:pStyle w:val="FirstParagraph"/>
      </w:pPr>
      <w:r>
        <w:t xml:space="preserve">In previous brain tumor segmentation work</w:t>
      </w:r>
      <w:r>
        <w:t xml:space="preserve"> </w:t>
      </w:r>
      <w:r>
        <w:t xml:space="preserve">[15]</w:t>
      </w:r>
      <w:r>
        <w:t xml:space="preserve">, it was demonstrated that a</w:t>
      </w:r>
      <w:r>
        <w:t xml:space="preserve"> </w:t>
      </w:r>
      <w:r>
        <w:t xml:space="preserve">concatenated supervised approach, whereby the prediction output from the first random forest</w:t>
      </w:r>
      <w:r>
        <w:t xml:space="preserve"> </w:t>
      </w:r>
      <w:r>
        <w:t xml:space="preserve">model serves as partial input for a second random forest model, can significantly improve</w:t>
      </w:r>
      <w:r>
        <w:t xml:space="preserve"> </w:t>
      </w:r>
      <w:r>
        <w:t xml:space="preserve">segmentation performance. We do the same thing for the work described here. The Stage 1</w:t>
      </w:r>
      <w:r>
        <w:t xml:space="preserve"> </w:t>
      </w:r>
      <w:r>
        <w:t xml:space="preserve">feature images of the training data (as described previously) are used to construct the</w:t>
      </w:r>
      <w:r>
        <w:t xml:space="preserve"> </w:t>
      </w:r>
      <w:r>
        <w:t xml:space="preserve">Stage 1 model. The training data Stage 1 features are then used to produce the voxelwise</w:t>
      </w:r>
      <w:r>
        <w:t xml:space="preserve"> </w:t>
      </w:r>
      <w:r>
        <w:t xml:space="preserve">voting maps via the Stage 1 model. All the Stage 1 features plus the Stage 1 voting maps</w:t>
      </w:r>
      <w:r>
        <w:t xml:space="preserve"> </w:t>
      </w:r>
      <w:r>
        <w:t xml:space="preserve">are used as input to the Stage 2 model. In addition, we use the Stage 1 voting maps as</w:t>
      </w:r>
      <w:r>
        <w:t xml:space="preserve"> </w:t>
      </w:r>
      <w:r>
        <w:t xml:space="preserve">tissue priors for a second application of the Atropos maximum aposteriori algorithm with an</w:t>
      </w:r>
      <w:r>
        <w:t xml:space="preserve"> </w:t>
      </w:r>
      <w:r>
        <w:t xml:space="preserve">additional Markov Random Field spatial prior (MAP-MRF)</w:t>
      </w:r>
      <w:r>
        <w:t xml:space="preserve"> </w:t>
      </w:r>
      <w:r>
        <w:t xml:space="preserve">[28]</w:t>
      </w:r>
      <w:r>
        <w:t xml:space="preserve">. However, for</w:t>
      </w:r>
      <w:r>
        <w:t xml:space="preserve"> </w:t>
      </w:r>
      <w:r>
        <w:t xml:space="preserve">the second stage we use all three aligned preprocessed images for a multivariate</w:t>
      </w:r>
      <w:r>
        <w:t xml:space="preserve"> </w:t>
      </w:r>
      <w:r>
        <w:t xml:space="preserve">analysis. The resulting seven posterior probability images constitute a third additional</w:t>
      </w:r>
      <w:r>
        <w:t xml:space="preserve"> </w:t>
      </w:r>
      <w:r>
        <w:t xml:space="preserve">feature image set for Stage 2.</w:t>
      </w:r>
    </w:p>
    <w:p>
      <w:pPr>
        <w:pStyle w:val="Heading3"/>
      </w:pPr>
      <w:bookmarkStart w:id="34" w:name="code-and-data-availability"/>
      <w:bookmarkEnd w:id="34"/>
      <w:r>
        <w:t xml:space="preserve">Code and data availability</w:t>
      </w:r>
    </w:p>
    <w:p>
      <w:pPr>
        <w:pStyle w:val="FirstParagraph"/>
      </w:pPr>
      <w:r>
        <w:t xml:space="preserve">As pointed out in a recent comprehensive multiple sclerosis lesion segmentation review</w:t>
      </w:r>
      <w:r>
        <w:t xml:space="preserve"> </w:t>
      </w:r>
      <w:r>
        <w:t xml:space="preserve">[34]</w:t>
      </w:r>
      <w:r>
        <w:t xml:space="preserve">, although the number of algorithms reported in the literature</w:t>
      </w:r>
      <w:r>
        <w:t xml:space="preserve"> </w:t>
      </w:r>
      <w:r>
        <w:t xml:space="preserve">is quite extensive, there were only four publicly available segmentation algorithms</w:t>
      </w:r>
      <w:r>
        <w:t xml:space="preserve"> </w:t>
      </w:r>
      <w:r>
        <w:t xml:space="preserve">at the time of writing of which none are based on supervised learning. As we did for</w:t>
      </w:r>
      <w:r>
        <w:t xml:space="preserve"> </w:t>
      </w:r>
      <w:r>
        <w:t xml:space="preserve">our brain tumor segmentation algorithm</w:t>
      </w:r>
      <w:r>
        <w:t xml:space="preserve"> </w:t>
      </w:r>
      <w:r>
        <w:t xml:space="preserve">[15]</w:t>
      </w:r>
      <w:r>
        <w:t xml:space="preserve">, all of the code described in</w:t>
      </w:r>
      <w:r>
        <w:t xml:space="preserve"> </w:t>
      </w:r>
      <w:r>
        <w:t xml:space="preserve">this work is publicly available through the open-source ANTs/ANTsR toolkits. Through</w:t>
      </w:r>
      <w:r>
        <w:t xml:space="preserve"> </w:t>
      </w:r>
      <w:r>
        <w:t xml:space="preserve">ANTsR (an add-on toolkit which, in part, bridges ANTs and the R statistical project) we</w:t>
      </w:r>
      <w:r>
        <w:t xml:space="preserve"> </w:t>
      </w:r>
      <w:r>
        <w:t xml:space="preserve">use the</w:t>
      </w:r>
      <w:r>
        <w:t xml:space="preserve"> </w:t>
      </w:r>
      <w:r>
        <w:t xml:space="preserve"> </w:t>
      </w:r>
      <w:r>
        <w:t xml:space="preserve">package</w:t>
      </w:r>
      <w:r>
        <w:t xml:space="preserve"> </w:t>
      </w:r>
      <w:r>
        <w:t xml:space="preserve">[35]</w:t>
      </w:r>
      <w:r>
        <w:t xml:space="preserve"> </w:t>
      </w:r>
      <w:r>
        <w:t xml:space="preserve">using the default settings with</w:t>
      </w:r>
      <w:r>
        <w:t xml:space="preserve"> </w:t>
      </w:r>
      <w:r>
        <w:t xml:space="preserve">2000 trees per model and 500 randomly selected samples per label per image.</w:t>
      </w:r>
    </w:p>
    <w:p>
      <w:pPr>
        <w:pStyle w:val="BodyText"/>
      </w:pPr>
      <w:r>
        <w:t xml:space="preserve">In addition, similar to our previous offering,</w:t>
      </w:r>
      <w:r>
        <w:rPr>
          <w:rStyle w:val="FootnoteReference"/>
        </w:rPr>
        <w:footnoteReference w:id="35"/>
      </w:r>
      <w:r>
        <w:t xml:space="preserve"> we plan on creating</w:t>
      </w:r>
      <w:r>
        <w:t xml:space="preserve"> </w:t>
      </w:r>
      <w:r>
        <w:t xml:space="preserve">a self-encapsulated example to showcase the proposed methodology. The fact that this</w:t>
      </w:r>
      <w:r>
        <w:t xml:space="preserve"> </w:t>
      </w:r>
      <w:r>
        <w:t xml:space="preserve">the data will also be made available</w:t>
      </w:r>
      <w:r>
        <w:t xml:space="preserve"> </w:t>
      </w:r>
      <w:r>
        <w:t xml:space="preserve"> </w:t>
      </w:r>
      <w:r>
        <w:t xml:space="preserve">along</w:t>
      </w:r>
      <w:r>
        <w:t xml:space="preserve"> </w:t>
      </w:r>
      <w:r>
        <w:t xml:space="preserve">with the ground truth data.</w:t>
      </w:r>
    </w:p>
    <w:p>
      <w:pPr>
        <w:pStyle w:val="Heading3"/>
      </w:pPr>
      <w:bookmarkStart w:id="37" w:name="evaluation-protocol-overview"/>
      <w:bookmarkEnd w:id="37"/>
      <w:r>
        <w:t xml:space="preserve">Evaluation protocol overview</w:t>
      </w:r>
    </w:p>
    <w:p>
      <w:pPr>
        <w:pStyle w:val="FirstParagraph"/>
      </w:pPr>
      <w:r>
        <w:t xml:space="preserve">In order to evaluate the protocol described, we perform a leave-one-out evaluation using</w:t>
      </w:r>
      <w:r>
        <w:t xml:space="preserve"> </w:t>
      </w:r>
      <w:r>
        <w:t xml:space="preserve">the data acquired from the 24 subjects described above. The Stage 1 feature images</w:t>
      </w:r>
      <w:r>
        <w:t xml:space="preserve"> </w:t>
      </w:r>
      <w:r>
        <w:t xml:space="preserve">were created for all subjects. The initial brain segmentation of each T1 image and the</w:t>
      </w:r>
      <w:r>
        <w:t xml:space="preserve"> </w:t>
      </w:r>
      <w:r>
        <w:t xml:space="preserve">manual white matter hyperintensity tracings were combined to provide the truth labels</w:t>
      </w:r>
      <w:r>
        <w:t xml:space="preserve"> </w:t>
      </w:r>
      <w:r>
        <w:t xml:space="preserve">for the training data. The truth labels are the seven anatomical regions given above.</w:t>
      </w:r>
    </w:p>
    <w:p>
      <w:pPr>
        <w:pStyle w:val="BodyText"/>
      </w:pPr>
      <w:r>
        <w:t xml:space="preserve">The leave-one-out procedure is as follows:</w:t>
      </w:r>
    </w:p>
    <w:p>
      <w:pPr>
        <w:pStyle w:val="Compact"/>
        <w:numPr>
          <w:numId w:val="1001"/>
          <w:ilvl w:val="0"/>
        </w:numPr>
      </w:pPr>
      <w:r>
        <w:t xml:space="preserve">Create Stage 1 feature images for all 24 subjects.</w:t>
      </w:r>
    </w:p>
    <w:p>
      <w:pPr>
        <w:pStyle w:val="Compact"/>
        <w:numPr>
          <w:numId w:val="1001"/>
          <w:ilvl w:val="0"/>
        </w:numPr>
      </w:pPr>
      <w:r>
        <w:t xml:space="preserve">For each of the 24 subjects:</w:t>
      </w:r>
    </w:p>
    <w:p>
      <w:pPr>
        <w:pStyle w:val="Compact"/>
        <w:numPr>
          <w:numId w:val="1002"/>
          <w:ilvl w:val="1"/>
        </w:numPr>
      </w:pPr>
      <w:r>
        <w:t xml:space="preserve">sequester the current subject and corresponding feature images.</w:t>
      </w:r>
    </w:p>
    <w:p>
      <w:pPr>
        <w:pStyle w:val="Compact"/>
        <w:numPr>
          <w:numId w:val="1002"/>
          <w:ilvl w:val="1"/>
        </w:numPr>
      </w:pPr>
      <w:r>
        <w:t xml:space="preserve">construct the Stage 1 random forest model from the remaining 23 subjects.</w:t>
      </w:r>
    </w:p>
    <w:p>
      <w:pPr>
        <w:pStyle w:val="Compact"/>
        <w:numPr>
          <w:numId w:val="1002"/>
          <w:ilvl w:val="1"/>
        </w:numPr>
      </w:pPr>
      <w:r>
        <w:t xml:space="preserve">apply the Stage 1 random forest model to the feature images of the 23 training subjects.</w:t>
      </w:r>
    </w:p>
    <w:p>
      <w:pPr>
        <w:pStyle w:val="Compact"/>
        <w:numPr>
          <w:numId w:val="1002"/>
          <w:ilvl w:val="1"/>
        </w:numPr>
      </w:pPr>
      <w:r>
        <w:t xml:space="preserve">the previous step produces the Stage 1 voting maps for all seven labels.</w:t>
      </w:r>
    </w:p>
    <w:p>
      <w:pPr>
        <w:pStyle w:val="Compact"/>
        <w:numPr>
          <w:numId w:val="1002"/>
          <w:ilvl w:val="1"/>
        </w:numPr>
      </w:pPr>
      <w:r>
        <w:t xml:space="preserve">for each of the 23 subjects, perform a Bayesian-based segmentation with an MRF spatial</w:t>
      </w:r>
      <w:r>
        <w:t xml:space="preserve"> </w:t>
      </w:r>
      <w:r>
        <w:t xml:space="preserve">prior using the seven voting maps are used as additional tissue priors.</w:t>
      </w:r>
    </w:p>
    <w:p>
      <w:pPr>
        <w:pStyle w:val="Compact"/>
        <w:numPr>
          <w:numId w:val="1002"/>
          <w:ilvl w:val="1"/>
        </w:numPr>
      </w:pPr>
      <w:r>
        <w:t xml:space="preserve">construct the Stage 2 random forest model from all the Stage 1 feature images,</w:t>
      </w:r>
      <w:r>
        <w:t xml:space="preserve"> </w:t>
      </w:r>
      <w:r>
        <w:t xml:space="preserve">seven voting maps, and seven posterior probability maps from the previous step.</w:t>
      </w:r>
    </w:p>
    <w:p>
      <w:pPr>
        <w:pStyle w:val="Compact"/>
        <w:numPr>
          <w:numId w:val="1002"/>
          <w:ilvl w:val="1"/>
        </w:numPr>
      </w:pPr>
      <w:r>
        <w:t xml:space="preserve">send the sequestered subject through the random forest models for both stages.</w:t>
      </w:r>
    </w:p>
    <w:p>
      <w:pPr>
        <w:pStyle w:val="Compact"/>
        <w:numPr>
          <w:numId w:val="1002"/>
          <w:ilvl w:val="1"/>
        </w:numPr>
      </w:pPr>
      <w:r>
        <w:t xml:space="preserve">compare the final results with the manually-defined white matter hyperintensity</w:t>
      </w:r>
      <w:r>
        <w:t xml:space="preserve"> </w:t>
      </w:r>
      <w:r>
        <w:t xml:space="preserve">regions.</w:t>
      </w:r>
    </w:p>
    <w:p>
      <w:pPr>
        <w:pStyle w:val="Heading1"/>
      </w:pPr>
      <w:bookmarkStart w:id="38" w:name="results"/>
      <w:bookmarkEnd w:id="38"/>
      <w:r>
        <w:t xml:space="preserve">Results</w:t>
      </w:r>
    </w:p>
    <w:p>
      <w:pPr>
        <w:pStyle w:val="FirstParagraph"/>
      </w:pPr>
      <w:r>
        <w:t xml:space="preserve">After performing the leave-one-out evaluation described at the end of the previous section,</w:t>
      </w:r>
      <w:r>
        <w:t xml:space="preserve"> </w:t>
      </w:r>
      <w:r>
        <w:t xml:space="preserve">we calculated the</w:t>
      </w:r>
      <w:r>
        <w:t xml:space="preserve"> </w:t>
      </w:r>
      <w:r>
        <w:t xml:space="preserve"> </w:t>
      </w:r>
      <w:r>
        <w:t xml:space="preserve">feature values for each of the 24 subjects</w:t>
      </w:r>
      <w:r>
        <w:t xml:space="preserve"> </w:t>
      </w:r>
      <m:oMath>
        <m:r>
          <m:rPr/>
          <m:t>×</m:t>
        </m:r>
      </m:oMath>
      <w:r>
        <w:t xml:space="preserve"> </w:t>
      </w:r>
      <w:r>
        <w:t xml:space="preserve">2 models per subject</w:t>
      </w:r>
      <w:r>
        <w:t xml:space="preserve"> </w:t>
      </w:r>
      <m:oMath>
        <m:r>
          <m:rPr/>
          <m:t>=</m:t>
        </m:r>
        <m:r>
          <m:rPr/>
          <m:t>48</m:t>
        </m:r>
      </m:oMath>
      <w:r>
        <w:t xml:space="preserve"> </w:t>
      </w:r>
      <w:r>
        <w:t xml:space="preserve">total models. This measure (per feature, per model) is calculated</w:t>
      </w:r>
      <w:r>
        <w:t xml:space="preserve"> </w:t>
      </w:r>
      <w:r>
        <w:t xml:space="preserve">during the out-of-bag phase of the random forest model construction and quantifies the decrease</w:t>
      </w:r>
      <w:r>
        <w:t xml:space="preserve"> </w:t>
      </w:r>
      <w:r>
        <w:t xml:space="preserve">in prediction accuracy from omitting the specified feature. In other words, this quantity</w:t>
      </w:r>
      <w:r>
        <w:t xml:space="preserve"> </w:t>
      </w:r>
      <w:r>
        <w:t xml:space="preserve">helps determine the importance of a particular feature and, although we save such</w:t>
      </w:r>
      <w:r>
        <w:t xml:space="preserve"> </w:t>
      </w:r>
      <w:r>
        <w:t xml:space="preserve">efforts for future work, this information provides us with guidance for future feature</w:t>
      </w:r>
      <w:r>
        <w:t xml:space="preserve"> </w:t>
      </w:r>
      <w:r>
        <w:t xml:space="preserve">pruning and/or additions.</w:t>
      </w:r>
    </w:p>
    <w:p>
      <w:pPr>
        <w:pStyle w:val="BodyText"/>
      </w:pPr>
      <w:r>
        <w:t xml:space="preserve">The resulting rankings for both Stages are given in Figure 2 where the values for the</w:t>
      </w:r>
      <w:r>
        <w:t xml:space="preserve"> </w:t>
      </w:r>
      <w:r>
        <w:t xml:space="preserve">separate stages are averaged over the entire corresponding model set. In addition, we</w:t>
      </w:r>
      <w:r>
        <w:t xml:space="preserve"> </w:t>
      </w:r>
      <w:r>
        <w:t xml:space="preserve">track the variance for each feature over all models to illustrate the stability of</w:t>
      </w:r>
      <w:r>
        <w:t xml:space="preserve"> </w:t>
      </w:r>
      <w:r>
        <w:t xml:space="preserve">the chosen features during the evaluation. This latter information is illustrated as</w:t>
      </w:r>
      <w:r>
        <w:t xml:space="preserve"> </w:t>
      </w:r>
      <w:r>
        <w:t xml:space="preserve">horizontal errors bars providing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).</w:t>
      </w:r>
    </w:p>
    <w:p>
      <w:pPr>
        <w:pStyle w:val="BodyText"/>
      </w:pPr>
      <w:r>
        <w:t xml:space="preserve">One can also use these measurements as a type of sanity check. For example, from the Stage</w:t>
      </w:r>
      <w:r>
        <w:t xml:space="preserve"> </w:t>
      </w:r>
      <w:r>
        <w:t xml:space="preserve">1 plot, one can see that the</w:t>
      </w:r>
      <w:r>
        <w:t xml:space="preserve"> </w:t>
      </w:r>
      <w:r>
        <w:t xml:space="preserve"> </w:t>
      </w:r>
      <w:r>
        <w:t xml:space="preserve">values for the location indices in the</w:t>
      </w:r>
      <w:r>
        <w:t xml:space="preserve"> </w:t>
      </w:r>
      <w:r>
        <w:t xml:space="preserve">anterior-posterior direction (i.e.,</w:t>
      </w:r>
      <w:r>
        <w:t xml:space="preserve"> </w:t>
      </w:r>
      <w:r>
        <w:t xml:space="preserve">) are greater than</w:t>
      </w:r>
      <w:r>
        <w:t xml:space="preserve"> </w:t>
      </w:r>
      <w:r>
        <w:t xml:space="preserve">those for either the inferior-superior (i.e.,</w:t>
      </w:r>
      <w:r>
        <w:t xml:space="preserve"> </w:t>
      </w:r>
      <w:r>
        <w:t xml:space="preserve">) or the</w:t>
      </w:r>
      <w:r>
        <w:t xml:space="preserve"> </w:t>
      </w:r>
      <w:r>
        <w:t xml:space="preserve">left-right (i.e.,</w:t>
      </w:r>
      <w:r>
        <w:t xml:space="preserve"> </w:t>
      </w:r>
      <w:r>
        <w:t xml:space="preserve">) directions in the space of the symmetric</w:t>
      </w:r>
      <w:r>
        <w:t xml:space="preserve"> </w:t>
      </w:r>
      <w:r>
        <w:t xml:space="preserve">template. This is intuitive since, as discussed previously, manifestation of TBI white</w:t>
      </w:r>
      <w:r>
        <w:t xml:space="preserve"> </w:t>
      </w:r>
      <w:r>
        <w:t xml:space="preserve">matter hyperintensities can often be confused with higher intensities at the</w:t>
      </w:r>
      <w:r>
        <w:t xml:space="preserve"> </w:t>
      </w:r>
      <w:r>
        <w:t xml:space="preserve">periventricular caps in normal subjects</w:t>
      </w:r>
      <w:r>
        <w:t xml:space="preserve"> </w:t>
      </w:r>
      <w:r>
        <w:t xml:space="preserve">[21]</w:t>
      </w:r>
      <w:r>
        <w:t xml:space="preserve"> </w:t>
      </w:r>
      <w:r>
        <w:t xml:space="preserve">whereas there does not seem to</w:t>
      </w:r>
      <w:r>
        <w:t xml:space="preserve"> </w:t>
      </w:r>
      <w:r>
        <w:t xml:space="preserve">be contralateral bias in manifestation of white matter hyperintensities in TBI</w:t>
      </w:r>
      <w:r>
        <w:t xml:space="preserve"> 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.</w:t>
      </w:r>
      <w:r>
        <w:t xml:space="preserve"> </w:t>
      </w:r>
      <w:r>
        <w:t xml:space="preserve">Additionally, it is interesting to see that the top two performing</w:t>
      </w:r>
      <w:r>
        <w:t xml:space="preserve"> </w:t>
      </w:r>
      <w:r>
        <w:t xml:space="preserve">A couple of other interesting</w:t>
      </w:r>
    </w:p>
    <w:p>
      <w:pPr>
        <w:pStyle w:val="FigureWithCaption"/>
      </w:pPr>
      <w:r>
        <w:drawing>
          <wp:inline>
            <wp:extent cx="5334000" cy="56673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averageLeaveOne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Average</w:t>
      </w:r>
      <w:r>
        <w:t xml:space="preserve"> </w:t>
      </w:r>
      <w:r>
        <w:t xml:space="preserve"> </w:t>
      </w:r>
      <w:r>
        <w:t xml:space="preserve">plots generated from the creation of all 24 random</w:t>
      </w:r>
      <w:r>
        <w:t xml:space="preserve"> </w:t>
      </w:r>
      <w:r>
        <w:t xml:space="preserve">forest models for both Stage 1 and Stage 2 during the leave-one-out evaluation. These plots</w:t>
      </w:r>
      <w:r>
        <w:t xml:space="preserve"> </w:t>
      </w:r>
      <w:r>
        <w:t xml:space="preserve">are useful in providing a quantitative assessment of the predictive importance of each feature.</w:t>
      </w:r>
      <w:r>
        <w:t xml:space="preserve"> </w:t>
      </w:r>
      <w:r>
        <w:t xml:space="preserve">The horizontal error bars provide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 and illustrate the</w:t>
      </w:r>
      <w:r>
        <w:t xml:space="preserve"> </w:t>
      </w:r>
      <w:r>
        <w:t xml:space="preserve">stability of the feature importance across the leave-one-out models.</w:t>
      </w: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llvAndD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LLV</w:t>
      </w:r>
    </w:p>
    <w:p>
      <w:pPr>
        <w:pStyle w:val="BodyText"/>
      </w:pPr>
    </w:p>
    <w:p>
      <w:pPr>
        <w:pStyle w:val="Heading1"/>
      </w:pPr>
      <w:bookmarkStart w:id="41" w:name="references"/>
      <w:bookmarkEnd w:id="41"/>
      <w:r>
        <w:t xml:space="preserve">References</w:t>
      </w:r>
    </w:p>
    <w:p>
      <w:pPr>
        <w:pStyle w:val="Bibliography"/>
      </w:pPr>
      <w:r>
        <w:t xml:space="preserve">1. Available at</w:t>
      </w:r>
      <w:r>
        <w:t xml:space="preserve"> </w:t>
      </w:r>
      <w:hyperlink r:id="rId42">
        <w:r>
          <w:rPr>
            <w:rStyle w:val="Hyperlink"/>
          </w:rPr>
          <w:t xml:space="preserve">http://mlmi2015.web.unc.edu</w:t>
        </w:r>
      </w:hyperlink>
      <w:r>
        <w:t xml:space="preserve"> </w:t>
      </w:r>
    </w:p>
    <w:p>
      <w:pPr>
        <w:pStyle w:val="Bibliography"/>
      </w:pPr>
      <w:r>
        <w:t xml:space="preserve">2. Bauer, S., Nolte, L.-P., and Reyes, M. “</w:t>
      </w:r>
      <w:r>
        <w:rPr>
          <w:b/>
        </w:rPr>
        <w:t xml:space="preserve">Fully Automatic Segmentation of Brain Tumor Images Using Support Vector Machine Classification in Combination with Hierarchical Conditional Random Field Regularization</w:t>
      </w:r>
      <w:r>
        <w:t xml:space="preserve">”</w:t>
      </w:r>
      <w:r>
        <w:t xml:space="preserve"> </w:t>
      </w:r>
      <w:r>
        <w:rPr>
          <w:i/>
        </w:rPr>
        <w:t xml:space="preserve">Med Image Comput Comput Assist Interv</w:t>
      </w:r>
      <w:r>
        <w:t xml:space="preserve"> </w:t>
      </w:r>
      <w:r>
        <w:t xml:space="preserve">14, no. Pt 3 (2011): 354–61.</w:t>
      </w:r>
      <w:r>
        <w:t xml:space="preserve"> </w:t>
      </w:r>
    </w:p>
    <w:p>
      <w:pPr>
        <w:pStyle w:val="Bibliography"/>
      </w:pPr>
      <w:r>
        <w:t xml:space="preserve">3. Tong, T., Wolz, R., Gao, Q., Guerrero, R., Hajnal, J. V., Rueckert, D., and Alzheimer’s Disease Neuroimaging Initiative. “</w:t>
      </w:r>
      <w:r>
        <w:rPr>
          <w:b/>
        </w:rPr>
        <w:t xml:space="preserve">Multiple Instance Learning for Classification of Dementia in Brain MRI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18, no. 5 (2014): 808–18. doi:</w:t>
      </w:r>
      <w:hyperlink r:id="rId43">
        <w:r>
          <w:rPr>
            <w:rStyle w:val="Hyperlink"/>
          </w:rPr>
          <w:t xml:space="preserve">10.1016/j.media.2014.04.006</w:t>
        </w:r>
      </w:hyperlink>
    </w:p>
    <w:p>
      <w:pPr>
        <w:pStyle w:val="Bibliography"/>
      </w:pPr>
      <w:r>
        <w:t xml:space="preserve">4. Liu, X., Tosun, D., Weiner, M. W., Schuff, N., and Alzheimer’s Disease Neuroimaging Initiative. “</w:t>
      </w:r>
      <w:r>
        <w:rPr>
          <w:b/>
        </w:rPr>
        <w:t xml:space="preserve">Locally Linear Embedding (LLE) for MRI Based Alzheimer’s Disease Classification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83, (2013): 148–57. doi:</w:t>
      </w:r>
      <w:hyperlink r:id="rId44">
        <w:r>
          <w:rPr>
            <w:rStyle w:val="Hyperlink"/>
          </w:rPr>
          <w:t xml:space="preserve">10.1016/j.neuroimage.2013.06.033</w:t>
        </w:r>
      </w:hyperlink>
    </w:p>
    <w:p>
      <w:pPr>
        <w:pStyle w:val="Bibliography"/>
      </w:pPr>
      <w:r>
        <w:t xml:space="preserve">5. Van Horn, J. D. and Toga, A. W. “</w:t>
      </w:r>
      <w:r>
        <w:rPr>
          <w:b/>
        </w:rPr>
        <w:t xml:space="preserve">Human Neuroimaging as a ‘Big Data’ Science</w:t>
      </w:r>
      <w:r>
        <w:t xml:space="preserve">”</w:t>
      </w:r>
      <w:r>
        <w:t xml:space="preserve"> </w:t>
      </w:r>
      <w:r>
        <w:rPr>
          <w:i/>
        </w:rPr>
        <w:t xml:space="preserve">Brain Imaging Behav</w:t>
      </w:r>
      <w:r>
        <w:t xml:space="preserve"> </w:t>
      </w:r>
      <w:r>
        <w:t xml:space="preserve">8, no. 2 (2014): 323–31. doi:</w:t>
      </w:r>
      <w:hyperlink r:id="rId45">
        <w:r>
          <w:rPr>
            <w:rStyle w:val="Hyperlink"/>
          </w:rPr>
          <w:t xml:space="preserve">10.1007/s11682-013-9255-y</w:t>
        </w:r>
      </w:hyperlink>
    </w:p>
    <w:p>
      <w:pPr>
        <w:pStyle w:val="Bibliography"/>
      </w:pPr>
      <w:r>
        <w:t xml:space="preserve">6. Jones, E., Oliphant, T., Peterson, P., and others. “</w:t>
      </w:r>
      <w:r>
        <w:rPr>
          <w:b/>
        </w:rPr>
        <w:t xml:space="preserve">SciPy: Open Source Scientific Tools for Python</w:t>
      </w:r>
      <w:r>
        <w:t xml:space="preserve">” (2001–2001--): Available at</w:t>
      </w:r>
      <w:r>
        <w:t xml:space="preserve"> </w:t>
      </w:r>
      <w:hyperlink r:id="rId46">
        <w:r>
          <w:rPr>
            <w:rStyle w:val="Hyperlink"/>
          </w:rPr>
          <w:t xml:space="preserve">http://www.scipy.org/</w:t>
        </w:r>
      </w:hyperlink>
      <w:r>
        <w:t xml:space="preserve"> </w:t>
      </w:r>
    </w:p>
    <w:p>
      <w:pPr>
        <w:pStyle w:val="Bibliography"/>
      </w:pPr>
      <w:r>
        <w:t xml:space="preserve">7. R Core Team. “</w:t>
      </w:r>
      <w:r>
        <w:rPr>
          <w:b/>
        </w:rPr>
        <w:t xml:space="preserve">R: A Language and Environment for Statistical Computing</w:t>
      </w:r>
      <w:r>
        <w:t xml:space="preserve">” (2016):</w:t>
      </w:r>
      <w:r>
        <w:t xml:space="preserve"> </w:t>
      </w:r>
    </w:p>
    <w:p>
      <w:pPr>
        <w:pStyle w:val="Bibliography"/>
      </w:pPr>
      <w:r>
        <w:t xml:space="preserve">8. Breiman, L. “</w:t>
      </w:r>
      <w:r>
        <w:rPr>
          <w:b/>
        </w:rPr>
        <w:t xml:space="preserve">Random Forests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(2001): 5–32.</w:t>
      </w:r>
      <w:r>
        <w:t xml:space="preserve"> </w:t>
      </w:r>
    </w:p>
    <w:p>
      <w:pPr>
        <w:pStyle w:val="Bibliography"/>
      </w:pPr>
      <w:r>
        <w:t xml:space="preserve">9. Viola, P., Jones, M., and Snow, D. “</w:t>
      </w:r>
      <w:r>
        <w:rPr>
          <w:b/>
        </w:rPr>
        <w:t xml:space="preserve">Detecting Pedestrians Using Patterns of Motion and Appearance</w:t>
      </w:r>
      <w:r>
        <w:t xml:space="preserve">”</w:t>
      </w:r>
      <w:r>
        <w:t xml:space="preserve"> </w:t>
      </w:r>
      <w:r>
        <w:rPr>
          <w:i/>
        </w:rPr>
        <w:t xml:space="preserve">International Journal of Computer Vision</w:t>
      </w:r>
      <w:r>
        <w:t xml:space="preserve"> </w:t>
      </w:r>
      <w:r>
        <w:t xml:space="preserve">63, (2005): 153–161.</w:t>
      </w:r>
      <w:r>
        <w:t xml:space="preserve"> </w:t>
      </w:r>
    </w:p>
    <w:p>
      <w:pPr>
        <w:pStyle w:val="Bibliography"/>
      </w:pPr>
      <w:r>
        <w:t xml:space="preserve">10. Geremia, E., Clatz, O., Menze, B. H., Konukoglu, E., Criminisi, A., and Ayache, N. “</w:t>
      </w:r>
      <w:r>
        <w:rPr>
          <w:b/>
        </w:rPr>
        <w:t xml:space="preserve">Spatial Decision Forests for MS Lesion Segmentation in Multi-Channel Magnetic Resonance Images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57, no. 2 (2011): 378–90. doi:</w:t>
      </w:r>
      <w:hyperlink r:id="rId47">
        <w:r>
          <w:rPr>
            <w:rStyle w:val="Hyperlink"/>
          </w:rPr>
          <w:t xml:space="preserve">10.1016/j.neuroimage.2011.03.080</w:t>
        </w:r>
      </w:hyperlink>
    </w:p>
    <w:p>
      <w:pPr>
        <w:pStyle w:val="Bibliography"/>
      </w:pPr>
      <w:r>
        <w:t xml:space="preserve">11. Pustina, D., Coslett, H. B., Turkeltaub, P. E., Tustison, N., Schwartz, M. F., and Avants, B. “</w:t>
      </w:r>
      <w:r>
        <w:rPr>
          <w:b/>
        </w:rPr>
        <w:t xml:space="preserve">Automated Segmentation of Chronic Stroke Lesions Using LINDA: Lesion Identification with Neighborhood Data Analysis</w:t>
      </w:r>
      <w:r>
        <w:t xml:space="preserve">”</w:t>
      </w:r>
      <w:r>
        <w:t xml:space="preserve"> </w:t>
      </w:r>
      <w:r>
        <w:rPr>
          <w:i/>
        </w:rPr>
        <w:t xml:space="preserve">Hum Brain Mapp</w:t>
      </w:r>
      <w:r>
        <w:t xml:space="preserve"> </w:t>
      </w:r>
      <w:r>
        <w:t xml:space="preserve">(2016): doi:</w:t>
      </w:r>
      <w:hyperlink r:id="rId48">
        <w:r>
          <w:rPr>
            <w:rStyle w:val="Hyperlink"/>
          </w:rPr>
          <w:t xml:space="preserve">10.1002/hbm.23110</w:t>
        </w:r>
      </w:hyperlink>
    </w:p>
    <w:p>
      <w:pPr>
        <w:pStyle w:val="Bibliography"/>
      </w:pPr>
      <w:r>
        <w:t xml:space="preserve">12. Geremia, E., Menze, B. H., and Ayache, N. “</w:t>
      </w:r>
      <w:r>
        <w:rPr>
          <w:b/>
        </w:rPr>
        <w:t xml:space="preserve">Spatial Decision Forests for Glioma Segmentation in Multi-Channel MR Images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</w:t>
      </w:r>
      <w:r>
        <w:t xml:space="preserve"> </w:t>
      </w:r>
    </w:p>
    <w:p>
      <w:pPr>
        <w:pStyle w:val="Bibliography"/>
      </w:pPr>
      <w:r>
        <w:t xml:space="preserve">13. Bauer, S., Fejes, T., Slotboom, J., Wiest, R., Nolte, L.-P., and Reyes, M. “</w:t>
      </w:r>
      <w:r>
        <w:rPr>
          <w:b/>
        </w:rPr>
        <w:t xml:space="preserve">Segmentation of Brain Tumor Images Based on Integrated Hierarchical Classification and Regularization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10–13.</w:t>
      </w:r>
      <w:r>
        <w:t xml:space="preserve"> </w:t>
      </w:r>
    </w:p>
    <w:p>
      <w:pPr>
        <w:pStyle w:val="Bibliography"/>
      </w:pPr>
      <w:r>
        <w:t xml:space="preserve">14. Zikic, D., Glocker, B., Konukoglu, E., Shotton, J., Criminisi, A., Ye, D. H., Demiralp, C., Thomas, O. M., Das, T., Jena, R., and Price, S. J. “</w:t>
      </w:r>
      <w:r>
        <w:rPr>
          <w:b/>
        </w:rPr>
        <w:t xml:space="preserve">Context-Sensitive Classification Forests for Segmentation of Brain Tumor Tissues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1–9.</w:t>
      </w:r>
      <w:r>
        <w:t xml:space="preserve"> </w:t>
      </w:r>
    </w:p>
    <w:p>
      <w:pPr>
        <w:pStyle w:val="Bibliography"/>
      </w:pPr>
      <w:r>
        <w:t xml:space="preserve">15. Tustison, N. J., Shrinidhi, K. L., Wintermark, M., Durst, C. R., Kandel, B. M., Gee, J. C., Grossman, M. C., and Avants, B. B. “</w:t>
      </w:r>
      <w:r>
        <w:rPr>
          <w:b/>
        </w:rPr>
        <w:t xml:space="preserve">Optimal Symmetric Multimodal Templates and Concatenated Random Forests for Supervised Brain Tumor Segmentation (Simplified) with</w:t>
      </w:r>
      <w:r>
        <w:rPr>
          <w:b/>
        </w:rPr>
        <w:t xml:space="preserve"> </w:t>
      </w:r>
      <m:oMath>
        <m:r>
          <m:rPr/>
          <m:t>A</m:t>
        </m:r>
        <m:r>
          <m:rPr/>
          <m:t>N</m:t>
        </m:r>
        <m:r>
          <m:rPr/>
          <m:t>T</m:t>
        </m:r>
        <m:r>
          <m:rPr/>
          <m:t>s</m:t>
        </m:r>
        <m:r>
          <m:rPr/>
          <m:t>R</m:t>
        </m:r>
      </m:oMath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(2014): doi:</w:t>
      </w:r>
      <w:hyperlink r:id="rId49">
        <w:r>
          <w:rPr>
            <w:rStyle w:val="Hyperlink"/>
          </w:rPr>
          <w:t xml:space="preserve">10.1007/s12021-014-9245-2</w:t>
        </w:r>
      </w:hyperlink>
    </w:p>
    <w:p>
      <w:pPr>
        <w:pStyle w:val="Bibliography"/>
      </w:pPr>
      <w:r>
        <w:t xml:space="preserve">16. Menze, B. H., Jakab, A., Bauer, S., Kalpathy-Cramer, J., Farahani, K., Kirby, J., Burren, Y., Porz, N., Slotboom, J., Wiest, R., Lanczi, L., Gerstner, E., Weber, M.-A., Arbel, T., Avants, B. B., Ayache, N., Buendia, P., Collins, D. L., Cordier, N., Corso, J. J., Criminisi, A., Das, T., Delingette, H., Demiralp, Ç., Durst, C. R., Dojat, M., Doyle, S., Festa, J., Forbes, F., Geremia, E., Glocker, B., Golland, P., Guo, X., Hamamci, A., Iftekharuddin, K. M., Jena, R., John, N. M., Konukoglu, E., Lashkari, D., Mariz, J. A., Meier, R., Pereira, S., Precup, D., Price, S. J., Raviv, T. R., Reza, S. M. S., Ryan, M., Sarikaya, D., Schwartz, L., Shin, H.-C., Shotton, J., Silva, C. A., Sousa, N., Subbanna, N. K., Szekely, G., Taylor, T. J., Thomas, O. M., Tustison, N. J., Unal, G., Vasseur, F., Wintermark, M., Ye, D. H., Zhao, L., Zhao, B., Zikic, D., Prastawa, M., Reyes, M., and Van Leemput, K. “</w:t>
      </w:r>
      <w:r>
        <w:rPr>
          <w:b/>
        </w:rPr>
        <w:t xml:space="preserve">The Multimodal Brain Tumor Image Segmentation Benchmark (BRATS)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34, no. 10 (2015): 1993–2024. doi:</w:t>
      </w:r>
      <w:hyperlink r:id="rId50">
        <w:r>
          <w:rPr>
            <w:rStyle w:val="Hyperlink"/>
          </w:rPr>
          <w:t xml:space="preserve">10.1109/TMI.2014.2377694</w:t>
        </w:r>
      </w:hyperlink>
    </w:p>
    <w:p>
      <w:pPr>
        <w:pStyle w:val="Bibliography"/>
      </w:pPr>
      <w:r>
        <w:t xml:space="preserve">17. Schapire, R. “</w:t>
      </w:r>
      <w:r>
        <w:rPr>
          <w:b/>
        </w:rPr>
        <w:t xml:space="preserve">The Strength of Weak Learnability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5, (1990): 197–227.</w:t>
      </w:r>
      <w:r>
        <w:t xml:space="preserve"> </w:t>
      </w:r>
    </w:p>
    <w:p>
      <w:pPr>
        <w:pStyle w:val="Bibliography"/>
      </w:pPr>
      <w:r>
        <w:t xml:space="preserve">18. Freund, Y. and Schapire, R. “</w:t>
      </w:r>
      <w:r>
        <w:rPr>
          <w:b/>
        </w:rPr>
        <w:t xml:space="preserve">A Decision-Theoretic Generalization of on-Line Learning and an Application to Boosting</w:t>
      </w:r>
      <w:r>
        <w:t xml:space="preserve">”</w:t>
      </w:r>
      <w:r>
        <w:t xml:space="preserve"> </w:t>
      </w:r>
      <w:r>
        <w:rPr>
          <w:i/>
        </w:rPr>
        <w:t xml:space="preserve">Journal of Computer and System Sciences</w:t>
      </w:r>
      <w:r>
        <w:t xml:space="preserve"> </w:t>
      </w:r>
      <w:r>
        <w:t xml:space="preserve">55, (1997): 119–139.</w:t>
      </w:r>
      <w:r>
        <w:t xml:space="preserve"> </w:t>
      </w:r>
    </w:p>
    <w:p>
      <w:pPr>
        <w:pStyle w:val="Bibliography"/>
      </w:pPr>
      <w:r>
        <w:t xml:space="preserve">19. Ho, T. K. “</w:t>
      </w:r>
      <w:r>
        <w:rPr>
          <w:b/>
        </w:rPr>
        <w:t xml:space="preserve">Random Decision Forests</w:t>
      </w:r>
      <w:r>
        <w:t xml:space="preserve">”</w:t>
      </w:r>
      <w:r>
        <w:t xml:space="preserve"> </w:t>
      </w:r>
      <w:r>
        <w:rPr>
          <w:i/>
        </w:rPr>
        <w:t xml:space="preserve">Document analysis and recognition, 1995., proceedings of the third international conference on</w:t>
      </w:r>
      <w:r>
        <w:t xml:space="preserve"> </w:t>
      </w:r>
      <w:r>
        <w:t xml:space="preserve">1, (1995): 278–282 vol.1. doi:</w:t>
      </w:r>
      <w:hyperlink r:id="rId51">
        <w:r>
          <w:rPr>
            <w:rStyle w:val="Hyperlink"/>
          </w:rPr>
          <w:t xml:space="preserve">10.1109/ICDAR.1995.598994</w:t>
        </w:r>
      </w:hyperlink>
    </w:p>
    <w:p>
      <w:pPr>
        <w:pStyle w:val="Bibliography"/>
      </w:pPr>
      <w:r>
        <w:t xml:space="preserve">20. Amit, Y. and Geman, D. “</w:t>
      </w:r>
      <w:r>
        <w:rPr>
          <w:b/>
        </w:rPr>
        <w:t xml:space="preserve">Shape Quantization and Recognition with Randomized Trees</w:t>
      </w:r>
      <w:r>
        <w:t xml:space="preserve">”</w:t>
      </w:r>
      <w:r>
        <w:t xml:space="preserve"> </w:t>
      </w:r>
      <w:r>
        <w:rPr>
          <w:i/>
        </w:rPr>
        <w:t xml:space="preserve">Neural Computation</w:t>
      </w:r>
      <w:r>
        <w:t xml:space="preserve"> </w:t>
      </w:r>
      <w:r>
        <w:t xml:space="preserve">9, (1997): 1545–1588.</w:t>
      </w:r>
      <w:r>
        <w:t xml:space="preserve"> </w:t>
      </w:r>
    </w:p>
    <w:p>
      <w:pPr>
        <w:pStyle w:val="Bibliography"/>
      </w:pPr>
      <w:r>
        <w:t xml:space="preserve">21. Neema, M., Guss, Z. D., Stankiewicz, J. M., Arora, A., Healy, B. C., and Bakshi, R. “</w:t>
      </w:r>
      <w:r>
        <w:rPr>
          <w:b/>
        </w:rPr>
        <w:t xml:space="preserve">Normal Findings on Brain Fluid-Attenuated Inversion Recovery MR Images at 3T</w:t>
      </w:r>
      <w:r>
        <w:t xml:space="preserve">”</w:t>
      </w:r>
      <w:r>
        <w:t xml:space="preserve"> </w:t>
      </w:r>
      <w:r>
        <w:rPr>
          <w:i/>
        </w:rPr>
        <w:t xml:space="preserve">AJNR Am J Neuroradiol</w:t>
      </w:r>
      <w:r>
        <w:t xml:space="preserve"> </w:t>
      </w:r>
      <w:r>
        <w:t xml:space="preserve">30, no. 5 (2009): 911–6. doi:</w:t>
      </w:r>
      <w:hyperlink r:id="rId52">
        <w:r>
          <w:rPr>
            <w:rStyle w:val="Hyperlink"/>
          </w:rPr>
          <w:t xml:space="preserve">10.3174/ajnr.A1514</w:t>
        </w:r>
      </w:hyperlink>
    </w:p>
    <w:p>
      <w:pPr>
        <w:pStyle w:val="Bibliography"/>
      </w:pPr>
      <w:r>
        <w:t xml:space="preserve">22. Avants, B. B., Tustison, N. J., Stauffer, M., Song, G., Wu, B., and Gee, J. C. “</w:t>
      </w:r>
      <w:r>
        <w:rPr>
          <w:b/>
        </w:rPr>
        <w:t xml:space="preserve">The Insight ToolKit Image Registration Framework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8, (2014): 44. doi:</w:t>
      </w:r>
      <w:hyperlink r:id="rId53">
        <w:r>
          <w:rPr>
            <w:rStyle w:val="Hyperlink"/>
          </w:rPr>
          <w:t xml:space="preserve">10.3389/fninf.2014.00044</w:t>
        </w:r>
      </w:hyperlink>
    </w:p>
    <w:p>
      <w:pPr>
        <w:pStyle w:val="Bibliography"/>
      </w:pPr>
      <w:r>
        <w:t xml:space="preserve">23. Tustison, N. J., Avants, B. B., Cook, P. A., Zheng, Y., Egan, A., Yushkevich, P. A., and Gee, J. C. “</w:t>
      </w:r>
      <w:r>
        <w:rPr>
          <w:b/>
        </w:rPr>
        <w:t xml:space="preserve">N4ITK: Improved N3 Bias Correction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29, no. 6 (2010): 1310–20. doi:</w:t>
      </w:r>
      <w:hyperlink r:id="rId54">
        <w:r>
          <w:rPr>
            <w:rStyle w:val="Hyperlink"/>
          </w:rPr>
          <w:t xml:space="preserve">10.1109/TMI.2010.2046908</w:t>
        </w:r>
      </w:hyperlink>
    </w:p>
    <w:p>
      <w:pPr>
        <w:pStyle w:val="Bibliography"/>
      </w:pPr>
      <w:r>
        <w:t xml:space="preserve">24. Manjón, J. V., Coupé, P., Martí-Bonmatí, L., Collins, D. L., and Robles, M. “</w:t>
      </w:r>
      <w:r>
        <w:rPr>
          <w:b/>
        </w:rPr>
        <w:t xml:space="preserve">Adaptive Non-Local Means Denoising of MR Images with Spatially Varying Noise Levels</w:t>
      </w:r>
      <w:r>
        <w:t xml:space="preserve">”</w:t>
      </w:r>
      <w:r>
        <w:t xml:space="preserve"> </w:t>
      </w:r>
      <w:r>
        <w:rPr>
          <w:i/>
        </w:rPr>
        <w:t xml:space="preserve">J Magn Reson Imaging</w:t>
      </w:r>
      <w:r>
        <w:t xml:space="preserve"> </w:t>
      </w:r>
      <w:r>
        <w:t xml:space="preserve">31, no. 1 (2010): 192–203. doi:</w:t>
      </w:r>
      <w:hyperlink r:id="rId55">
        <w:r>
          <w:rPr>
            <w:rStyle w:val="Hyperlink"/>
          </w:rPr>
          <w:t xml:space="preserve">10.1002/jmri.22003</w:t>
        </w:r>
      </w:hyperlink>
    </w:p>
    <w:p>
      <w:pPr>
        <w:pStyle w:val="Bibliography"/>
      </w:pPr>
      <w:r>
        <w:t xml:space="preserve">25. Tustison, N. J., Cook, P. A., Klein, A., Song, G., Das, S. R., Duda, J. T., Kandel, B. M., Strien, N. van, Stone, J. R., Gee, J. C., and Avants, B. B. “</w:t>
      </w:r>
      <w:r>
        <w:rPr>
          <w:b/>
        </w:rPr>
        <w:t xml:space="preserve">Large-Scale Evaluation of ANTs and FreeSurfer Cortical Thickness Measurements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99, (2014): 166–79. doi:</w:t>
      </w:r>
      <w:hyperlink r:id="rId56">
        <w:r>
          <w:rPr>
            <w:rStyle w:val="Hyperlink"/>
          </w:rPr>
          <w:t xml:space="preserve">10.1016/j.neuroimage.2014.05.044</w:t>
        </w:r>
      </w:hyperlink>
    </w:p>
    <w:p>
      <w:pPr>
        <w:pStyle w:val="Bibliography"/>
      </w:pPr>
      <w:r>
        <w:t xml:space="preserve">26. Nyúl, L. G., Udupa, J. K., and Zhang, X. “</w:t>
      </w:r>
      <w:r>
        <w:rPr>
          <w:b/>
        </w:rPr>
        <w:t xml:space="preserve">New Variants of a Method of MRI Scale Standardization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19, no. 2 (2000): 143–50. doi:</w:t>
      </w:r>
      <w:hyperlink r:id="rId57">
        <w:r>
          <w:rPr>
            <w:rStyle w:val="Hyperlink"/>
          </w:rPr>
          <w:t xml:space="preserve">10.1109/42.836373</w:t>
        </w:r>
      </w:hyperlink>
    </w:p>
    <w:p>
      <w:pPr>
        <w:pStyle w:val="Bibliography"/>
      </w:pPr>
      <w:r>
        <w:t xml:space="preserve">27. Yushkevich, P. A., Piven, J., Hazlett, H. C., Smith, R. G., Ho, S., Gee, J. C., and Gerig, G. “</w:t>
      </w:r>
      <w:r>
        <w:rPr>
          <w:b/>
        </w:rPr>
        <w:t xml:space="preserve">User-Guided 3D Active Contour Segmentation of Anatomical Structures: Significantly Improved Efficiency and Reliability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31, no. 3 (2006): 1116–28. doi:</w:t>
      </w:r>
      <w:hyperlink r:id="rId58">
        <w:r>
          <w:rPr>
            <w:rStyle w:val="Hyperlink"/>
          </w:rPr>
          <w:t xml:space="preserve">10.1016/j.neuroimage.2006.01.015</w:t>
        </w:r>
      </w:hyperlink>
    </w:p>
    <w:p>
      <w:pPr>
        <w:pStyle w:val="Bibliography"/>
      </w:pPr>
      <w:r>
        <w:t xml:space="preserve">28. Avants, B. B., Tustison, N. J., Wu, J., Cook, P. A., and Gee, J. C. “</w:t>
      </w:r>
      <w:r>
        <w:rPr>
          <w:b/>
        </w:rPr>
        <w:t xml:space="preserve">An Open Source Multivariate Framework for</w:t>
      </w:r>
      <w:r>
        <w:rPr>
          <w:b/>
        </w:rPr>
        <w:t xml:space="preserve"> </w:t>
      </w:r>
      <m:oMath>
        <m:r>
          <m:rPr/>
          <m:t>n</m:t>
        </m:r>
      </m:oMath>
      <w:r>
        <w:rPr>
          <w:b/>
        </w:rPr>
        <w:t xml:space="preserve">-Tissue Segmentation with Evaluation on Public Data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9, no. 4 (2011): 381–400. doi:</w:t>
      </w:r>
      <w:hyperlink r:id="rId59">
        <w:r>
          <w:rPr>
            <w:rStyle w:val="Hyperlink"/>
          </w:rPr>
          <w:t xml:space="preserve">10.1007/s12021-011-9109-y</w:t>
        </w:r>
      </w:hyperlink>
    </w:p>
    <w:p>
      <w:pPr>
        <w:pStyle w:val="Bibliography"/>
      </w:pPr>
      <w:r>
        <w:t xml:space="preserve">29. Landman, B. A., Huang, A. J., Gifford, A., Vikram, D. S., Lim, I. A. L., Farrell, J. A. D., Bogovic, J. A., Hua, J., Chen, M., Jarso, S., Smith, S. A., Joel, S., Mori, S., Pekar, J. J., Barker, P. B., Prince, J. L., and Zijl, P. C. M. van. “</w:t>
      </w:r>
      <w:r>
        <w:rPr>
          <w:b/>
        </w:rPr>
        <w:t xml:space="preserve">Multi-Parametric Neuroimaging Reproducibility: A 3-T Resource Study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4 (2011): 2854–66. doi:</w:t>
      </w:r>
      <w:hyperlink r:id="rId60">
        <w:r>
          <w:rPr>
            <w:rStyle w:val="Hyperlink"/>
          </w:rPr>
          <w:t xml:space="preserve">10.1016/j.neuroimage.2010.11.047</w:t>
        </w:r>
      </w:hyperlink>
    </w:p>
    <w:p>
      <w:pPr>
        <w:pStyle w:val="Bibliography"/>
      </w:pPr>
      <w:r>
        <w:t xml:space="preserve">30. Maurer, C. R., Rensheng, Q., and Raghavan, V. “</w:t>
      </w:r>
      <w:r>
        <w:rPr>
          <w:b/>
        </w:rPr>
        <w:t xml:space="preserve">A Linear Time Algorithm for Computing Exact Euclidean Distance Transforms of Binary Images in Arbitrary Dimensions</w:t>
      </w:r>
      <w:r>
        <w:t xml:space="preserve">”</w:t>
      </w:r>
      <w:r>
        <w:t xml:space="preserve"> </w:t>
      </w:r>
      <w:r>
        <w:rPr>
          <w:i/>
        </w:rPr>
        <w:t xml:space="preserve">Pattern Analysis and Machine Intelligence, IEEE Transactions on</w:t>
      </w:r>
      <w:r>
        <w:t xml:space="preserve"> </w:t>
      </w:r>
      <w:r>
        <w:t xml:space="preserve">25, no. 2 (2003): 265–270. doi:</w:t>
      </w:r>
      <w:hyperlink r:id="rId61">
        <w:r>
          <w:rPr>
            <w:rStyle w:val="Hyperlink"/>
          </w:rPr>
          <w:t xml:space="preserve">10.1109/TPAMI.2003.1177156</w:t>
        </w:r>
      </w:hyperlink>
    </w:p>
    <w:p>
      <w:pPr>
        <w:pStyle w:val="Bibliography"/>
      </w:pPr>
      <w:r>
        <w:t xml:space="preserve">31. Tustison, N. J. and Avants, B. B. “</w:t>
      </w:r>
      <w:r>
        <w:rPr>
          <w:b/>
        </w:rPr>
        <w:t xml:space="preserve">Explicit B-Spline Regularization in Diffeomorphic Image Registration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7, (2013): 39. doi:</w:t>
      </w:r>
      <w:hyperlink r:id="rId62">
        <w:r>
          <w:rPr>
            <w:rStyle w:val="Hyperlink"/>
          </w:rPr>
          <w:t xml:space="preserve">10.3389/fninf.2013.00039</w:t>
        </w:r>
      </w:hyperlink>
    </w:p>
    <w:p>
      <w:pPr>
        <w:pStyle w:val="Bibliography"/>
      </w:pPr>
      <w:r>
        <w:t xml:space="preserve">32. Avants, B. B., Tustison, N. J., Song, G., Cook, P. A., Klein, A., and Gee, J. C. “</w:t>
      </w:r>
      <w:r>
        <w:rPr>
          <w:b/>
        </w:rPr>
        <w:t xml:space="preserve">A Reproducible Evaluation of ANTs Similarity Metric Performance in Brain Image Registration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3 (2011): 2033–44. doi:</w:t>
      </w:r>
      <w:hyperlink r:id="rId63">
        <w:r>
          <w:rPr>
            <w:rStyle w:val="Hyperlink"/>
          </w:rPr>
          <w:t xml:space="preserve">10.1016/j.neuroimage.2010.09.025</w:t>
        </w:r>
      </w:hyperlink>
    </w:p>
    <w:p>
      <w:pPr>
        <w:pStyle w:val="Bibliography"/>
      </w:pPr>
      <w:r>
        <w:t xml:space="preserve">33. Anbeek, P., Vincken, K. L., Osch, M. J. P. van, Bisschops, R. H. C., and Grond, J. van der. “</w:t>
      </w:r>
      <w:r>
        <w:rPr>
          <w:b/>
        </w:rPr>
        <w:t xml:space="preserve">Probabilistic Segmentation of White Matter Lesions in MR Imaging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21, no. 3 (2004): 1037–44. doi:</w:t>
      </w:r>
      <w:hyperlink r:id="rId64">
        <w:r>
          <w:rPr>
            <w:rStyle w:val="Hyperlink"/>
          </w:rPr>
          <w:t xml:space="preserve">10.1016/j.neuroimage.2003.10.012</w:t>
        </w:r>
      </w:hyperlink>
    </w:p>
    <w:p>
      <w:pPr>
        <w:pStyle w:val="Bibliography"/>
      </w:pPr>
      <w:r>
        <w:t xml:space="preserve">34. García-Lorenzo, D., Francis, S., Narayanan, S., Arnold, D. L., and Collins, D. L. “</w:t>
      </w:r>
      <w:r>
        <w:rPr>
          <w:b/>
        </w:rPr>
        <w:t xml:space="preserve">Review of Automatic Segmentation Methods of Multiple Sclerosis White Matter Lesions on Conventional Magnetic Resonance Imaging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17, no. 1 (2013): 1–18. doi:</w:t>
      </w:r>
      <w:hyperlink r:id="rId65">
        <w:r>
          <w:rPr>
            <w:rStyle w:val="Hyperlink"/>
          </w:rPr>
          <w:t xml:space="preserve">10.1016/j.media.2012.09.004</w:t>
        </w:r>
      </w:hyperlink>
    </w:p>
    <w:p>
      <w:pPr>
        <w:pStyle w:val="Bibliography"/>
      </w:pPr>
      <w:r>
        <w:t xml:space="preserve">35. Liaw, A. and Wiener, M. “</w:t>
      </w:r>
      <w:r>
        <w:rPr>
          <w:b/>
        </w:rPr>
        <w:t xml:space="preserve">Classification and Regression by randomForest</w:t>
      </w:r>
      <w:r>
        <w:t xml:space="preserve">”</w:t>
      </w:r>
      <w:r>
        <w:t xml:space="preserve"> </w:t>
      </w:r>
      <w:r>
        <w:rPr>
          <w:i/>
        </w:rPr>
        <w:t xml:space="preserve">R News</w:t>
      </w:r>
      <w:r>
        <w:t xml:space="preserve"> </w:t>
      </w:r>
      <w:r>
        <w:t xml:space="preserve">2/3, (2002): 18–22.</w:t>
      </w:r>
      <w:r>
        <w:t xml:space="preserve">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5">
        <w:r>
          <w:rPr>
            <w:rStyle w:val="Hyperlink"/>
          </w:rPr>
          <w:t xml:space="preserve">https://github.com/stnava/ANTs</w:t>
        </w:r>
      </w:hyperlink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7">
        <w:r>
          <w:rPr>
            <w:rStyle w:val="Hyperlink"/>
          </w:rPr>
          <w:t xml:space="preserve">https://github.com/stnava/ANTsR</w:t>
        </w:r>
      </w:hyperlink>
    </w:p>
  </w:footnote>
  <w:footnote w:id="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6">
        <w:r>
          <w:rPr>
            <w:rStyle w:val="Hyperlink"/>
          </w:rPr>
          <w:t xml:space="preserve">https://github.com/ntustison/ANTsAndArboles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61568c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431c10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32" Target="media/rId32.png" /><Relationship Type="http://schemas.openxmlformats.org/officeDocument/2006/relationships/image" Id="rId40" Target="media/rId40.png" /><Relationship Type="http://schemas.openxmlformats.org/officeDocument/2006/relationships/hyperlink" Id="rId42" Target="http://mlmi2015.web.unc.edu" TargetMode="External" /><Relationship Type="http://schemas.openxmlformats.org/officeDocument/2006/relationships/hyperlink" Id="rId46" Target="http://www.scipy.org/" TargetMode="External" /><Relationship Type="http://schemas.openxmlformats.org/officeDocument/2006/relationships/hyperlink" Id="rId48" Target="https://doi.org/10.1002/hbm.23110" TargetMode="External" /><Relationship Type="http://schemas.openxmlformats.org/officeDocument/2006/relationships/hyperlink" Id="rId55" Target="https://doi.org/10.1002/jmri.22003" TargetMode="External" /><Relationship Type="http://schemas.openxmlformats.org/officeDocument/2006/relationships/hyperlink" Id="rId45" Target="https://doi.org/10.1007/s11682-013-9255-y" TargetMode="External" /><Relationship Type="http://schemas.openxmlformats.org/officeDocument/2006/relationships/hyperlink" Id="rId59" Target="https://doi.org/10.1007/s12021-011-9109-y" TargetMode="External" /><Relationship Type="http://schemas.openxmlformats.org/officeDocument/2006/relationships/hyperlink" Id="rId49" Target="https://doi.org/10.1007/s12021-014-9245-2" TargetMode="External" /><Relationship Type="http://schemas.openxmlformats.org/officeDocument/2006/relationships/hyperlink" Id="rId65" Target="https://doi.org/10.1016/j.media.2012.09.004" TargetMode="External" /><Relationship Type="http://schemas.openxmlformats.org/officeDocument/2006/relationships/hyperlink" Id="rId43" Target="https://doi.org/10.1016/j.media.2014.04.006" TargetMode="External" /><Relationship Type="http://schemas.openxmlformats.org/officeDocument/2006/relationships/hyperlink" Id="rId64" Target="https://doi.org/10.1016/j.neuroimage.2003.10.012" TargetMode="External" /><Relationship Type="http://schemas.openxmlformats.org/officeDocument/2006/relationships/hyperlink" Id="rId58" Target="https://doi.org/10.1016/j.neuroimage.2006.01.015" TargetMode="External" /><Relationship Type="http://schemas.openxmlformats.org/officeDocument/2006/relationships/hyperlink" Id="rId63" Target="https://doi.org/10.1016/j.neuroimage.2010.09.025" TargetMode="External" /><Relationship Type="http://schemas.openxmlformats.org/officeDocument/2006/relationships/hyperlink" Id="rId60" Target="https://doi.org/10.1016/j.neuroimage.2010.11.047" TargetMode="External" /><Relationship Type="http://schemas.openxmlformats.org/officeDocument/2006/relationships/hyperlink" Id="rId47" Target="https://doi.org/10.1016/j.neuroimage.2011.03.080" TargetMode="External" /><Relationship Type="http://schemas.openxmlformats.org/officeDocument/2006/relationships/hyperlink" Id="rId44" Target="https://doi.org/10.1016/j.neuroimage.2013.06.033" TargetMode="External" /><Relationship Type="http://schemas.openxmlformats.org/officeDocument/2006/relationships/hyperlink" Id="rId56" Target="https://doi.org/10.1016/j.neuroimage.2014.05.044" TargetMode="External" /><Relationship Type="http://schemas.openxmlformats.org/officeDocument/2006/relationships/hyperlink" Id="rId57" Target="https://doi.org/10.1109/42.836373" TargetMode="External" /><Relationship Type="http://schemas.openxmlformats.org/officeDocument/2006/relationships/hyperlink" Id="rId51" Target="https://doi.org/10.1109/ICDAR.1995.598994" TargetMode="External" /><Relationship Type="http://schemas.openxmlformats.org/officeDocument/2006/relationships/hyperlink" Id="rId54" Target="https://doi.org/10.1109/TMI.2010.2046908" TargetMode="External" /><Relationship Type="http://schemas.openxmlformats.org/officeDocument/2006/relationships/hyperlink" Id="rId50" Target="https://doi.org/10.1109/TMI.2014.2377694" TargetMode="External" /><Relationship Type="http://schemas.openxmlformats.org/officeDocument/2006/relationships/hyperlink" Id="rId61" Target="https://doi.org/10.1109/TPAMI.2003.1177156" TargetMode="External" /><Relationship Type="http://schemas.openxmlformats.org/officeDocument/2006/relationships/hyperlink" Id="rId52" Target="https://doi.org/10.3174/ajnr.A1514" TargetMode="External" /><Relationship Type="http://schemas.openxmlformats.org/officeDocument/2006/relationships/hyperlink" Id="rId62" Target="https://doi.org/10.3389/fninf.2013.00039" TargetMode="External" /><Relationship Type="http://schemas.openxmlformats.org/officeDocument/2006/relationships/hyperlink" Id="rId53" Target="https://doi.org/10.3389/fninf.2014.00044" TargetMode="External" /><Relationship Type="http://schemas.openxmlformats.org/officeDocument/2006/relationships/hyperlink" Id="rId36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2" Target="http://mlmi2015.web.unc.edu" TargetMode="External" /><Relationship Type="http://schemas.openxmlformats.org/officeDocument/2006/relationships/hyperlink" Id="rId46" Target="http://www.scipy.org/" TargetMode="External" /><Relationship Type="http://schemas.openxmlformats.org/officeDocument/2006/relationships/hyperlink" Id="rId48" Target="https://doi.org/10.1002/hbm.23110" TargetMode="External" /><Relationship Type="http://schemas.openxmlformats.org/officeDocument/2006/relationships/hyperlink" Id="rId55" Target="https://doi.org/10.1002/jmri.22003" TargetMode="External" /><Relationship Type="http://schemas.openxmlformats.org/officeDocument/2006/relationships/hyperlink" Id="rId45" Target="https://doi.org/10.1007/s11682-013-9255-y" TargetMode="External" /><Relationship Type="http://schemas.openxmlformats.org/officeDocument/2006/relationships/hyperlink" Id="rId59" Target="https://doi.org/10.1007/s12021-011-9109-y" TargetMode="External" /><Relationship Type="http://schemas.openxmlformats.org/officeDocument/2006/relationships/hyperlink" Id="rId49" Target="https://doi.org/10.1007/s12021-014-9245-2" TargetMode="External" /><Relationship Type="http://schemas.openxmlformats.org/officeDocument/2006/relationships/hyperlink" Id="rId65" Target="https://doi.org/10.1016/j.media.2012.09.004" TargetMode="External" /><Relationship Type="http://schemas.openxmlformats.org/officeDocument/2006/relationships/hyperlink" Id="rId43" Target="https://doi.org/10.1016/j.media.2014.04.006" TargetMode="External" /><Relationship Type="http://schemas.openxmlformats.org/officeDocument/2006/relationships/hyperlink" Id="rId64" Target="https://doi.org/10.1016/j.neuroimage.2003.10.012" TargetMode="External" /><Relationship Type="http://schemas.openxmlformats.org/officeDocument/2006/relationships/hyperlink" Id="rId58" Target="https://doi.org/10.1016/j.neuroimage.2006.01.015" TargetMode="External" /><Relationship Type="http://schemas.openxmlformats.org/officeDocument/2006/relationships/hyperlink" Id="rId63" Target="https://doi.org/10.1016/j.neuroimage.2010.09.025" TargetMode="External" /><Relationship Type="http://schemas.openxmlformats.org/officeDocument/2006/relationships/hyperlink" Id="rId60" Target="https://doi.org/10.1016/j.neuroimage.2010.11.047" TargetMode="External" /><Relationship Type="http://schemas.openxmlformats.org/officeDocument/2006/relationships/hyperlink" Id="rId47" Target="https://doi.org/10.1016/j.neuroimage.2011.03.080" TargetMode="External" /><Relationship Type="http://schemas.openxmlformats.org/officeDocument/2006/relationships/hyperlink" Id="rId44" Target="https://doi.org/10.1016/j.neuroimage.2013.06.033" TargetMode="External" /><Relationship Type="http://schemas.openxmlformats.org/officeDocument/2006/relationships/hyperlink" Id="rId56" Target="https://doi.org/10.1016/j.neuroimage.2014.05.044" TargetMode="External" /><Relationship Type="http://schemas.openxmlformats.org/officeDocument/2006/relationships/hyperlink" Id="rId57" Target="https://doi.org/10.1109/42.836373" TargetMode="External" /><Relationship Type="http://schemas.openxmlformats.org/officeDocument/2006/relationships/hyperlink" Id="rId51" Target="https://doi.org/10.1109/ICDAR.1995.598994" TargetMode="External" /><Relationship Type="http://schemas.openxmlformats.org/officeDocument/2006/relationships/hyperlink" Id="rId54" Target="https://doi.org/10.1109/TMI.2010.2046908" TargetMode="External" /><Relationship Type="http://schemas.openxmlformats.org/officeDocument/2006/relationships/hyperlink" Id="rId50" Target="https://doi.org/10.1109/TMI.2014.2377694" TargetMode="External" /><Relationship Type="http://schemas.openxmlformats.org/officeDocument/2006/relationships/hyperlink" Id="rId61" Target="https://doi.org/10.1109/TPAMI.2003.1177156" TargetMode="External" /><Relationship Type="http://schemas.openxmlformats.org/officeDocument/2006/relationships/hyperlink" Id="rId52" Target="https://doi.org/10.3174/ajnr.A1514" TargetMode="External" /><Relationship Type="http://schemas.openxmlformats.org/officeDocument/2006/relationships/hyperlink" Id="rId62" Target="https://doi.org/10.3389/fninf.2013.00039" TargetMode="External" /><Relationship Type="http://schemas.openxmlformats.org/officeDocument/2006/relationships/hyperlink" Id="rId53" Target="https://doi.org/10.3389/fninf.2014.00044" TargetMode="External" /><Relationship Type="http://schemas.openxmlformats.org/officeDocument/2006/relationships/hyperlink" Id="rId36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