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provided publicly</w:t>
      </w:r>
      <w:r>
        <w:t xml:space="preserve"> </w:t>
      </w:r>
      <w:r>
        <w:t xml:space="preserve">through the 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Lesion load and overlap evaluative comparisons are</w:t>
      </w:r>
      <w:r>
        <w:t xml:space="preserve"> </w:t>
      </w:r>
      <w:r>
        <w:t xml:space="preserve">complimented by feature rankings which showcase the utility of the</w:t>
      </w:r>
      <w:r>
        <w:t xml:space="preserve"> </w:t>
      </w:r>
      <w:r>
        <w:t xml:space="preserve">concatenated approach. Our findings suggest supervised learning methods</w:t>
      </w:r>
      <w:r>
        <w:t xml:space="preserve"> </w:t>
      </w:r>
      <w:r>
        <w:t xml:space="preserve">may be applied to quantify WMHs on routine brain imaging.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rPr>
          <w:vertAlign w:val="superscript"/>
        </w:rPr>
        <w:t xml:space="preserve">1,2</w:t>
      </w:r>
      <w:r>
        <w:t xml:space="preserve"> </w:t>
      </w:r>
      <w:r>
        <w:rPr>
          <w:vertAlign w:val="superscript"/>
        </w:rPr>
        <w:t xml:space="preserve">3–6</w:t>
      </w:r>
      <w:r>
        <w:t xml:space="preserve"> </w:t>
      </w:r>
    </w:p>
    <w:p>
      <w:pPr>
        <w:pStyle w:val="BodyText"/>
      </w:pPr>
      <w:r>
        <w:rPr>
          <w:vertAlign w:val="superscript"/>
        </w:rPr>
        <w:t xml:space="preserve">2,6–8</w:t>
      </w:r>
      <w:r>
        <w:rPr>
          <w:vertAlign w:val="superscript"/>
        </w:rPr>
        <w:t xml:space="preserve">6</w:t>
      </w:r>
      <w:r>
        <w:rPr>
          <w:vertAlign w:val="superscript"/>
        </w:rPr>
        <w:t xml:space="preserve">4</w:t>
      </w:r>
      <w:r>
        <w:rPr>
          <w:vertAlign w:val="superscript"/>
        </w:rPr>
        <w:t xml:space="preserve">7</w:t>
      </w:r>
      <w:r>
        <w:t xml:space="preserve">.</w:t>
      </w:r>
    </w:p>
    <w:p>
      <w:pPr>
        <w:pStyle w:val="BodyText"/>
      </w:pP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rPr>
          <w:vertAlign w:val="superscript"/>
        </w:rP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10</w:t>
      </w:r>
      <w:r>
        <w:t xml:space="preserve">) and other computer vision applications</w:t>
      </w:r>
      <w:r>
        <w:t xml:space="preserve"> </w:t>
      </w:r>
      <w:r>
        <w:t xml:space="preserve">(e.g.,</w:t>
      </w:r>
      <w:r>
        <w:rPr>
          <w:vertAlign w:val="superscript"/>
        </w:rPr>
        <w:t xml:space="preserve">11</w:t>
      </w:r>
      <w:r>
        <w:t xml:space="preserve">).</w:t>
      </w:r>
      <w:r>
        <w:t xml:space="preserve"> </w:t>
      </w:r>
      <w:r>
        <w:rPr>
          <w:vertAlign w:val="superscript"/>
        </w:rPr>
        <w:t xml:space="preserve">12–17</w:t>
      </w:r>
      <w:r>
        <w:t xml:space="preserve"> </w:t>
      </w:r>
    </w:p>
    <w:p>
      <w:pPr>
        <w:pStyle w:val="BodyText"/>
      </w:pPr>
      <w:r>
        <w:t xml:space="preserve">Random forests are conceptually straightforward</w:t>
      </w:r>
      <w:r>
        <w:rPr>
          <w:vertAlign w:val="superscript"/>
        </w:rPr>
        <w:t xml:space="preserve">9</w:t>
      </w:r>
      <w:r>
        <w:t xml:space="preserve">. They consist of ensembles of decision trees</w:t>
      </w:r>
      <w:r>
        <w:t xml:space="preserve"> </w:t>
      </w:r>
      <w:r>
        <w:t xml:space="preserve">that are built from training data. Once</w:t>
      </w:r>
      <w:r>
        <w:t xml:space="preserve"> </w:t>
      </w:r>
      <w:r>
        <w:t xml:space="preserve"> </w:t>
      </w:r>
      <w:r>
        <w:t xml:space="preserve">constructed, data to be classified is "pushed"</w:t>
      </w:r>
      <w:r>
        <w:t xml:space="preserve"> </w:t>
      </w:r>
      <w:r>
        <w:t xml:space="preserve">through each decision tree resulting in a single classification "vote" per tree. These</w:t>
      </w:r>
      <w:r>
        <w:t xml:space="preserve"> </w:t>
      </w:r>
      <w:r>
        <w:t xml:space="preserve">votes are then used for regression or classification of the data. Although decision</w:t>
      </w:r>
      <w:r>
        <w:t xml:space="preserve"> </w:t>
      </w:r>
      <w:r>
        <w:t xml:space="preserve">trees had been extensively studied, the success of employing collections of</w:t>
      </w:r>
      <w:r>
        <w:t xml:space="preserve"> </w:t>
      </w:r>
      <w:r>
        <w:t xml:space="preserve">such weak learners for boosting machine learning performance</w:t>
      </w:r>
      <w:r>
        <w:t xml:space="preserve"> </w:t>
      </w:r>
      <w:r>
        <w:t xml:space="preserve">(e.g., AdaBoost</w:t>
      </w:r>
      <w:r>
        <w:rPr>
          <w:vertAlign w:val="superscript"/>
        </w:rPr>
        <w:t xml:space="preserve">18,19</w:t>
      </w:r>
      <w:r>
        <w:t xml:space="preserve">) influenced the similarly sytled conglomeration</w:t>
      </w:r>
      <w:r>
        <w:t xml:space="preserve"> </w:t>
      </w:r>
      <w:r>
        <w:t xml:space="preserve">of decision trees into "forests" with randomized node optimization</w:t>
      </w:r>
      <w:r>
        <w:rPr>
          <w:vertAlign w:val="superscript"/>
        </w:rPr>
        <w:t xml:space="preserve">20,21</w:t>
      </w:r>
      <w:r>
        <w:t xml:space="preserve">.</w:t>
      </w:r>
      <w:r>
        <w:t xml:space="preserve"> </w:t>
      </w:r>
      <w:r>
        <w:t xml:space="preserve">Finally, Breiman</w:t>
      </w:r>
      <w:r>
        <w:rPr>
          <w:vertAlign w:val="superscript"/>
        </w:rPr>
        <w:t xml:space="preserve">9</w:t>
      </w:r>
      <w:r>
        <w:t xml:space="preserve"> </w:t>
      </w:r>
      <w:r>
        <w:t xml:space="preserve">improved accuracy by random sampling of training</w:t>
      </w:r>
      <w:r>
        <w:t xml:space="preserve"> </w:t>
      </w:r>
      <w:r>
        <w:t xml:space="preserve">data (i.e., "bagging") resulting in the current random forest technique applied here.</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w:t>
      </w:r>
      <w:r>
        <w:t xml:space="preserve"> </w:t>
      </w:r>
      <w:r>
        <w:t xml:space="preserve"> </w:t>
      </w:r>
      <w:r>
        <w:t xml:space="preserve">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 Each of the participants that were selected from the larger cohort of participants in this study demonstrated at least one white matter hyperintensity (but as many as 20) on FLAIR imaging.</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 9</w:t>
      </w:r>
      <m:oMath>
        <m:sSup>
          <m:e>
            <m:r>
              <m:rPr/>
              <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w:t>
      </w:r>
      <w:r>
        <w:rPr>
          <w:rStyle w:val="FootnoteReference"/>
        </w:rPr>
        <w:footnoteReference w:id="31"/>
      </w:r>
      <w:r>
        <w:t xml:space="preserve"/>
      </w:r>
      <w:r>
        <w:t xml:space="preserve"> </w:t>
      </w:r>
      <w:r>
        <w:rPr>
          <w:vertAlign w:val="superscript"/>
        </w:rPr>
        <w:t xml:space="preserve">3</w:t>
      </w:r>
      <w:r>
        <w:rPr>
          <w:vertAlign w:val="superscript"/>
        </w:rPr>
        <w:t xml:space="preserve">22</w:t>
      </w:r>
      <w:r>
        <w:t xml:space="preserve"> </w:t>
      </w:r>
      <w:r>
        <w:rPr>
          <w:vertAlign w:val="superscript"/>
        </w:rPr>
        <w:t xml:space="preserve">23</w:t>
      </w:r>
      <w:r>
        <w:t xml:space="preserve"> </w:t>
      </w:r>
    </w:p>
    <w:p>
      <w:pPr>
        <w:pStyle w:val="Heading2"/>
      </w:pPr>
      <w:bookmarkStart w:id="33" w:name="quantitative-analysis"/>
      <w:bookmarkEnd w:id="33"/>
      <w:r>
        <w:t xml:space="preserve">Quantitative analysis</w:t>
      </w:r>
    </w:p>
    <w:p>
      <w:pPr>
        <w:pStyle w:val="FirstParagraph"/>
      </w:pPr>
    </w:p>
    <w:p>
      <w:pPr>
        <w:pStyle w:val="Heading3"/>
      </w:pPr>
      <w:bookmarkStart w:id="34" w:name="feature-images-for-wmh-segmentation"/>
      <w:bookmarkEnd w:id="34"/>
      <w:r>
        <w:t xml:space="preserve">Feature images for WMH segmentation</w:t>
      </w:r>
    </w:p>
    <w:p>
      <w:pPr>
        <w:pStyle w:val="FirstParagraph"/>
      </w:pPr>
      <w:r>
        <w:t xml:space="preserve"> </w:t>
      </w:r>
      <w:r>
        <w:t xml:space="preserve">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24</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1,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1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rPr>
          <w:vertAlign w:val="superscript"/>
        </w:rPr>
        <w:t xml:space="preserve">22</w:t>
      </w:r>
      <w:r>
        <w:t xml:space="preserve">. The aligned images</w:t>
      </w:r>
      <w:r>
        <w:t xml:space="preserve"> </w:t>
      </w:r>
      <w:r>
        <w:t xml:space="preserve">are then preprocessed using the denoising algorithm of</w:t>
      </w:r>
      <w:r>
        <w:rPr>
          <w:vertAlign w:val="superscript"/>
        </w:rPr>
        <w:t xml:space="preserve">25</w:t>
      </w:r>
      <w:r>
        <w:t xml:space="preserve"> </w:t>
      </w:r>
      <w:r>
        <w:t xml:space="preserve">followed by</w:t>
      </w:r>
      <w:r>
        <w:t xml:space="preserve"> </w:t>
      </w:r>
      <w:r>
        <w:t xml:space="preserve">N4 bias correction</w:t>
      </w:r>
      <w:r>
        <w:rPr>
          <w:vertAlign w:val="superscript"/>
        </w:rPr>
        <w:t xml:space="preserve">26</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27</w:t>
      </w:r>
      <w:r>
        <w:t xml:space="preserve">), we found that a simple linear rescaling produced better results similar to previous work</w:t>
      </w:r>
      <w:r>
        <w:rPr>
          <w:vertAlign w:val="superscript"/>
        </w:rP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28</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rPr>
          <w:vertAlign w:val="superscript"/>
        </w:rPr>
        <w:t xml:space="preserve">29</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rPr>
          <w:vertAlign w:val="superscript"/>
        </w:rPr>
        <w:t xml:space="preserve">17</w:t>
      </w:r>
      <w:r>
        <w:t xml:space="preserve"> </w:t>
      </w:r>
      <w:r>
        <w:t xml:space="preserve">created from the public MMRR data set</w:t>
      </w:r>
      <w:r>
        <w:rPr>
          <w:vertAlign w:val="superscript"/>
        </w:rPr>
        <w:t xml:space="preserve">30</w:t>
      </w:r>
      <w:r>
        <w:t xml:space="preserve"> </w:t>
      </w:r>
      <w:r>
        <w:t xml:space="preserve">(cf Figure 3).</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31</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17</w:t>
      </w:r>
      <w:r>
        <w:t xml:space="preserve"> </w:t>
      </w:r>
      <w:r>
        <w:t xml:space="preserve">and listed in Table 1.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rPr>
          <w:vertAlign w:val="superscript"/>
        </w:rPr>
        <w:t xml:space="preserve">32</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rPr>
          <w:vertAlign w:val="superscript"/>
        </w:rPr>
        <w:t xml:space="preserve">33</w:t>
      </w:r>
      <w:r>
        <w:t xml:space="preserve"> </w:t>
      </w:r>
      <w:r>
        <w:rPr>
          <w:vertAlign w:val="superscript"/>
        </w:rPr>
        <w:t xml:space="preserve">34</w:t>
      </w:r>
      <w:r>
        <w:t xml:space="preserve"> </w:t>
      </w:r>
      <w:r>
        <w:rPr>
          <w:vertAlign w:val="superscript"/>
        </w:rPr>
        <w:t xml:space="preserve">35</w:t>
      </w:r>
      <w:r>
        <w:t xml:space="preserve">.</w:t>
      </w:r>
      <w:r>
        <w:t xml:space="preserve"> </w:t>
      </w:r>
    </w:p>
    <w:p>
      <w:pPr>
        <w:pStyle w:val="Heading3"/>
      </w:pPr>
      <w:bookmarkStart w:id="35" w:name="stacked-concatenated-random-forests-for-improved-segmentation-performance"/>
      <w:bookmarkEnd w:id="35"/>
      <w:r>
        <w:t xml:space="preserve">Stacked (concatenated) random forests for improved segmentation performance</w:t>
      </w:r>
    </w:p>
    <w:p>
      <w:pPr>
        <w:pStyle w:val="FirstParagraph"/>
      </w:pPr>
      <w:r>
        <w:t xml:space="preserve">In previous brain tumor segmentation work</w:t>
      </w:r>
      <w:r>
        <w:rPr>
          <w:vertAlign w:val="superscript"/>
        </w:rP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rPr>
          <w:vertAlign w:val="superscript"/>
        </w:rPr>
        <w:t xml:space="preserve">29</w:t>
      </w:r>
      <w:r>
        <w:t xml:space="preserve">.</w:t>
      </w:r>
      <w:r>
        <w:t xml:space="preserve"> </w:t>
      </w:r>
      <w:r>
        <w:t xml:space="preserve"> </w:t>
      </w:r>
      <w:r>
        <w:t xml:space="preserve">The resulting seven posterior probability images constitute a third additional feature image set for Stage 2.</w:t>
      </w:r>
    </w:p>
    <w:p>
      <w:pPr>
        <w:pStyle w:val="Heading3"/>
      </w:pPr>
      <w:bookmarkStart w:id="36" w:name="implementation"/>
      <w:bookmarkEnd w:id="36"/>
      <w:r>
        <w:t xml:space="preserve">Implementation</w:t>
      </w:r>
    </w:p>
    <w:p>
      <w:pPr>
        <w:pStyle w:val="FirstParagraph"/>
      </w:pPr>
      <w:r>
        <w:t xml:space="preserve">As pointed out in a recent comprehensive lesion segmentation review</w:t>
      </w:r>
      <w:r>
        <w:rPr>
          <w:vertAlign w:val="superscript"/>
        </w:rPr>
        <w:t xml:space="preserve">36</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37</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7"/>
      </w:r>
      <w:r>
        <w:t xml:space="preserve"> we plan on creating</w:t>
      </w:r>
      <w:r>
        <w:t xml:space="preserve"> </w:t>
      </w:r>
      <w:r>
        <w:t xml:space="preserve">a self-encapsulated example to showcase the proposed methodology</w:t>
      </w:r>
      <w:r>
        <w:t xml:space="preserve"> </w:t>
      </w:r>
      <w:r>
        <w:rPr>
          <w:rStyle w:val="FootnoteReference"/>
        </w:rPr>
        <w:footnoteReference w:id="39"/>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1" w:name="evaluation-protocol-overview"/>
      <w:bookmarkEnd w:id="41"/>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Heading1"/>
      </w:pPr>
      <w:bookmarkStart w:id="42" w:name="results"/>
      <w:bookmarkEnd w:id="42"/>
      <w:r>
        <w:t xml:space="preserve">Results</w:t>
      </w:r>
    </w:p>
    <w:p>
      <w:pPr>
        <w:pStyle w:val="Heading2"/>
      </w:pPr>
      <w:bookmarkStart w:id="43" w:name="ranking-feature-importance"/>
      <w:bookmarkEnd w:id="43"/>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4 and 5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BodyText"/>
      </w:pPr>
      <w:r>
        <w:t xml:space="preserve">Additionally,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6).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5,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2"/>
      </w:pPr>
      <w:bookmarkStart w:id="44" w:name="white-matter-hyperintensity-segmentation-evaluation"/>
      <w:bookmarkEnd w:id="44"/>
      <w:r>
        <w:t xml:space="preserve">White matter hyperintensity segmentation evaluation</w:t>
      </w:r>
    </w:p>
    <w:p>
      <w:pPr>
        <w:pStyle w:val="FirstParagraph"/>
      </w:pPr>
      <w:r>
        <w:t xml:space="preserve">In Figure 7 are the segmentation comparisons derived from manual segmentations of the same</w:t>
      </w:r>
      <w:r>
        <w:t xml:space="preserve"> </w:t>
      </w:r>
      <w:r>
        <w:t xml:space="preserve">data. Despite the large variability characteristic with manual labelings in related fields</w:t>
      </w:r>
      <w:r>
        <w:rPr>
          <w:vertAlign w:val="superscript"/>
        </w:rPr>
        <w:t xml:space="preserve">36,38,39</w:t>
      </w:r>
      <w:r>
        <w:t xml:space="preserve">, such labelings are characteristic of</w:t>
      </w:r>
      <w:r>
        <w:t xml:space="preserve"> </w:t>
      </w:r>
      <w:r>
        <w:t xml:space="preserve">current clinical practices and the methodology proposed herein is readily adapted to refinements</w:t>
      </w:r>
      <w:r>
        <w:t xml:space="preserve"> </w:t>
      </w:r>
      <w:r>
        <w:t xml:space="preserve">in training data.</w:t>
      </w:r>
    </w:p>
    <w:p>
      <w:pPr>
        <w:pStyle w:val="BodyText"/>
      </w:pPr>
      <w:r>
        <w:t xml:space="preserve">On the left of Figure 7 are the improvement in Dice values</w:t>
      </w:r>
      <w:r>
        <w:rPr>
          <w:vertAlign w:val="superscript"/>
        </w:rPr>
        <w:t xml:space="preserve">40</w:t>
      </w:r>
      <w:r>
        <w:t xml:space="preserve">,</w:t>
      </w:r>
      <w:r>
        <w:t xml:space="preserve"> </w:t>
      </w:r>
      <w:r>
        <w:t xml:space="preserve">over all white matter hyperintensities when comparing the segmentations between the two stages</w:t>
      </w:r>
      <w:r>
        <w:t xml:space="preserve"> </w:t>
      </w:r>
      <w:r>
        <w:t xml:space="preserve">where the sum is taken over all individually labeled manual,</w:t>
      </w:r>
      <w:r>
        <w:t xml:space="preserve"> </w:t>
      </w:r>
      <m:oMath>
        <m:sSub>
          <m:e>
            <m:r>
              <m:rPr/>
              <m:t>T</m:t>
            </m:r>
          </m:e>
          <m:sub>
            <m:r>
              <m:rPr/>
              <m:t>r</m:t>
            </m:r>
          </m:sub>
        </m:sSub>
      </m:oMath>
      <w:r>
        <w:t xml:space="preserve">, and automated,</w:t>
      </w:r>
      <w:r>
        <w:t xml:space="preserve"> </w:t>
      </w:r>
      <m:oMath>
        <m:sSub>
          <m:e>
            <m:r>
              <m:rPr/>
              <m:t>S</m:t>
            </m:r>
          </m:e>
          <m:sub>
            <m:r>
              <m:rPr/>
              <m:t>r</m:t>
            </m:r>
          </m:sub>
        </m:sSub>
      </m:oMath>
      <w:r>
        <w:t xml:space="preserve">, lesions and</w:t>
      </w:r>
      <w:r>
        <w:t xml:space="preserve"> </w:t>
      </w:r>
      <m:oMath>
        <m:r>
          <m:rPr/>
          <m:t>∩</m:t>
        </m:r>
      </m:oMath>
      <w:r>
        <w:t xml:space="preserve"> </w:t>
      </w:r>
      <w:r>
        <w:t xml:space="preserve">represents the intersection between the manual/automated lesion pair. Performing</w:t>
      </w:r>
      <w:r>
        <w:t xml:space="preserve"> </w:t>
      </w:r>
      <w:r>
        <w:t xml:space="preserve">the second round of supervised learning improves these Dice values. One can also note from the</w:t>
      </w:r>
      <w:r>
        <w:t xml:space="preserve"> </w:t>
      </w:r>
      <w:r>
        <w:t xml:space="preserve">right side of Figure 6 that the total lesion load volume illustrates a few subjects that are</w:t>
      </w:r>
      <w:r>
        <w:t xml:space="preserve"> </w:t>
      </w:r>
      <w:r>
        <w:t xml:space="preserve">severe outliers in terms of the number of false positives. The second round helps to</w:t>
      </w:r>
      <w:r>
        <w:t xml:space="preserve"> </w:t>
      </w:r>
      <w:r>
        <w:t xml:space="preserve">correct this issue.</w:t>
      </w:r>
    </w:p>
    <w:p>
      <w:pPr>
        <w:pStyle w:val="Heading1"/>
      </w:pPr>
      <w:bookmarkStart w:id="45" w:name="discussion"/>
      <w:bookmarkEnd w:id="45"/>
      <w:r>
        <w:t xml:space="preserve">Discussion</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 2010</w:t>
      </w:r>
      <w:r>
        <w:rPr>
          <w:vertAlign w:val="superscript"/>
        </w:rPr>
        <w:t xml:space="preserve">41</w:t>
      </w:r>
      <w:r>
        <w:t xml:space="preserve"> </w:t>
      </w:r>
      <w:r>
        <w:t xml:space="preserve">and after</w:t>
      </w:r>
      <w:r>
        <w:rPr>
          <w:vertAlign w:val="superscript"/>
        </w:rPr>
        <w:t xml:space="preserve">42</w:t>
      </w:r>
      <w:r>
        <w:t xml:space="preserve">. The earlier meta-analysis</w:t>
      </w:r>
      <w:r>
        <w:t xml:space="preserve"> </w:t>
      </w:r>
      <w:r>
        <w:t xml:space="preserve">covered 53 longitudinal studies that included samples of high-risk</w:t>
      </w:r>
      <w:r>
        <w:t xml:space="preserve"> </w:t>
      </w:r>
      <w:r>
        <w:t xml:space="preserve">populations, i.e., patients selected for a specific disease or condition</w:t>
      </w:r>
      <w:r>
        <w:t xml:space="preserve"> </w:t>
      </w:r>
      <w:r>
        <w:t xml:space="preserve">such as hypertension, whereas other studies recruited samples of the</w:t>
      </w:r>
      <w:r>
        <w:t xml:space="preserve"> </w:t>
      </w:r>
      <w:r>
        <w:t xml:space="preserve">general population. Longitudinal studies of samples representative of</w:t>
      </w:r>
      <w:r>
        <w:t xml:space="preserve"> </w:t>
      </w:r>
      <w:r>
        <w:t xml:space="preserve">the general population are more relevant to the focus of the present</w:t>
      </w:r>
      <w:r>
        <w:t xml:space="preserve"> </w:t>
      </w:r>
      <w:r>
        <w:t xml:space="preserve">paper. Debette &amp; Markus</w:t>
      </w:r>
      <w:r>
        <w:rPr>
          <w:vertAlign w:val="superscript"/>
        </w:rPr>
        <w:t xml:space="preserve">41</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Limitations of this</w:t>
      </w:r>
      <w:r>
        <w:t xml:space="preserve"> </w:t>
      </w:r>
      <w:r>
        <w:t xml:space="preserve">meta-analysis include heterogeneity in the method of measuring WMHs;</w:t>
      </w:r>
      <w:r>
        <w:t xml:space="preserve"> </w:t>
      </w:r>
      <w:r>
        <w:t xml:space="preserve">some studies used automated volumetric measurement, whereas others used</w:t>
      </w:r>
      <w:r>
        <w:t xml:space="preserve"> </w:t>
      </w:r>
      <w:r>
        <w:t xml:space="preserve">a visual rating scale. The studies analyzed by Debette &amp; Markus were</w:t>
      </w:r>
      <w:r>
        <w:t xml:space="preserve"> </w:t>
      </w:r>
      <w:r>
        <w:t xml:space="preserve">limited to the occurrence of one of the aforementioned conditions which</w:t>
      </w:r>
      <w:r>
        <w:t xml:space="preserve"> </w:t>
      </w:r>
      <w:r>
        <w:t xml:space="preserve">they analyzed by hazard ratios.</w:t>
      </w:r>
    </w:p>
    <w:p>
      <w:pPr>
        <w:pStyle w:val="BodyText"/>
      </w:pPr>
      <w:r>
        <w:t xml:space="preserve">The more recent meta-analysis by Kloppenborg et al.</w:t>
      </w:r>
      <w:r>
        <w:rPr>
          <w:vertAlign w:val="superscript"/>
        </w:rPr>
        <w:t xml:space="preserve">42</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 These studies also</w:t>
      </w:r>
      <w:r>
        <w:t xml:space="preserve"> </w:t>
      </w:r>
      <w:r>
        <w:t xml:space="preserve">differed in the metric used to measure the WMHs, including volume, % of</w:t>
      </w:r>
      <w:r>
        <w:t xml:space="preserve"> </w:t>
      </w:r>
      <w:r>
        <w:t xml:space="preserve">total intracranial volume, and a visual rating score. The effect size</w:t>
      </w:r>
      <w:r>
        <w:t xml:space="preserve"> </w:t>
      </w:r>
      <w:r>
        <w:t xml:space="preserve">for the association with cognitive deficit in these cross-sectional</w:t>
      </w:r>
      <w:r>
        <w:t xml:space="preserve"> </w:t>
      </w:r>
      <w:r>
        <w:t xml:space="preserve">studies did not differ significantly across various cognitive domains or</w:t>
      </w:r>
      <w:r>
        <w:t xml:space="preserve"> </w:t>
      </w:r>
      <w:r>
        <w:t xml:space="preserve">the method of measuring lesion volume. Among eight longitudinal studies</w:t>
      </w:r>
      <w:r>
        <w:t xml:space="preserve"> </w:t>
      </w:r>
      <w:r>
        <w:t xml:space="preserve">analyzed by Kloppenborg et al that included a follow-up MRI and also</w:t>
      </w:r>
      <w:r>
        <w:t xml:space="preserve"> </w:t>
      </w:r>
      <w:r>
        <w:t xml:space="preserve">controlled for age, the effect size for the association of progression</w:t>
      </w:r>
      <w:r>
        <w:t xml:space="preserve"> </w:t>
      </w:r>
      <w:r>
        <w:t xml:space="preserve">in WMHs and cognitive impairment was -0.16 (95% CI:-0.27 to -0.09). This</w:t>
      </w:r>
      <w:r>
        <w:t xml:space="preserve"> </w:t>
      </w:r>
      <w:r>
        <w:t xml:space="preserve">association was stronger for attention and executive function than for</w:t>
      </w:r>
      <w:r>
        <w:t xml:space="preserve"> </w:t>
      </w:r>
      <w:r>
        <w:t xml:space="preserve">memory and processing speed. Although baseline WMHs were predictive of</w:t>
      </w:r>
      <w:r>
        <w:t xml:space="preserve"> </w:t>
      </w:r>
      <w:r>
        <w:t xml:space="preserve">cognitive deficit at follow-up in the seven studies which did not repeat</w:t>
      </w:r>
      <w:r>
        <w:t xml:space="preserve"> </w:t>
      </w:r>
      <w:r>
        <w:t xml:space="preserve">MRI, the effect size was smaller [-0.10 (95% CI: 0.13 to -0.05) than in</w:t>
      </w:r>
      <w:r>
        <w:t xml:space="preserve"> </w:t>
      </w:r>
      <w:r>
        <w:t xml:space="preserve">the longitudinal studies that calculated progression in WMHs. In</w:t>
      </w:r>
      <w:r>
        <w:t xml:space="preserve"> </w:t>
      </w:r>
      <w:r>
        <w:t xml:space="preserve">summary, progression of WMHs seen on repeat MRI has a stronger relation</w:t>
      </w:r>
      <w:r>
        <w:t xml:space="preserve"> </w:t>
      </w:r>
      <w:r>
        <w:t xml:space="preserve">to cognitive deficit than concurrent imaging findings. These</w:t>
      </w:r>
      <w:r>
        <w:t xml:space="preserve"> </w:t>
      </w:r>
      <w:r>
        <w:t xml:space="preserve">meta-analyses support the rationale for repeating an MRI in patients</w:t>
      </w:r>
      <w:r>
        <w:t xml:space="preserve"> </w:t>
      </w:r>
      <w:r>
        <w:t xml:space="preserve">younger than 50 years whose initial scan shows WMHs.</w:t>
      </w:r>
    </w:p>
    <w:p>
      <w:pPr>
        <w:pStyle w:val="BodyText"/>
      </w:pPr>
      <w:r>
        <w:t xml:space="preserve">Despite the</w:t>
      </w:r>
      <w:r>
        <w:t xml:space="preserve"> </w:t>
      </w:r>
      <w:r>
        <w:t xml:space="preserve">above-described associations between WMHs, cognitive decline, increased</w:t>
      </w:r>
      <w:r>
        <w:t xml:space="preserve"> </w:t>
      </w:r>
      <w:r>
        <w:t xml:space="preserve">risk of developing dementia, and mortality, 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r>
        <w:t xml:space="preserve">The currently described tool is just one example of how "supervised</w:t>
      </w:r>
      <w:r>
        <w:t xml:space="preserve"> </w:t>
      </w:r>
      <w:r>
        <w:t xml:space="preserve">learning" algorithms might be applied to aid in the diagnosis of TBI and</w:t>
      </w:r>
      <w:r>
        <w:t xml:space="preserve"> </w:t>
      </w:r>
      <w:r>
        <w:t xml:space="preserve">other disease processes through the specific identification of features</w:t>
      </w:r>
      <w:r>
        <w:t xml:space="preserve"> </w:t>
      </w:r>
      <w:r>
        <w:t xml:space="preserve">predictive of a given disease state. It is an important demonstration of</w:t>
      </w:r>
      <w:r>
        <w:t xml:space="preserve"> </w:t>
      </w:r>
      <w:r>
        <w:t xml:space="preserve">the potential power of these analytical approaches in the rapid but</w:t>
      </w:r>
      <w:r>
        <w:t xml:space="preserve"> </w:t>
      </w:r>
      <w:r>
        <w:t xml:space="preserve">comprehensive mining of information from neuroimaging examinations.</w:t>
      </w:r>
      <w:r>
        <w:t xml:space="preserve"> </w:t>
      </w:r>
      <w:r>
        <w:t xml:space="preserve">Supervised learning algorithms are presently employed across a wide</w:t>
      </w:r>
      <w:r>
        <w:t xml:space="preserve"> </w:t>
      </w:r>
      <w:r>
        <w:t xml:space="preserve">variety of settings for the rapid identification of predictive imaging</w:t>
      </w:r>
      <w:r>
        <w:t xml:space="preserve"> </w:t>
      </w:r>
      <w:r>
        <w:t xml:space="preserve">features</w:t>
      </w:r>
      <w:r>
        <w:rPr>
          <w:vertAlign w:val="superscript"/>
        </w:rPr>
        <w:t xml:space="preserve">43–46</w:t>
      </w:r>
      <w:r>
        <w:t xml:space="preserve">. Automobile</w:t>
      </w:r>
      <w:r>
        <w:t xml:space="preserve"> </w:t>
      </w:r>
      <w:r>
        <w:t xml:space="preserve">manufacturers utilize these types of approaches to equip self-driving</w:t>
      </w:r>
      <w:r>
        <w:t xml:space="preserve"> </w:t>
      </w:r>
      <w:r>
        <w:t xml:space="preserve">vehicles to recognize and respond to unique external surroundings</w:t>
      </w:r>
      <w:r>
        <w:t xml:space="preserve"> </w:t>
      </w:r>
      <w:r>
        <w:t xml:space="preserve">through the identification of visual information sufficiently similar to</w:t>
      </w:r>
      <w:r>
        <w:t xml:space="preserve"> </w:t>
      </w:r>
      <w:r>
        <w:t xml:space="preserve">previously assimilated training data</w:t>
      </w:r>
      <w:r>
        <w:rPr>
          <w:vertAlign w:val="superscript"/>
        </w:rPr>
        <w:t xml:space="preserve">47,48</w:t>
      </w:r>
      <w:r>
        <w:t xml:space="preserve">.</w:t>
      </w:r>
      <w:r>
        <w:t xml:space="preserve"> </w:t>
      </w:r>
      <w:r>
        <w:t xml:space="preserve">Similarly, in the context of the neuroimaging assessments, deep learning</w:t>
      </w:r>
      <w:r>
        <w:t xml:space="preserve"> </w:t>
      </w:r>
      <w:r>
        <w:t xml:space="preserve">approaches may allow for the rapid identification of information</w:t>
      </w:r>
      <w:r>
        <w:t xml:space="preserve"> </w:t>
      </w:r>
      <w:r>
        <w:t xml:space="preserve">predictive of disease state in an individual patient. These approaches</w:t>
      </w:r>
      <w:r>
        <w:t xml:space="preserve"> </w:t>
      </w:r>
      <w:r>
        <w:t xml:space="preserve">have been applied to the segmentation of macroscopically visible</w:t>
      </w:r>
      <w:r>
        <w:t xml:space="preserve"> </w:t>
      </w:r>
      <w:r>
        <w:t xml:space="preserve">structures</w:t>
      </w:r>
      <w:r>
        <w:rPr>
          <w:vertAlign w:val="superscript"/>
        </w:rPr>
        <w:t xml:space="preserve">43–46</w:t>
      </w:r>
      <w:r>
        <w:t xml:space="preserve">.</w:t>
      </w:r>
      <w:r>
        <w:t xml:space="preserve"> </w:t>
      </w:r>
      <w:r>
        <w:t xml:space="preserve">Additionally, these approaches might be applied to the interrogation of</w:t>
      </w:r>
      <w:r>
        <w:t xml:space="preserve"> </w:t>
      </w:r>
      <w:r>
        <w:t xml:space="preserve">imaging data in the individual patient with a primary quantitative</w:t>
      </w:r>
      <w:r>
        <w:t xml:space="preserve"> </w:t>
      </w:r>
      <w:r>
        <w:t xml:space="preserve">output metrics to include sequences such as diffusion tensor imaging</w:t>
      </w:r>
      <w:r>
        <w:t xml:space="preserve"> </w:t>
      </w:r>
      <w:r>
        <w:t xml:space="preserve">(DTI) and its variants, functional connectivity, perfusion weighted</w:t>
      </w:r>
      <w:r>
        <w:t xml:space="preserve"> </w:t>
      </w:r>
      <w:r>
        <w:t xml:space="preserve">imaging, and cortical thickness assessments. At present, these advanced</w:t>
      </w:r>
      <w:r>
        <w:t xml:space="preserve"> </w:t>
      </w:r>
      <w:r>
        <w:t xml:space="preserve">neuroimaging sequences are confined to cohort-based research studies due</w:t>
      </w:r>
      <w:r>
        <w:t xml:space="preserve"> </w:t>
      </w:r>
      <w:r>
        <w:t xml:space="preserve">to the lack of available analytical tools to assess the information in</w:t>
      </w:r>
      <w:r>
        <w:t xml:space="preserve"> </w:t>
      </w:r>
      <w:r>
        <w:t xml:space="preserve">the setting of the individual patient</w:t>
      </w:r>
      <w:r>
        <w:rPr>
          <w:vertAlign w:val="superscript"/>
        </w:rPr>
        <w:t xml:space="preserve">49</w:t>
      </w:r>
      <w:r>
        <w:t xml:space="preserve">. Application of</w:t>
      </w:r>
      <w:r>
        <w:t xml:space="preserve"> </w:t>
      </w:r>
      <w:r>
        <w:t xml:space="preserve">deep learning approaches in the context of data with primary</w:t>
      </w:r>
      <w:r>
        <w:t xml:space="preserve"> </w:t>
      </w:r>
      <w:r>
        <w:t xml:space="preserve">quantitative outputs will require large scale normative and disease</w:t>
      </w:r>
      <w:r>
        <w:t xml:space="preserve"> </w:t>
      </w:r>
      <w:r>
        <w:t xml:space="preserve">specific databases. Building these large scale imaging libraries is</w:t>
      </w:r>
      <w:r>
        <w:t xml:space="preserve"> </w:t>
      </w:r>
      <w:r>
        <w:t xml:space="preserve">resource intensive and requires a multi-center approach with harmonized</w:t>
      </w:r>
      <w:r>
        <w:t xml:space="preserve"> </w:t>
      </w:r>
      <w:r>
        <w:t xml:space="preserve">scanners between sites and correlative non-imaging clinical data. Large</w:t>
      </w:r>
      <w:r>
        <w:t xml:space="preserve"> </w:t>
      </w:r>
      <w:r>
        <w:t xml:space="preserve">scale TBI data is becoming increasingly available through activities</w:t>
      </w:r>
      <w:r>
        <w:t xml:space="preserve"> </w:t>
      </w:r>
      <w:r>
        <w:t xml:space="preserve">such as the Chronic Effects of Neurotrauma Consortium (CENC),</w:t>
      </w:r>
      <w:r>
        <w:t xml:space="preserve"> </w:t>
      </w:r>
      <w:r>
        <w:t xml:space="preserve">Transforming Research and Clinical Knowledge in TBI (TRACK-TBI),</w:t>
      </w:r>
      <w:r>
        <w:t xml:space="preserve"> </w:t>
      </w:r>
      <w:r>
        <w:t xml:space="preserve">Collaborative European Neurotrauma Effectiveness Research in TBI</w:t>
      </w:r>
      <w:r>
        <w:t xml:space="preserve"> </w:t>
      </w:r>
      <w:r>
        <w:t xml:space="preserve">(CENTER-TBI), Department of Defense Alzheimer’s Disease Neuroimaging</w:t>
      </w:r>
      <w:r>
        <w:t xml:space="preserve"> </w:t>
      </w:r>
      <w:r>
        <w:t xml:space="preserve">Initiative (DOD-ADNI), and other data being consolidated through FITBIR.</w:t>
      </w:r>
      <w:r>
        <w:t xml:space="preserve"> </w:t>
      </w:r>
      <w:r>
        <w:t xml:space="preserve">In concert with any available high quality normative neuroimaging data,</w:t>
      </w:r>
      <w:r>
        <w:t xml:space="preserve"> </w:t>
      </w:r>
      <w:r>
        <w:t xml:space="preserve">deep learning algorithms may be well positioned to help transform how</w:t>
      </w:r>
      <w:r>
        <w:t xml:space="preserve"> </w:t>
      </w:r>
      <w:r>
        <w:t xml:space="preserve">neuroimaging is interpreted for the clinical management of patients with</w:t>
      </w:r>
      <w:r>
        <w:t xml:space="preserve"> </w:t>
      </w:r>
      <w:r>
        <w:t xml:space="preserve">this disease process.</w:t>
      </w:r>
    </w:p>
    <w:p>
      <w:pPr>
        <w:pStyle w:val="BodyText"/>
      </w:pPr>
    </w:p>
    <w:p>
      <w:pPr>
        <w:pStyle w:val="Heading2"/>
      </w:pPr>
      <w:bookmarkStart w:id="46" w:name="acknowledgements"/>
      <w:bookmarkEnd w:id="46"/>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7" w:name="declaration-of-interestdisclaimer"/>
      <w:bookmarkEnd w:id="47"/>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48" w:name="references"/>
      <w:bookmarkEnd w:id="48"/>
      <w:r>
        <w:t xml:space="preserve">References</w:t>
      </w:r>
    </w:p>
    <w:p>
      <w:pPr>
        <w:pStyle w:val="Heading1"/>
      </w:pPr>
      <w:bookmarkStart w:id="49" w:name="figure-captions"/>
      <w:bookmarkEnd w:id="49"/>
      <w:r>
        <w:t xml:space="preserve">Figure Captions</w:t>
      </w:r>
    </w:p>
    <w:p>
      <w:pPr>
        <w:pStyle w:val="FirstParagraph"/>
      </w:pPr>
      <w:r>
        <w:rPr>
          <w:b/>
        </w:rPr>
        <w:t xml:space="preserve">Figure X:</w:t>
      </w:r>
      <w:r>
        <w:t xml:space="preserve"> </w:t>
      </w:r>
    </w:p>
    <w:p>
      <w:pPr>
        <w:pStyle w:val="BodyText"/>
      </w:pPr>
      <w:r>
        <w:rPr>
          <w:b/>
        </w:rPr>
        <w:t xml:space="preserve">Figure 1:</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22</w:t>
      </w:r>
      <w:r>
        <w:t xml:space="preserve"> </w:t>
      </w:r>
      <w:r>
        <w:t xml:space="preserve">to the space of the T1 image. The three modality images are then preprocessed</w:t>
      </w:r>
      <w:r>
        <w:t xml:space="preserve"> </w:t>
      </w:r>
      <w:r>
        <w:t xml:space="preserve">(N4 bias correction</w:t>
      </w:r>
      <w:r>
        <w:rPr>
          <w:vertAlign w:val="superscript"/>
        </w:rPr>
        <w:t xml:space="preserve">26</w:t>
      </w:r>
      <w:r>
        <w:t xml:space="preserve"> </w:t>
      </w:r>
      <w:r>
        <w:t xml:space="preserve">and adaptive denoising</w:t>
      </w:r>
      <w:r>
        <w:rPr>
          <w:vertAlign w:val="superscript"/>
        </w:rPr>
        <w:t xml:space="preserve">25</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28</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2:</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3:</w:t>
      </w:r>
      <w:r>
        <w:t xml:space="preserve"> </w:t>
      </w:r>
      <w:r>
        <w:t xml:space="preserve">Canonical views of the mutlivariate, bilaterally symmetric template constructed</w:t>
      </w:r>
      <w:r>
        <w:t xml:space="preserve"> </w:t>
      </w:r>
      <w:r>
        <w:t xml:space="preserve">from the MMRR data set</w:t>
      </w:r>
      <w:r>
        <w:rPr>
          <w:vertAlign w:val="superscript"/>
        </w:rPr>
        <w:t xml:space="preserve">30</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17</w:t>
      </w:r>
      <w:r>
        <w:t xml:space="preserve">. These images are important for specific intensity-based</w:t>
      </w:r>
      <w:r>
        <w:t xml:space="preserve"> </w:t>
      </w:r>
      <w:r>
        <w:t xml:space="preserve">features.</w:t>
      </w:r>
    </w:p>
    <w:p>
      <w:pPr>
        <w:pStyle w:val="BodyText"/>
      </w:pPr>
      <w:r>
        <w:rPr>
          <w:b/>
        </w:rPr>
        <w:t xml:space="preserve">Figure 4:</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5:</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6:</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r>
        <w:rPr>
          <w:b/>
        </w:rPr>
        <w:t xml:space="preserve">Figure 7:</w:t>
      </w:r>
      <w:r>
        <w:t xml:space="preserve"> </w:t>
      </w:r>
      <w:r>
        <w:t xml:space="preserve">Voxelwise comparison with manual delineation of white matter hyperintensities.</w:t>
      </w:r>
      <w:r>
        <w:t xml:space="preserve"> </w:t>
      </w:r>
      <w:r>
        <w:t xml:space="preserve">On the left are the</w:t>
      </w:r>
      <w:r>
        <w:t xml:space="preserve"> </w:t>
      </w:r>
      <w:r>
        <w:t xml:space="preserve">calculated Dice values over all white matter hyperintensities. Note the improvement</w:t>
      </w:r>
      <w:r>
        <w:t xml:space="preserve"> </w:t>
      </w:r>
      <w:r>
        <w:t xml:space="preserve">in the Dice metric from the employment of the Stage 2 component of the processing pipeline.</w:t>
      </w:r>
      <w:r>
        <w:t xml:space="preserve"> </w:t>
      </w:r>
      <w:r>
        <w:t xml:space="preserve">(Right) Similar results can be seen by comparing the total lesion load volume between manual</w:t>
      </w:r>
      <w:r>
        <w:t xml:space="preserve"> </w:t>
      </w:r>
      <w:r>
        <w:t xml:space="preserve">and automated detection strategies. Although some outliers are found after the Stage 2</w:t>
      </w:r>
      <w:r>
        <w:t xml:space="preserve"> </w:t>
      </w:r>
      <w:r>
        <w:t xml:space="preserve">processing in a couple subjects, the number of outliers caused by false positives is</w:t>
      </w:r>
      <w:r>
        <w:t xml:space="preserve"> </w:t>
      </w:r>
      <w:r>
        <w:t xml:space="preserve">decreased significantly with the second stage processing.</w:t>
      </w:r>
    </w:p>
    <w:p>
      <w:pPr>
        <w:pStyle w:val="BodyText"/>
      </w:pP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Breiman L. Random forests. In: Machine learning. 2001. pp. 5–32.</w:t>
      </w:r>
    </w:p>
    <w:p>
      <w:pPr>
        <w:pStyle w:val="Bibliography"/>
      </w:pPr>
      <w:r>
        <w:t xml:space="preserve">10. Yi Z, Criminisi A, Shotton J, Blake A. Discriminative, semantic segmentation of brain tissue in MR images. Med Image Comput Comput Assist Interv. 2009;12(Pt 2):558–65.</w:t>
      </w:r>
    </w:p>
    <w:p>
      <w:pPr>
        <w:pStyle w:val="Bibliography"/>
      </w:pPr>
      <w:r>
        <w:t xml:space="preserve">11. Viola P, Jones M, Snow D. Detecting pedestrians using patterns of motion and appearance. International Journal of Computer Vision. 2005;63:153–161.</w:t>
      </w:r>
    </w:p>
    <w:p>
      <w:pPr>
        <w:pStyle w:val="Bibliography"/>
      </w:pPr>
      <w:r>
        <w:t xml:space="preserve">12. Geremia E, Clatz O, Menze BH, Konukoglu E, Criminisi A, Ayache N. Spatial decision forests for MS lesion segmentation in multi-channel magnetic resonance images. Neuroimage. 2011;57(2):378–90.</w:t>
      </w:r>
    </w:p>
    <w:p>
      <w:pPr>
        <w:pStyle w:val="Bibliography"/>
      </w:pPr>
      <w:r>
        <w:t xml:space="preserve">13. Pustina D, Coslett HB, Turkeltaub PE, Tustison N, Schwartz MF, Avants B. Automated segmentation of chronic stroke lesions using lINDA: Lesion identification with neighborhood data analysis. Hum Brain Mapp. 2016 Jan.</w:t>
      </w:r>
    </w:p>
    <w:p>
      <w:pPr>
        <w:pStyle w:val="Bibliography"/>
      </w:pPr>
      <w:r>
        <w:t xml:space="preserve">14. Geremia E, Menze BH, Ayache N. Spatial decision forests for glioma segmentation in multi-channel MR images. In: Proceedings of MICCAI-BRATS 2012. 2012.</w:t>
      </w:r>
    </w:p>
    <w:p>
      <w:pPr>
        <w:pStyle w:val="Bibliography"/>
      </w:pPr>
      <w:r>
        <w:t xml:space="preserve">15. Bauer S, Fejes T, Slotboom J, Wiest R, Nolte L-P, Reyes M. Segmentation of brain tumor images based on integrated hierarchical classification and regularization. In: Proceedings of MICCAI-BRATS 2012. 2012. pp. 10–13.</w:t>
      </w:r>
    </w:p>
    <w:p>
      <w:pPr>
        <w:pStyle w:val="Bibliography"/>
      </w:pPr>
      <w:r>
        <w:t xml:space="preserve">16.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17.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18. Schapire R. The strength of weak learnability. Machine Learning. 1990;5:197–227.</w:t>
      </w:r>
    </w:p>
    <w:p>
      <w:pPr>
        <w:pStyle w:val="Bibliography"/>
      </w:pPr>
      <w:r>
        <w:t xml:space="preserve">19. Freund Y, Schapire R. A decision-theoretic generalization of on-line learning and an application to boosting. Journal of Computer and System Sciences. 1997;55:119–139.</w:t>
      </w:r>
    </w:p>
    <w:p>
      <w:pPr>
        <w:pStyle w:val="Bibliography"/>
      </w:pPr>
      <w:r>
        <w:t xml:space="preserve">20. Ho TK. Random decision forests. In: Document analysis and recognition, 1995., proceedings of the third international conference on. Vol. 1. 1995. pp. 278–282 vol.1.</w:t>
      </w:r>
    </w:p>
    <w:p>
      <w:pPr>
        <w:pStyle w:val="Bibliography"/>
      </w:pPr>
      <w:r>
        <w:t xml:space="preserve">21. Amit Y, Geman D. Shape quantization and recognition with randomized trees. Neural Computation. 1997;9:1545–1588.</w:t>
      </w:r>
    </w:p>
    <w:p>
      <w:pPr>
        <w:pStyle w:val="Bibliography"/>
      </w:pPr>
      <w:r>
        <w:t xml:space="preserve">22. Avants BB, Tustison NJ, Stauffer M, Song G, Wu B, Gee JC. The Insight ToolKit image registration framework. Front Neuroinform. 2014;8:44.</w:t>
      </w:r>
    </w:p>
    <w:p>
      <w:pPr>
        <w:pStyle w:val="Bibliography"/>
      </w:pPr>
      <w:r>
        <w:t xml:space="preserve">23. Yushkevich PA, Piven J, Hazlett HC, Smith RG, Ho S, Gee JC, Gerig G. User-guided 3D active contour segmentation of anatomical structures: Significantly improved efficiency and reliability. Neuroimage. 2006;31(3):1116–28.</w:t>
      </w:r>
    </w:p>
    <w:p>
      <w:pPr>
        <w:pStyle w:val="Bibliography"/>
      </w:pPr>
      <w:r>
        <w:t xml:space="preserve">24. Neema M, Guss ZD, Stankiewicz JM, Arora A, Healy BC, Bakshi R. Normal findings on brain fluid-attenuated inversion recovery mR images at 3T. AJNR Am J Neuroradiol. 2009;30(5):911–6.</w:t>
      </w:r>
    </w:p>
    <w:p>
      <w:pPr>
        <w:pStyle w:val="Bibliography"/>
      </w:pPr>
      <w:r>
        <w:t xml:space="preserve">25. Manjón JV, Coupé P, Martí-Bonmatí L, Collins DL, Robles M. Adaptive non-local means denoising of mR images with spatially varying noise levels. J Magn Reson Imaging. 2010;31(1):192–203.</w:t>
      </w:r>
    </w:p>
    <w:p>
      <w:pPr>
        <w:pStyle w:val="Bibliography"/>
      </w:pPr>
      <w:r>
        <w:t xml:space="preserve">26. Tustison NJ, Avants BB, Cook PA, Zheng Y, Egan A, Yushkevich PA, Gee JC. N4ITK: Improved N3 bias correction. IEEE Trans Med Imaging. 2010;29(6):1310–20.</w:t>
      </w:r>
    </w:p>
    <w:p>
      <w:pPr>
        <w:pStyle w:val="Bibliography"/>
      </w:pPr>
      <w:r>
        <w:t xml:space="preserve">27. Nyúl LG, Udupa JK, Zhang X. New variants of a method of MRI scale standardization. IEEE Trans Med Imaging. 2000;19(2):143–50.</w:t>
      </w:r>
    </w:p>
    <w:p>
      <w:pPr>
        <w:pStyle w:val="Bibliography"/>
      </w:pPr>
      <w:r>
        <w:t xml:space="preserve">28. Tustison NJ, Cook PA, Klein A, Song G, Das SR, Duda JT, Kandel BM, Strien N van, Stone JR, Gee JC, et al. Large-scale evaluation of aNTs and freeSurfer cortical thickness measurements. Neuroimage. 2014;99:166–79.</w:t>
      </w:r>
    </w:p>
    <w:p>
      <w:pPr>
        <w:pStyle w:val="Bibliography"/>
      </w:pPr>
      <w:r>
        <w:t xml:space="preserve">29.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30. Landman BA, Huang AJ, Gifford A, Vikram DS, Lim IAL, Farrell JAD, Bogovic JA, Hua J, Chen M, Jarso S, et al. Multi-parametric neuroimaging reproducibility: A 3-T resource study. Neuroimage. 2011;54(4):2854–66.</w:t>
      </w:r>
    </w:p>
    <w:p>
      <w:pPr>
        <w:pStyle w:val="Bibliography"/>
      </w:pPr>
      <w:r>
        <w:t xml:space="preserve">31. Menze BH, Jakab A, Bauer S, Kalpathy-Cramer J, Farahani K, Kirby J, Burren Y, Porz N, Slotboom J, Wiest R, et al. The multimodal brain tumor image segmentation benchmark (bRATS). IEEE Trans Med Imaging. 2015;34(10):1993–2024.</w:t>
      </w:r>
    </w:p>
    <w:p>
      <w:pPr>
        <w:pStyle w:val="Bibliography"/>
      </w:pPr>
      <w:r>
        <w:t xml:space="preserve">32.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33. Anbeek P, Vincken KL, Osch MJP van, Bisschops RHC, Grond J van der. Probabilistic segmentation of white matter lesions in mR imaging. Neuroimage. 2004;21(3):1037–44.</w:t>
      </w:r>
    </w:p>
    <w:p>
      <w:pPr>
        <w:pStyle w:val="Bibliography"/>
      </w:pPr>
      <w:r>
        <w:t xml:space="preserve">34. Tustison NJ, Avants BB. Explicit B-spline regularization in diffeomorphic image registration. Front Neuroinform. 2013;7:39.</w:t>
      </w:r>
    </w:p>
    <w:p>
      <w:pPr>
        <w:pStyle w:val="Bibliography"/>
      </w:pPr>
      <w:r>
        <w:t xml:space="preserve">35. Avants BB, Tustison NJ, Song G, Cook PA, Klein A, Gee JC. A reproducible evaluation of ANTs similarity metric performance in brain image registration. Neuroimage. 2011;54(3):2033–44.</w:t>
      </w:r>
    </w:p>
    <w:p>
      <w:pPr>
        <w:pStyle w:val="Bibliography"/>
      </w:pPr>
      <w:r>
        <w:t xml:space="preserve">36.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37. Liaw A, Wiener M. Classification and regression by randomForest. R News. 2002;2/3:18–22.</w:t>
      </w:r>
    </w:p>
    <w:p>
      <w:pPr>
        <w:pStyle w:val="Bibliography"/>
      </w:pPr>
      <w:r>
        <w:t xml:space="preserve">38. Grimaud J, Lai M, Thorpe J, Adeleine P, Wang L, Barker GJ, Plummer DL, Tofts PS, McDonald WI, Miller DH. Quantification of mRI lesion load in multiple sclerosis: A comparison of three computer-assisted techniques. Magn Reson Imaging. 1996;14(5):495–505.</w:t>
      </w:r>
    </w:p>
    <w:p>
      <w:pPr>
        <w:pStyle w:val="Bibliography"/>
      </w:pPr>
      <w:r>
        <w:t xml:space="preserve">39. Styner M, Lee J, Chin B, Chin M, Commowick O, Tran H, Markovic-Plese S, Jewells V, Warfield S, editors. Special Issue on 2008 MICCAI Workshop - MS Lesion Segmentation. MIDAS J; 2008.</w:t>
      </w:r>
    </w:p>
    <w:p>
      <w:pPr>
        <w:pStyle w:val="Bibliography"/>
      </w:pPr>
      <w:r>
        <w:t xml:space="preserve">40. Tustison NJ, Gee JC. Introducing Dice, Jaccard, and other label overlap measures to ITK. Insight Journal. 2009.</w:t>
      </w:r>
    </w:p>
    <w:p>
      <w:pPr>
        <w:pStyle w:val="Bibliography"/>
      </w:pPr>
      <w:r>
        <w:t xml:space="preserve">41. Debette S, Markus HS. The clinical importance of white matter hyperintensities on brain magnetic resonance imaging: Systematic review and meta-analysis. BMJ. 2010;341:c3666.</w:t>
      </w:r>
    </w:p>
    <w:p>
      <w:pPr>
        <w:pStyle w:val="Bibliography"/>
      </w:pPr>
      <w:r>
        <w:t xml:space="preserve">42. Kloppenborg RP, Nederkoorn PJ, Geerlings MI, Berg E van den. Presence and progression of white matter hyperintensities and cognition: A meta-analysis. Neurology. 2014;82(23):2127–38.</w:t>
      </w:r>
    </w:p>
    <w:p>
      <w:pPr>
        <w:pStyle w:val="Bibliography"/>
      </w:pPr>
      <w:r>
        <w:t xml:space="preserve">43. Plis SM, Hjelm DR, Salakhutdinov R, Allen EA, Bockholt HJ, Long JD, Johnson HJ, Paulsen JS, Turner JA, Calhoun VD. Deep learning for neuroimaging: A validation study. Front Neurosci. 2014;8:229.</w:t>
      </w:r>
    </w:p>
    <w:p>
      <w:pPr>
        <w:pStyle w:val="Bibliography"/>
      </w:pPr>
      <w:r>
        <w:t xml:space="preserve">44. Suk H-I, Lee S-W, Shen D, Alzheimer’s Disease Neuroimaging Initiative. Deep sparse multi-task learning for feature selection in alzheimer’s disease diagnosis. Brain Struct Funct. 2015 May.</w:t>
      </w:r>
    </w:p>
    <w:p>
      <w:pPr>
        <w:pStyle w:val="Bibliography"/>
      </w:pPr>
      <w:r>
        <w:t xml:space="preserve">45. Li R, Zhang W, Suk H-I, Wang L, Li J, Shen D, Ji S. Deep learning based imaging data completion for improved brain disease diagnosis. Med Image Comput Comput Assist Interv. 2014;17(Pt 3):305–12.</w:t>
      </w:r>
    </w:p>
    <w:p>
      <w:pPr>
        <w:pStyle w:val="Bibliography"/>
      </w:pPr>
      <w:r>
        <w:t xml:space="preserve">46. Liu S, Liu S, Cai W, Che H, Pujol S, Kikinis R, Feng D, Fulham MJ, ADNI. Multimodal neuroimaging feature learning for multiclass diagnosis of alzheimer’s disease. IEEE Trans Biomed Eng. 2015;62(4):1132–40.</w:t>
      </w:r>
    </w:p>
    <w:p>
      <w:pPr>
        <w:pStyle w:val="Bibliography"/>
      </w:pPr>
      <w:r>
        <w:t xml:space="preserve">47. Hadsell R, Sermanet P, Ben J, Erkan A, Scoffier M, Kavukcuoglu K, Muller U, LeCun Y. Learning long-range vision for autonomous off-road driving. J. Field Robotics. 2009;26(2):120–144.</w:t>
      </w:r>
    </w:p>
    <w:p>
      <w:pPr>
        <w:pStyle w:val="Bibliography"/>
      </w:pPr>
      <w:r>
        <w:t xml:space="preserve">48. Farabet C, Couprie C, Najman L, LeCun Y. Scene parsing with multiscale feature learning, purity trees, and optimal covers. In: Proceedings of the 29th international conference on machine learning, ICML 2012, edinburgh, scotland, uK, june 26 - july 1, 2012. icml.cc / Omnipress; 2012.</w:t>
      </w:r>
    </w:p>
    <w:p>
      <w:pPr>
        <w:pStyle w:val="Bibliography"/>
      </w:pPr>
      <w:r>
        <w:t xml:space="preserve">49. Mayer AR, Bedrick EJ, Ling JM, Toulouse T, Dodd A. Methods for identifying subject-specific abnormalities in neuroimaging data. Hum Brain Mapp. 2014;35(11):5457–70.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7">
    <w:p>
      <w:pPr>
        <w:pStyle w:val="FootnoteText"/>
      </w:pPr>
      <w:r>
        <w:rPr>
          <w:rStyle w:val="FootnoteReference"/>
        </w:rPr>
        <w:footnoteRef/>
      </w:r>
      <w:r>
        <w:t xml:space="preserve"> </w:t>
      </w:r>
      <w:hyperlink r:id="rId38">
        <w:r>
          <w:rPr>
            <w:rStyle w:val="Hyperlink"/>
          </w:rPr>
          <w:t xml:space="preserve">https://github.com/ntustison/ANTsAndArboles</w:t>
        </w:r>
      </w:hyperlink>
    </w:p>
  </w:footnote>
  <w:footnote w:id="39">
    <w:p>
      <w:pPr>
        <w:pStyle w:val="FootnoteText"/>
      </w:pPr>
      <w:r>
        <w:rPr>
          <w:rStyle w:val="FootnoteReference"/>
        </w:rPr>
        <w:footnoteRef/>
      </w:r>
      <w:r>
        <w:t xml:space="preserve"> </w:t>
      </w:r>
      <w:hyperlink r:id="rId40">
        <w:r>
          <w:rPr>
            <w:rStyle w:val="Hyperlink"/>
          </w:rPr>
          <w:t xml:space="preserve">https://github.com/ntustison/WatchMeHyperventilate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17a3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6af0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38" Target="https://github.com/ntustison/ANTsAndArboles" TargetMode="External" /><Relationship Type="http://schemas.openxmlformats.org/officeDocument/2006/relationships/hyperlink" Id="rId40"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38" Target="https://github.com/ntustison/ANTsAndArboles" TargetMode="External" /><Relationship Type="http://schemas.openxmlformats.org/officeDocument/2006/relationships/hyperlink" Id="rId40"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