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32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In this work, we develop a concatenated random forest framework with a tailored feature image set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as open source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investigation of this work is</w:t>
      </w:r>
      <w:r>
        <w:t xml:space="preserve"> </w:t>
      </w:r>
      <w:r>
        <w:t xml:space="preserve">the additional public availability of the TBI cohorts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</w:p>
    <w:p>
      <w:pPr>
        <w:pStyle w:val="Compact"/>
        <w:numPr>
          <w:numId w:val="1001"/>
          <w:ilvl w:val="0"/>
        </w:numPr>
      </w:pPr>
      <w:r>
        <w:t xml:space="preserve">cerebrospinal fluid (label 1),</w:t>
      </w:r>
    </w:p>
    <w:p>
      <w:pPr>
        <w:pStyle w:val="Compact"/>
        <w:numPr>
          <w:numId w:val="1001"/>
          <w:ilvl w:val="0"/>
        </w:numPr>
      </w:pPr>
      <w:r>
        <w:t xml:space="preserve">gray matter (label 2),</w:t>
      </w:r>
    </w:p>
    <w:p>
      <w:pPr>
        <w:pStyle w:val="Compact"/>
        <w:numPr>
          <w:numId w:val="1001"/>
          <w:ilvl w:val="0"/>
        </w:numPr>
      </w:pPr>
      <w:r>
        <w:t xml:space="preserve">white matter (label 3),</w:t>
      </w:r>
    </w:p>
    <w:p>
      <w:pPr>
        <w:pStyle w:val="Compact"/>
        <w:numPr>
          <w:numId w:val="1001"/>
          <w:ilvl w:val="0"/>
        </w:numPr>
      </w:pPr>
      <w:r>
        <w:t xml:space="preserve">deep gray matter (label 4),</w:t>
      </w:r>
    </w:p>
    <w:p>
      <w:pPr>
        <w:pStyle w:val="Compact"/>
        <w:numPr>
          <w:numId w:val="1001"/>
          <w:ilvl w:val="0"/>
        </w:numPr>
      </w:pPr>
      <w:r>
        <w:t xml:space="preserve">brain stem (label 5),</w:t>
      </w:r>
    </w:p>
    <w:p>
      <w:pPr>
        <w:pStyle w:val="Compact"/>
        <w:numPr>
          <w:numId w:val="1001"/>
          <w:ilvl w:val="0"/>
        </w:numPr>
      </w:pPr>
      <w:r>
        <w:t xml:space="preserve">cerebellum (label 6), and</w:t>
      </w:r>
    </w:p>
    <w:p>
      <w:pPr>
        <w:pStyle w:val="Compact"/>
        <w:numPr>
          <w:numId w:val="1001"/>
          <w:ilvl w:val="0"/>
        </w:numPr>
      </w:pPr>
      <w:r>
        <w:t xml:space="preserve">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[27]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[28]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[29]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[30]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[31]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[32]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[33]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3" w:name="stacked-concatenated-random-forests-for-improved-segmentation-performance"/>
      <w:bookmarkEnd w:id="33"/>
      <w:r>
        <w:t xml:space="preserve">Stacked (concatenated)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[15]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[28]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4" w:name="code-and-data-availability"/>
      <w:bookmarkEnd w:id="34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[34]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[15]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Through</w:t>
      </w:r>
      <w:r>
        <w:t xml:space="preserve"> </w:t>
      </w:r>
      <w:r>
        <w:t xml:space="preserve">ANTsR (an add-on toolkit which, in part, bridges ANTs and the R statistical project) we</w:t>
      </w:r>
      <w:r>
        <w:t xml:space="preserve"> </w:t>
      </w:r>
      <w:r>
        <w:t xml:space="preserve">use the</w:t>
      </w:r>
      <w:r>
        <w:t xml:space="preserve"> </w:t>
      </w:r>
      <w:r>
        <w:t xml:space="preserve"> </w:t>
      </w:r>
      <w:r>
        <w:t xml:space="preserve">package</w:t>
      </w:r>
      <w:r>
        <w:t xml:space="preserve"> </w:t>
      </w:r>
      <w:r>
        <w:t xml:space="preserve">[35]</w:t>
      </w:r>
      <w:r>
        <w:t xml:space="preserve"> </w:t>
      </w:r>
      <w:r>
        <w:t xml:space="preserve">using the default settings with</w:t>
      </w:r>
      <w:r>
        <w:t xml:space="preserve"> </w:t>
      </w:r>
      <w:r>
        <w:t xml:space="preserve">2000 trees per model and 500 randomly selected samples per label per image.</w:t>
      </w:r>
    </w:p>
    <w:p>
      <w:pPr>
        <w:pStyle w:val="BodyText"/>
      </w:pPr>
      <w:r>
        <w:t xml:space="preserve">In addition, similar to our previous offering,</w:t>
      </w:r>
      <w:r>
        <w:rPr>
          <w:rStyle w:val="FootnoteReference"/>
        </w:rPr>
        <w:footnoteReference w:id="35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7" w:name="evaluation-protocol-overview"/>
      <w:bookmarkEnd w:id="37"/>
      <w:r>
        <w:t xml:space="preserve">Evaluation protocol overview</w:t>
      </w:r>
    </w:p>
    <w:p>
      <w:pPr>
        <w:pStyle w:val="FirstParagraph"/>
      </w:pPr>
      <w:r>
        <w:t xml:space="preserve">In order to evaluate the protocol described, we perform a leave-one-out evaluation using</w:t>
      </w:r>
      <w:r>
        <w:t xml:space="preserve"> </w:t>
      </w:r>
      <w:r>
        <w:t xml:space="preserve">the data acquired from the 24 subjects described above. The Stage 1 feature images</w:t>
      </w:r>
      <w:r>
        <w:t xml:space="preserve"> </w:t>
      </w:r>
      <w:r>
        <w:t xml:space="preserve">were created for all subjects. The initial brain segmentation of each T1 image and the</w:t>
      </w:r>
      <w:r>
        <w:t xml:space="preserve"> </w:t>
      </w:r>
      <w:r>
        <w:t xml:space="preserve">manual white matter hyperintensity tracings were combined to provide the truth labels</w:t>
      </w:r>
      <w:r>
        <w:t xml:space="preserve"> </w:t>
      </w:r>
      <w:r>
        <w:t xml:space="preserve">for the training data. The truth labels are the seven anatomical regions given above.</w:t>
      </w:r>
    </w:p>
    <w:p>
      <w:pPr>
        <w:pStyle w:val="BodyText"/>
      </w:pPr>
      <w:r>
        <w:t xml:space="preserve">The leave-one-out procedure is as follows:</w:t>
      </w:r>
    </w:p>
    <w:p>
      <w:pPr>
        <w:pStyle w:val="Compact"/>
        <w:numPr>
          <w:numId w:val="1002"/>
          <w:ilvl w:val="0"/>
        </w:numPr>
      </w:pPr>
      <w:r>
        <w:t xml:space="preserve">Create Stage 1 feature images for all 24 subjects.</w:t>
      </w:r>
    </w:p>
    <w:p>
      <w:pPr>
        <w:pStyle w:val="Compact"/>
        <w:numPr>
          <w:numId w:val="1002"/>
          <w:ilvl w:val="0"/>
        </w:numPr>
      </w:pPr>
      <w:r>
        <w:t xml:space="preserve">For each of the 24 subjects:</w:t>
      </w:r>
    </w:p>
    <w:p>
      <w:pPr>
        <w:pStyle w:val="Compact"/>
        <w:numPr>
          <w:numId w:val="1003"/>
          <w:ilvl w:val="1"/>
        </w:numPr>
      </w:pPr>
      <w:r>
        <w:t xml:space="preserve">sequester the current subject and corresponding feature images.</w:t>
      </w:r>
    </w:p>
    <w:p>
      <w:pPr>
        <w:pStyle w:val="Compact"/>
        <w:numPr>
          <w:numId w:val="1003"/>
          <w:ilvl w:val="1"/>
        </w:numPr>
      </w:pPr>
      <w:r>
        <w:t xml:space="preserve">construct the Stage 1 random forest model from the remaining 23 subjects.</w:t>
      </w:r>
    </w:p>
    <w:p>
      <w:pPr>
        <w:pStyle w:val="Compact"/>
        <w:numPr>
          <w:numId w:val="1003"/>
          <w:ilvl w:val="1"/>
        </w:numPr>
      </w:pPr>
      <w:r>
        <w:t xml:space="preserve">apply the Stage 1 random forest model to the feature images of the 23 training subjects.</w:t>
      </w:r>
    </w:p>
    <w:p>
      <w:pPr>
        <w:pStyle w:val="Compact"/>
        <w:numPr>
          <w:numId w:val="1003"/>
          <w:ilvl w:val="1"/>
        </w:numPr>
      </w:pPr>
      <w:r>
        <w:t xml:space="preserve">the previous step produces the Stage 1 voting maps for all seven labels.</w:t>
      </w:r>
    </w:p>
    <w:p>
      <w:pPr>
        <w:pStyle w:val="Compact"/>
        <w:numPr>
          <w:numId w:val="1003"/>
          <w:ilvl w:val="1"/>
        </w:numPr>
      </w:pPr>
      <w:r>
        <w:t xml:space="preserve">for each of the 23 subjects, perform a Bayesian-based segmentation with an MRF spatial</w:t>
      </w:r>
      <w:r>
        <w:t xml:space="preserve"> </w:t>
      </w:r>
      <w:r>
        <w:t xml:space="preserve">prior using the seven voting maps are used as additional tissue priors.</w:t>
      </w:r>
    </w:p>
    <w:p>
      <w:pPr>
        <w:pStyle w:val="Compact"/>
        <w:numPr>
          <w:numId w:val="1003"/>
          <w:ilvl w:val="1"/>
        </w:numPr>
      </w:pPr>
      <w:r>
        <w:t xml:space="preserve">construct the Stage 2 random forest model from all the Stage 1 feature images,</w:t>
      </w:r>
      <w:r>
        <w:t xml:space="preserve"> </w:t>
      </w:r>
      <w:r>
        <w:t xml:space="preserve">seven voting maps, and seven posterior probability maps from the previous step.</w:t>
      </w:r>
    </w:p>
    <w:p>
      <w:pPr>
        <w:pStyle w:val="Compact"/>
        <w:numPr>
          <w:numId w:val="1003"/>
          <w:ilvl w:val="1"/>
        </w:numPr>
      </w:pPr>
      <w:r>
        <w:t xml:space="preserve">send the sequestered subject through the random forest models for both stages.</w:t>
      </w:r>
    </w:p>
    <w:p>
      <w:pPr>
        <w:pStyle w:val="Compact"/>
        <w:numPr>
          <w:numId w:val="1003"/>
          <w:ilvl w:val="1"/>
        </w:numPr>
      </w:pPr>
      <w:r>
        <w:t xml:space="preserve">compare the final results with the manually-defined white matter hyperintensity</w:t>
      </w:r>
      <w:r>
        <w:t xml:space="preserve"> </w:t>
      </w:r>
      <w:r>
        <w:t xml:space="preserve">regions.</w:t>
      </w:r>
    </w:p>
    <w:p>
      <w:pPr>
        <w:pStyle w:val="Heading1"/>
      </w:pPr>
      <w:bookmarkStart w:id="38" w:name="results"/>
      <w:bookmarkEnd w:id="38"/>
      <w:r>
        <w:t xml:space="preserve">Results</w:t>
      </w:r>
    </w:p>
    <w:p>
      <w:pPr>
        <w:pStyle w:val="Heading2"/>
      </w:pPr>
      <w:bookmarkStart w:id="39" w:name="ranking-feature-importance"/>
      <w:bookmarkEnd w:id="39"/>
      <w:r>
        <w:t xml:space="preserve">Ranking feature importance</w:t>
      </w:r>
    </w:p>
    <w:p>
      <w:pPr>
        <w:pStyle w:val="FirstParagraph"/>
      </w:pPr>
      <w:r>
        <w:t xml:space="preserve">After performing the leave-one-out evaluation described at the end of the previous section,</w:t>
      </w:r>
      <w:r>
        <w:t xml:space="preserve"> </w:t>
      </w:r>
      <w:r>
        <w:t xml:space="preserve">we calculated the</w:t>
      </w:r>
      <w:r>
        <w:t xml:space="preserve"> </w:t>
      </w:r>
      <w:r>
        <w:t xml:space="preserve"> </w:t>
      </w:r>
      <w:r>
        <w:t xml:space="preserve">feature values for each of the 24 subjects</w:t>
      </w:r>
      <w:r>
        <w:t xml:space="preserve"> </w:t>
      </w:r>
      <m:oMath>
        <m:r>
          <m:rPr/>
          <m:t>×</m:t>
        </m:r>
      </m:oMath>
      <w:r>
        <w:t xml:space="preserve"> </w:t>
      </w:r>
      <w:r>
        <w:t xml:space="preserve">2 models per subject</w:t>
      </w:r>
      <w:r>
        <w:t xml:space="preserve"> </w:t>
      </w:r>
      <m:oMath>
        <m:r>
          <m:rPr/>
          <m:t>=</m:t>
        </m:r>
        <m:r>
          <m:rPr/>
          <m:t>48</m:t>
        </m:r>
      </m:oMath>
      <w:r>
        <w:t xml:space="preserve"> </w:t>
      </w:r>
      <w:r>
        <w:t xml:space="preserve">total models. This measure (per feature, per model) is calculated</w:t>
      </w:r>
      <w:r>
        <w:t xml:space="preserve"> </w:t>
      </w:r>
      <w:r>
        <w:t xml:space="preserve">during the out-of-bag phase of the random forest model construction and quantifies the decrease</w:t>
      </w:r>
      <w:r>
        <w:t xml:space="preserve"> </w:t>
      </w:r>
      <w:r>
        <w:t xml:space="preserve">in prediction accuracy from omitting the specified feature. In other words, this quantity</w:t>
      </w:r>
      <w:r>
        <w:t xml:space="preserve"> </w:t>
      </w:r>
      <w:r>
        <w:t xml:space="preserve">helps determine the importance of a particular feature and, although we save such</w:t>
      </w:r>
      <w:r>
        <w:t xml:space="preserve"> </w:t>
      </w:r>
      <w:r>
        <w:t xml:space="preserve">efforts for future work, this information provides us with guidance for future feature</w:t>
      </w:r>
      <w:r>
        <w:t xml:space="preserve"> </w:t>
      </w:r>
      <w:r>
        <w:t xml:space="preserve">pruning and/or additions.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horizontal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The resulting rankings for both Stages are given in Figure 2 where the values for the</w:t>
      </w:r>
      <w:r>
        <w:t xml:space="preserve"> </w:t>
      </w:r>
      <w:r>
        <w:t xml:space="preserve">separate stages are averaged over the entire corresponding model set. In addition, we</w:t>
      </w:r>
      <w:r>
        <w:t xml:space="preserve"> </w:t>
      </w:r>
      <w:r>
        <w:t xml:space="preserve">track the variance for each feature over all models to illustrate the stability of</w:t>
      </w:r>
      <w:r>
        <w:t xml:space="preserve"> </w:t>
      </w:r>
      <w:r>
        <w:t xml:space="preserve">the chosen features during the evaluation. This latter information is illustrated as</w:t>
      </w:r>
      <w:r>
        <w:t xml:space="preserve"> </w:t>
      </w:r>
      <w:r>
        <w:t xml:space="preserve">horizontal errors bars providing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).</w:t>
      </w:r>
      <w:r>
        <w:t xml:space="preserve"> </w:t>
      </w:r>
      <w:r>
        <w:t xml:space="preserve">Note that the reader can cross reference Table 1 for identifying corresponding feature types</w:t>
      </w:r>
      <w:r>
        <w:t xml:space="preserve"> </w:t>
      </w:r>
      <w:r>
        <w:t xml:space="preserve">and names.</w:t>
      </w:r>
    </w:p>
    <w:p>
      <w:pPr>
        <w:pStyle w:val="BodyText"/>
      </w:pPr>
      <w:r>
        <w:t xml:space="preserve">One can also use these measurements as a type of sanity check. For example, from the Stage</w:t>
      </w:r>
      <w:r>
        <w:t xml:space="preserve"> </w:t>
      </w:r>
      <w:r>
        <w:t xml:space="preserve">1 plot, one can see that the</w:t>
      </w:r>
      <w:r>
        <w:t xml:space="preserve"> </w:t>
      </w:r>
      <w:r>
        <w:t xml:space="preserve"> </w:t>
      </w:r>
      <w:r>
        <w:t xml:space="preserve">values for the location indices in the</w:t>
      </w:r>
      <w:r>
        <w:t xml:space="preserve"> </w:t>
      </w:r>
      <w:r>
        <w:t xml:space="preserve">anterior-posterior direction (i.e.,</w:t>
      </w:r>
      <w:r>
        <w:t xml:space="preserve"> </w:t>
      </w:r>
      <w:r>
        <w:t xml:space="preserve">) are greater than</w:t>
      </w:r>
      <w:r>
        <w:t xml:space="preserve"> </w:t>
      </w:r>
      <w:r>
        <w:t xml:space="preserve">those for either the inferior-superior (i.e.,</w:t>
      </w:r>
      <w:r>
        <w:t xml:space="preserve"> </w:t>
      </w:r>
      <w:r>
        <w:t xml:space="preserve">) or the</w:t>
      </w:r>
      <w:r>
        <w:t xml:space="preserve"> </w:t>
      </w:r>
      <w:r>
        <w:t xml:space="preserve">left-right (i.e.,</w:t>
      </w:r>
      <w:r>
        <w:t xml:space="preserve"> </w:t>
      </w:r>
      <w:r>
        <w:t xml:space="preserve">) directions in the space of the symmetric</w:t>
      </w:r>
      <w:r>
        <w:t xml:space="preserve"> </w:t>
      </w:r>
      <w:r>
        <w:t xml:space="preserve">template. This is intuitive since, as discussed previously, manifestation of TBI white</w:t>
      </w:r>
      <w:r>
        <w:t xml:space="preserve"> </w:t>
      </w:r>
      <w:r>
        <w:t xml:space="preserve">matter hyperintensities can often be confused with higher intensities at the</w:t>
      </w:r>
      <w:r>
        <w:t xml:space="preserve"> </w:t>
      </w:r>
      <w:r>
        <w:t xml:space="preserve">periventricular caps in normal subjects</w:t>
      </w:r>
      <w:r>
        <w:t xml:space="preserve"> </w:t>
      </w:r>
      <w:r>
        <w:t xml:space="preserve">[21]</w:t>
      </w:r>
      <w:r>
        <w:t xml:space="preserve"> </w:t>
      </w:r>
      <w:r>
        <w:t xml:space="preserve">whereas there does not seem to</w:t>
      </w:r>
      <w:r>
        <w:t xml:space="preserve"> </w:t>
      </w:r>
      <w:r>
        <w:t xml:space="preserve">be contralateral bias in manifestation of white matter hyperintensities in TBI</w:t>
      </w:r>
      <w:r>
        <w:t xml:space="preserve"> 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.</w:t>
      </w:r>
    </w:p>
    <w:p>
      <w:pPr>
        <w:pStyle w:val="BodyText"/>
      </w:pPr>
      <w:r>
        <w:t xml:space="preserve">Additionally, it is interesting to note some of the other top performing features for Stage 1.</w:t>
      </w:r>
      <w:r>
        <w:t xml:space="preserve"> </w:t>
      </w:r>
      <w:r>
        <w:t xml:space="preserve">The contralateral difference FLAIR image is highly discriminative over the set of</w:t>
      </w:r>
      <w:r>
        <w:t xml:space="preserve"> </w:t>
      </w:r>
      <w:r>
        <w:t xml:space="preserve">evaluation random forest models. This accords with the known clinical relevance of</w:t>
      </w:r>
      <w:r>
        <w:t xml:space="preserve"> </w:t>
      </w:r>
      <w:r>
        <w:t xml:space="preserve">FLAIR images for identifying white matter hyperintensities and the fact that such</w:t>
      </w:r>
      <w:r>
        <w:t xml:space="preserve"> </w:t>
      </w:r>
      <w:r>
        <w:t xml:space="preserve">pathology does not manifest symmetrically in both hemispheres. Interestingly, the</w:t>
      </w:r>
      <w:r>
        <w:t xml:space="preserve"> </w:t>
      </w:r>
      <w:r>
        <w:t xml:space="preserve">posterior maps for the deep gray matter are extremely important for accurate white matter</w:t>
      </w:r>
      <w:r>
        <w:t xml:space="preserve"> </w:t>
      </w:r>
      <w:r>
        <w:t xml:space="preserve">hyperintensity segmentation.</w:t>
      </w:r>
      <w:r>
        <w:t xml:space="preserve"> </w:t>
      </w:r>
      <w:r>
        <w:t xml:space="preserve">. Inspection of the bottom of the</w:t>
      </w:r>
      <w:r>
        <w:t xml:space="preserve"> </w:t>
      </w:r>
      <w:r>
        <w:t xml:space="preserve">plots demonstrates the lack of discriminating features associated with the</w:t>
      </w:r>
      <w:r>
        <w:t xml:space="preserve"> </w:t>
      </w:r>
      <w:r>
        <w:t xml:space="preserve">T1 image which is also well-known in the clinical literature.</w:t>
      </w:r>
    </w:p>
    <w:p>
      <w:pPr>
        <w:pStyle w:val="BodyText"/>
      </w:pPr>
      <w:r>
        <w:t xml:space="preserve">As described earlier, for Stage 2, we used the output random forest voting maps from Stage</w:t>
      </w:r>
      <w:r>
        <w:t xml:space="preserve"> </w:t>
      </w:r>
      <w:r>
        <w:t xml:space="preserve">1 as both features themselves and as priors for input to a Bayesian-based segmentation with</w:t>
      </w:r>
      <w:r>
        <w:t xml:space="preserve"> </w:t>
      </w:r>
      <w:r>
        <w:t xml:space="preserve">an additional MRF spatial prior. In Figure 2, the voting maps are labeled as</w:t>
      </w:r>
      <w:r>
        <w:t xml:space="preserve"> </w:t>
      </w:r>
      <w:r>
        <w:t xml:space="preserve">"</w:t>
      </w:r>
      <w:r>
        <w:t xml:space="preserve">" where the final numeral is associated with the brain</w:t>
      </w:r>
      <w:r>
        <w:t xml:space="preserve"> </w:t>
      </w:r>
      <w:r>
        <w:t xml:space="preserve">parenchymal labeling given previously. Similarly, the additional RF prior segmentation</w:t>
      </w:r>
      <w:r>
        <w:t xml:space="preserve"> </w:t>
      </w:r>
      <w:r>
        <w:t xml:space="preserve">feature probability maps are labeled as "</w:t>
      </w:r>
      <w:r>
        <w:t xml:space="preserve">".</w:t>
      </w:r>
      <w:r>
        <w:t xml:space="preserve"> </w:t>
      </w:r>
      <w:r>
        <w:t xml:space="preserve">The Stage 2 feature importance plot follows similar</w:t>
      </w:r>
      <w:r>
        <w:t xml:space="preserve"> </w:t>
      </w:r>
      <w:r>
        <w:t xml:space="preserve">trends as that for Stage 1 with the T1 images not contributing much to the identification</w:t>
      </w:r>
      <w:r>
        <w:t xml:space="preserve"> </w:t>
      </w:r>
      <w:r>
        <w:t xml:space="preserve">of white matter hyperintensity voxels. The initial voting maps from Stage 1 are extremely</w:t>
      </w:r>
      <w:r>
        <w:t xml:space="preserve"> </w:t>
      </w:r>
      <w:r>
        <w:t xml:space="preserve">important with the top 3 being the estimated locations of the 1) gray matter, 2) white matter, and</w:t>
      </w:r>
      <w:r>
        <w:t xml:space="preserve"> </w:t>
      </w:r>
      <w:r>
        <w:t xml:space="preserve">3) white matter hyperintensities. Since these tissue type can be conflated based on intensity</w:t>
      </w:r>
      <w:r>
        <w:t xml:space="preserve"> </w:t>
      </w:r>
      <w:r>
        <w:t xml:space="preserve">alone it is intuitive that such features would be important.</w:t>
      </w:r>
    </w:p>
    <w:p>
      <w:pPr>
        <w:pStyle w:val="Heading2"/>
      </w:pPr>
      <w:bookmarkStart w:id="41" w:name="white-matter-hyperintensity-segmentation-evaluation"/>
      <w:bookmarkEnd w:id="41"/>
      <w:r>
        <w:t xml:space="preserve">White matter hyperintensity segmentation evaluation</w:t>
      </w:r>
    </w:p>
    <w:p>
      <w:pPr>
        <w:pStyle w:val="FirstParagraph"/>
      </w:pPr>
      <w:r>
        <w:t xml:space="preserve">In Figure 3 are the segmentation comparisons derived from manual segmentations of the same</w:t>
      </w:r>
      <w:r>
        <w:t xml:space="preserve"> </w:t>
      </w:r>
      <w:r>
        <w:t xml:space="preserve">data. Despite the large variability characteristic with manual labelings in related fields</w:t>
      </w:r>
      <w:r>
        <w:t xml:space="preserve"> </w:t>
      </w:r>
      <w:r>
        <w:t xml:space="preserve">[</w:t>
      </w:r>
      <w:r>
        <w:t xml:space="preserve">[36]</w:t>
      </w:r>
      <w:hyperlink r:id="rId42">
        <w:r>
          <w:rPr>
            <w:rStyle w:val="Hyperlink"/>
          </w:rPr>
          <w:t xml:space="preserve">;styner2008;@Garcia-Lorenzo</w:t>
        </w:r>
      </w:hyperlink>
      <w:r>
        <w:t xml:space="preserve">:2013aa], such labelings are characteristic of</w:t>
      </w:r>
      <w:r>
        <w:t xml:space="preserve"> </w:t>
      </w:r>
      <w:r>
        <w:t xml:space="preserve">current clinical practices and the methodology proposed herein is readily adapted to refinements</w:t>
      </w:r>
      <w:r>
        <w:t xml:space="preserve"> </w:t>
      </w:r>
      <w:r>
        <w:t xml:space="preserve">in training data. On the left of Figure 3 are the improvement in Dice values over all white</w:t>
      </w:r>
      <w:r>
        <w:t xml:space="preserve"> </w:t>
      </w:r>
      <w:r>
        <w:t xml:space="preserve">matter hyperintensities when comparing the segmentations between the two stages. Performing</w:t>
      </w:r>
      <w:r>
        <w:t xml:space="preserve"> </w:t>
      </w:r>
      <w:r>
        <w:t xml:space="preserve">the second round of supervised learning improves Dice values. One can also note from the</w:t>
      </w:r>
      <w:r>
        <w:t xml:space="preserve"> </w:t>
      </w:r>
      <w:r>
        <w:t xml:space="preserve">right side of Figure 3 that the total lesion load volume illustrates a few subjects that are</w:t>
      </w:r>
      <w:r>
        <w:t xml:space="preserve"> </w:t>
      </w:r>
      <w:r>
        <w:t xml:space="preserve">severe outliers in terms of the number of false positives. The second round helps to</w:t>
      </w:r>
      <w:r>
        <w:t xml:space="preserve"> </w:t>
      </w:r>
      <w:r>
        <w:t xml:space="preserve">correct this issue.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llvAndD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Comparison with manual delineation of white matter hyperintensities. On the left are the</w:t>
      </w:r>
      <w:r>
        <w:t xml:space="preserve"> </w:t>
      </w:r>
      <w:r>
        <w:t xml:space="preserve">calculate Dice values over all white matter hyperintensities. Note the improvement</w:t>
      </w:r>
      <w:r>
        <w:t xml:space="preserve"> </w:t>
      </w:r>
      <w:r>
        <w:t xml:space="preserve">in the Dice metric from the employment of the Stage 2 component of the processing pipeline.</w:t>
      </w:r>
      <w:r>
        <w:t xml:space="preserve"> </w:t>
      </w:r>
      <w:r>
        <w:t xml:space="preserve">(Right) Similar results can be seen by comparing the total lesion load volume between manual</w:t>
      </w:r>
      <w:r>
        <w:t xml:space="preserve"> </w:t>
      </w:r>
      <w:r>
        <w:t xml:space="preserve">and automated detection strategies. Although some outliers are found after the Stage 2</w:t>
      </w:r>
      <w:r>
        <w:t xml:space="preserve"> </w:t>
      </w:r>
      <w:r>
        <w:t xml:space="preserve">processing in a couple subjects, the number of outliers caused by false positives is</w:t>
      </w:r>
      <w:r>
        <w:t xml:space="preserve"> </w:t>
      </w:r>
      <w:r>
        <w:t xml:space="preserve">significantly with the second stage processing.</w:t>
      </w:r>
    </w:p>
    <w:p>
      <w:pPr>
        <w:pStyle w:val="BodyText"/>
      </w:pPr>
    </w:p>
    <w:p>
      <w:pPr>
        <w:pStyle w:val="Heading1"/>
      </w:pPr>
      <w:bookmarkStart w:id="44" w:name="references"/>
      <w:bookmarkEnd w:id="44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5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6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7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8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49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50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51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 ANTsR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13, no. 2 (2015): 209–25. doi:</w:t>
      </w:r>
      <w:hyperlink r:id="rId52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53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4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5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6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7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8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59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60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61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28.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62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29.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63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30.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4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31.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5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32.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6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33.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7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34.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8">
        <w:r>
          <w:rPr>
            <w:rStyle w:val="Hyperlink"/>
          </w:rPr>
          <w:t xml:space="preserve">10.1016/j.media.2012.09.004</w:t>
        </w:r>
      </w:hyperlink>
    </w:p>
    <w:p>
      <w:pPr>
        <w:pStyle w:val="Bibliography"/>
      </w:pPr>
      <w:r>
        <w:t xml:space="preserve">35. Liaw, A. and Wiener, M. “</w:t>
      </w:r>
      <w:r>
        <w:rPr>
          <w:b/>
        </w:rPr>
        <w:t xml:space="preserve">Classification and Regression by randomForest</w:t>
      </w:r>
      <w:r>
        <w:t xml:space="preserve">”</w:t>
      </w:r>
      <w:r>
        <w:t xml:space="preserve"> </w:t>
      </w:r>
      <w:r>
        <w:rPr>
          <w:i/>
        </w:rPr>
        <w:t xml:space="preserve">R News</w:t>
      </w:r>
      <w:r>
        <w:t xml:space="preserve"> </w:t>
      </w:r>
      <w:r>
        <w:t xml:space="preserve">2/3, (2002): 18–22.</w:t>
      </w:r>
      <w:r>
        <w:t xml:space="preserve"> </w:t>
      </w:r>
    </w:p>
    <w:p>
      <w:pPr>
        <w:pStyle w:val="Bibliography"/>
      </w:pPr>
      <w:r>
        <w:t xml:space="preserve">36. Grimaud, J., Lai, M., Thorpe, J., Adeleine, P., Wang, L., Barker, G. J., Plummer, D. L., Tofts, P. S., McDonald, W. I., and Miller, D. H. “</w:t>
      </w:r>
      <w:r>
        <w:rPr>
          <w:b/>
        </w:rPr>
        <w:t xml:space="preserve">Quantification of MRI Lesion Load in Multiple Sclerosis: A Comparison of Three Computer-Assisted Techniques</w:t>
      </w:r>
      <w:r>
        <w:t xml:space="preserve">”</w:t>
      </w:r>
      <w:r>
        <w:t xml:space="preserve"> </w:t>
      </w:r>
      <w:r>
        <w:rPr>
          <w:i/>
        </w:rPr>
        <w:t xml:space="preserve">Magn Reson Imaging</w:t>
      </w:r>
      <w:r>
        <w:t xml:space="preserve"> </w:t>
      </w:r>
      <w:r>
        <w:t xml:space="preserve">14, no. 5 (1996): 495–505.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6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aeca4c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e2f3e2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image" Id="rId43" Target="media/rId43.png" /><Relationship Type="http://schemas.openxmlformats.org/officeDocument/2006/relationships/hyperlink" Id="rId45" Target="http://mlmi2015.web.unc.edu" TargetMode="External" /><Relationship Type="http://schemas.openxmlformats.org/officeDocument/2006/relationships/hyperlink" Id="rId49" Target="http://www.scipy.org/" TargetMode="External" /><Relationship Type="http://schemas.openxmlformats.org/officeDocument/2006/relationships/hyperlink" Id="rId51" Target="https://doi.org/10.1002/hbm.23110" TargetMode="External" /><Relationship Type="http://schemas.openxmlformats.org/officeDocument/2006/relationships/hyperlink" Id="rId58" Target="https://doi.org/10.1002/jmri.22003" TargetMode="External" /><Relationship Type="http://schemas.openxmlformats.org/officeDocument/2006/relationships/hyperlink" Id="rId48" Target="https://doi.org/10.1007/s11682-013-9255-y" TargetMode="External" /><Relationship Type="http://schemas.openxmlformats.org/officeDocument/2006/relationships/hyperlink" Id="rId62" Target="https://doi.org/10.1007/s12021-011-9109-y" TargetMode="External" /><Relationship Type="http://schemas.openxmlformats.org/officeDocument/2006/relationships/hyperlink" Id="rId52" Target="https://doi.org/10.1007/s12021-014-9245-2" TargetMode="External" /><Relationship Type="http://schemas.openxmlformats.org/officeDocument/2006/relationships/hyperlink" Id="rId68" Target="https://doi.org/10.1016/j.media.2012.09.004" TargetMode="External" /><Relationship Type="http://schemas.openxmlformats.org/officeDocument/2006/relationships/hyperlink" Id="rId46" Target="https://doi.org/10.1016/j.media.2014.04.006" TargetMode="External" /><Relationship Type="http://schemas.openxmlformats.org/officeDocument/2006/relationships/hyperlink" Id="rId67" Target="https://doi.org/10.1016/j.neuroimage.2003.10.012" TargetMode="External" /><Relationship Type="http://schemas.openxmlformats.org/officeDocument/2006/relationships/hyperlink" Id="rId61" Target="https://doi.org/10.1016/j.neuroimage.2006.01.015" TargetMode="External" /><Relationship Type="http://schemas.openxmlformats.org/officeDocument/2006/relationships/hyperlink" Id="rId66" Target="https://doi.org/10.1016/j.neuroimage.2010.09.025" TargetMode="External" /><Relationship Type="http://schemas.openxmlformats.org/officeDocument/2006/relationships/hyperlink" Id="rId63" Target="https://doi.org/10.1016/j.neuroimage.2010.11.047" TargetMode="External" /><Relationship Type="http://schemas.openxmlformats.org/officeDocument/2006/relationships/hyperlink" Id="rId50" Target="https://doi.org/10.1016/j.neuroimage.2011.03.080" TargetMode="External" /><Relationship Type="http://schemas.openxmlformats.org/officeDocument/2006/relationships/hyperlink" Id="rId47" Target="https://doi.org/10.1016/j.neuroimage.2013.06.033" TargetMode="External" /><Relationship Type="http://schemas.openxmlformats.org/officeDocument/2006/relationships/hyperlink" Id="rId59" Target="https://doi.org/10.1016/j.neuroimage.2014.05.044" TargetMode="External" /><Relationship Type="http://schemas.openxmlformats.org/officeDocument/2006/relationships/hyperlink" Id="rId60" Target="https://doi.org/10.1109/42.836373" TargetMode="External" /><Relationship Type="http://schemas.openxmlformats.org/officeDocument/2006/relationships/hyperlink" Id="rId54" Target="https://doi.org/10.1109/ICDAR.1995.598994" TargetMode="External" /><Relationship Type="http://schemas.openxmlformats.org/officeDocument/2006/relationships/hyperlink" Id="rId57" Target="https://doi.org/10.1109/TMI.2010.2046908" TargetMode="External" /><Relationship Type="http://schemas.openxmlformats.org/officeDocument/2006/relationships/hyperlink" Id="rId53" Target="https://doi.org/10.1109/TMI.2014.2377694" TargetMode="External" /><Relationship Type="http://schemas.openxmlformats.org/officeDocument/2006/relationships/hyperlink" Id="rId64" Target="https://doi.org/10.1109/TPAMI.2003.1177156" TargetMode="External" /><Relationship Type="http://schemas.openxmlformats.org/officeDocument/2006/relationships/hyperlink" Id="rId55" Target="https://doi.org/10.3174/ajnr.A1514" TargetMode="External" /><Relationship Type="http://schemas.openxmlformats.org/officeDocument/2006/relationships/hyperlink" Id="rId65" Target="https://doi.org/10.3389/fninf.2013.00039" TargetMode="External" /><Relationship Type="http://schemas.openxmlformats.org/officeDocument/2006/relationships/hyperlink" Id="rId56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2" Target="mailto:;styner2008;@Garcia-Lorenzo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5" Target="http://mlmi2015.web.unc.edu" TargetMode="External" /><Relationship Type="http://schemas.openxmlformats.org/officeDocument/2006/relationships/hyperlink" Id="rId49" Target="http://www.scipy.org/" TargetMode="External" /><Relationship Type="http://schemas.openxmlformats.org/officeDocument/2006/relationships/hyperlink" Id="rId51" Target="https://doi.org/10.1002/hbm.23110" TargetMode="External" /><Relationship Type="http://schemas.openxmlformats.org/officeDocument/2006/relationships/hyperlink" Id="rId58" Target="https://doi.org/10.1002/jmri.22003" TargetMode="External" /><Relationship Type="http://schemas.openxmlformats.org/officeDocument/2006/relationships/hyperlink" Id="rId48" Target="https://doi.org/10.1007/s11682-013-9255-y" TargetMode="External" /><Relationship Type="http://schemas.openxmlformats.org/officeDocument/2006/relationships/hyperlink" Id="rId62" Target="https://doi.org/10.1007/s12021-011-9109-y" TargetMode="External" /><Relationship Type="http://schemas.openxmlformats.org/officeDocument/2006/relationships/hyperlink" Id="rId52" Target="https://doi.org/10.1007/s12021-014-9245-2" TargetMode="External" /><Relationship Type="http://schemas.openxmlformats.org/officeDocument/2006/relationships/hyperlink" Id="rId68" Target="https://doi.org/10.1016/j.media.2012.09.004" TargetMode="External" /><Relationship Type="http://schemas.openxmlformats.org/officeDocument/2006/relationships/hyperlink" Id="rId46" Target="https://doi.org/10.1016/j.media.2014.04.006" TargetMode="External" /><Relationship Type="http://schemas.openxmlformats.org/officeDocument/2006/relationships/hyperlink" Id="rId67" Target="https://doi.org/10.1016/j.neuroimage.2003.10.012" TargetMode="External" /><Relationship Type="http://schemas.openxmlformats.org/officeDocument/2006/relationships/hyperlink" Id="rId61" Target="https://doi.org/10.1016/j.neuroimage.2006.01.015" TargetMode="External" /><Relationship Type="http://schemas.openxmlformats.org/officeDocument/2006/relationships/hyperlink" Id="rId66" Target="https://doi.org/10.1016/j.neuroimage.2010.09.025" TargetMode="External" /><Relationship Type="http://schemas.openxmlformats.org/officeDocument/2006/relationships/hyperlink" Id="rId63" Target="https://doi.org/10.1016/j.neuroimage.2010.11.047" TargetMode="External" /><Relationship Type="http://schemas.openxmlformats.org/officeDocument/2006/relationships/hyperlink" Id="rId50" Target="https://doi.org/10.1016/j.neuroimage.2011.03.080" TargetMode="External" /><Relationship Type="http://schemas.openxmlformats.org/officeDocument/2006/relationships/hyperlink" Id="rId47" Target="https://doi.org/10.1016/j.neuroimage.2013.06.033" TargetMode="External" /><Relationship Type="http://schemas.openxmlformats.org/officeDocument/2006/relationships/hyperlink" Id="rId59" Target="https://doi.org/10.1016/j.neuroimage.2014.05.044" TargetMode="External" /><Relationship Type="http://schemas.openxmlformats.org/officeDocument/2006/relationships/hyperlink" Id="rId60" Target="https://doi.org/10.1109/42.836373" TargetMode="External" /><Relationship Type="http://schemas.openxmlformats.org/officeDocument/2006/relationships/hyperlink" Id="rId54" Target="https://doi.org/10.1109/ICDAR.1995.598994" TargetMode="External" /><Relationship Type="http://schemas.openxmlformats.org/officeDocument/2006/relationships/hyperlink" Id="rId57" Target="https://doi.org/10.1109/TMI.2010.2046908" TargetMode="External" /><Relationship Type="http://schemas.openxmlformats.org/officeDocument/2006/relationships/hyperlink" Id="rId53" Target="https://doi.org/10.1109/TMI.2014.2377694" TargetMode="External" /><Relationship Type="http://schemas.openxmlformats.org/officeDocument/2006/relationships/hyperlink" Id="rId64" Target="https://doi.org/10.1109/TPAMI.2003.1177156" TargetMode="External" /><Relationship Type="http://schemas.openxmlformats.org/officeDocument/2006/relationships/hyperlink" Id="rId55" Target="https://doi.org/10.3174/ajnr.A1514" TargetMode="External" /><Relationship Type="http://schemas.openxmlformats.org/officeDocument/2006/relationships/hyperlink" Id="rId65" Target="https://doi.org/10.3389/fninf.2013.00039" TargetMode="External" /><Relationship Type="http://schemas.openxmlformats.org/officeDocument/2006/relationships/hyperlink" Id="rId56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2" Target="mailto:;styner2008;@Garcia-Lorenz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