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Name the story’s status first.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clearer handover begins with a question. In this fictional workshop story, a maker wants the next person to understand why a production note matters.</w:t>
      </w:r>
    </w:p>
    <w:p>
      <w:pPr>
        <w:spacing w:after="130" w:line="270" w:lineRule="auto"/>
      </w:pPr>
      <w:r>
        <w:rPr>
          <w:sz w:val="22"/>
        </w:rPr>
        <w:t xml:space="preserve">Use the narrative to explore a communication problem, not to imply a customer endorsement. The characters and sequence are authored examples, and no interview or publication permission has been obtained.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Permission before promotion</w:t>
      </w:r>
    </w:p>
    <w:p>
      <w:pPr>
        <w:spacing w:after="100" w:line="270" w:lineRule="auto"/>
      </w:pPr>
      <w:r>
        <w:rPr>
          <w:sz w:val="20"/>
        </w:rPr>
        <w:t xml:space="preserve">An actual case study needs a defined scope, participant agreement and review process. Illustration does not provide likeness or testimonial rights.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Would a reader mistake this story for a real customer account?</w:t>
      </w:r>
    </w:p>
    <w:p>
      <w:pPr>
        <w:spacing w:after="80"/>
      </w:pPr>
      <w:r>
        <w:drawing>
          <wp:inline distT="0" distB="0" distL="0" distR="0">
            <wp:extent cx="6263640" cy="132588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setting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Authored fictional scenario; no actual customer.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Permission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obtained; no real participant approached.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Publication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Do not present the narrative as a testimonial.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Set a scene without a success claim.</w:t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small ceramics workshop prepares materials for the next shift. A note lists the objects to finish, but does not explain why one batch needs special attention.</w:t>
      </w:r>
    </w:p>
    <w:p>
      <w:pPr>
        <w:spacing w:after="130" w:line="270" w:lineRule="auto"/>
      </w:pPr>
      <w:r>
        <w:rPr>
          <w:sz w:val="22"/>
        </w:rPr>
        <w:t xml:space="preserve">The scene establishes a task and a missing piece of context. It does not establish the frequency of this problem, the size of the workshop or the financial cost of a misunderstanding.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Background worth keeping</w:t>
      </w:r>
    </w:p>
    <w:p>
      <w:pPr>
        <w:spacing w:after="100" w:line="270" w:lineRule="auto"/>
      </w:pPr>
      <w:r>
        <w:rPr>
          <w:sz w:val="20"/>
        </w:rPr>
        <w:t xml:space="preserve">Describe only the details needed to understand the decision. In a real case, check the setting and operational details with the relevant participant.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contextual detail explains the task rather than decorating it?</w:t>
      </w:r>
    </w:p>
    <w:p>
      <w:pPr>
        <w:spacing w:after="80"/>
      </w:pPr>
      <w:r>
        <w:drawing>
          <wp:inline distT="0" distB="0" distL="0" distR="0">
            <wp:extent cx="6263640" cy="132588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challenge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Setting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Fictional ceramics workshop between shifts.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Task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a batch-specific decision to the next maker.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Missing context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Why this batch needs a different review.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challenge observable.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next maker can read what to do but cannot see the reasoning behind the instruction. The challenge is continuity of understanding, not a proven productivity loss.</w:t>
      </w:r>
    </w:p>
    <w:p>
      <w:pPr>
        <w:spacing w:after="130" w:line="270" w:lineRule="auto"/>
      </w:pPr>
      <w:r>
        <w:rPr>
          <w:sz w:val="22"/>
        </w:rPr>
        <w:t xml:space="preserve">A real story would need evidence of the original practice and its limitations. Avoid manufacturing a dramatic before-state simply to make the proposed change appear effective.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narrow challenge statement</w:t>
      </w:r>
    </w:p>
    <w:p>
      <w:pPr>
        <w:spacing w:after="100" w:line="270" w:lineRule="auto"/>
      </w:pPr>
      <w:r>
        <w:rPr>
          <w:sz w:val="20"/>
        </w:rPr>
        <w:t xml:space="preserve">The note separates instruction from explanation. That is the fictional tension; claims about delays, mistakes or savings are not supplied.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observation would support the challenge in an actual workshop?</w:t>
      </w:r>
    </w:p>
    <w:p>
      <w:pPr>
        <w:spacing w:after="80"/>
      </w:pPr>
      <w:r>
        <w:drawing>
          <wp:inline distT="0" distB="0" distL="0" distR="0">
            <wp:extent cx="6263640" cy="132588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action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Before-state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Instruction exists without its original rationale.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Consequence question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Can the next maker interpret the exception?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Evidence gap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observation or error record supplied.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Explain the choice and alternatives.</w:t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maker chooses to add a short context card beside the batch note. Another option would be a conversation or a clearer annotation on the original sheet.</w:t>
      </w:r>
    </w:p>
    <w:p>
      <w:pPr>
        <w:spacing w:after="130" w:line="270" w:lineRule="auto"/>
      </w:pPr>
      <w:r>
        <w:rPr>
          <w:sz w:val="22"/>
        </w:rPr>
        <w:t xml:space="preserve">The choice is modest and reversible. It is not a claim that one product outperforms all alternatives. A credible case acknowledges what was considered and why the selected approach fit the immediate task.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Decision rationale</w:t>
      </w:r>
    </w:p>
    <w:p>
      <w:pPr>
        <w:spacing w:after="100" w:line="270" w:lineRule="auto"/>
      </w:pPr>
      <w:r>
        <w:rPr>
          <w:sz w:val="20"/>
        </w:rPr>
        <w:t xml:space="preserve">Keep the rationale separate from an outcome. A plausible reason for trying something does not prove that the trial worked.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Could a simpler alternative address the same need?</w:t>
      </w:r>
    </w:p>
    <w:p>
      <w:pPr>
        <w:spacing w:after="80"/>
      </w:pPr>
      <w:r>
        <w:drawing>
          <wp:inline distT="0" distB="0" distL="0" distR="0">
            <wp:extent cx="6263640" cy="132588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outcome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Chosen approach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Add a short explanation beside the instruction.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Alternative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Clarify the existing sheet or speak directly.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Selection reason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rationale available at the handover.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Show the action in sequence.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maker writes the batch reference, the reason for the exception and the question the next shift should check before continuing.</w:t>
      </w:r>
    </w:p>
    <w:p>
      <w:pPr>
        <w:spacing w:after="130" w:line="270" w:lineRule="auto"/>
      </w:pPr>
      <w:r>
        <w:rPr>
          <w:sz w:val="22"/>
        </w:rPr>
        <w:t xml:space="preserve">A second person reads the card and identifies what remains unclear. This is the authored action sequence, not an observed adoption process or a record of staff training.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Action with a review point</w:t>
      </w:r>
    </w:p>
    <w:p>
      <w:pPr>
        <w:spacing w:after="100" w:line="270" w:lineRule="auto"/>
      </w:pPr>
      <w:r>
        <w:rPr>
          <w:sz w:val="20"/>
        </w:rPr>
        <w:t xml:space="preserve">The card does not replace specialist judgement or operational safety instructions. In an actual setting, confirm how the note fits authorised procedures.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Where would the receiving person ask for clarification?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quotation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Step one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Link the instruction to the relevant batch.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Step two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Explain the reason for the exception.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Step three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Leave an explicit question for the next reviewer.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change without making up a result.</w:t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proposed after-state is a handover note that carries both instruction and rationale. Whether that changes understanding or work quality remains an open question.</w:t>
      </w:r>
    </w:p>
    <w:p>
      <w:pPr>
        <w:spacing w:after="130" w:line="270" w:lineRule="auto"/>
      </w:pPr>
      <w:r>
        <w:rPr>
          <w:sz w:val="22"/>
        </w:rPr>
        <w:t xml:space="preserve">No before-and-after measurement, time saving or customer quotation exists in this example. A real outcome section should identify its source, timeframe and uncertainty instead of substituting a persuasive number.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Outcome evidence is absent</w:t>
      </w:r>
    </w:p>
    <w:p>
      <w:pPr>
        <w:spacing w:after="100" w:line="270" w:lineRule="auto"/>
      </w:pPr>
      <w:r>
        <w:rPr>
          <w:sz w:val="20"/>
        </w:rPr>
        <w:t xml:space="preserve">Use the phrase proposed after-state until an appropriate observation exists. The narrative structure is complete even when a real-world result is unknown.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source would support a change in understanding?</w:t>
      </w:r>
    </w:p>
    <w:p>
      <w:pPr>
        <w:spacing w:after="80"/>
      </w:pPr>
      <w:r>
        <w:drawing>
          <wp:inline distT="0" distB="0" distL="0" distR="0">
            <wp:extent cx="6263640" cy="132588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31063" b="3106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setting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Proposed change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Instruction and rationale appear together.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Measured result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Not supplied; no before-and-after comparison.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Quote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quotation or endorsement supplied.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 source trail for every assertion.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publishable case lets a reviewer distinguish direct observation, participant interpretation and the writer’s summary. This fictional story contains only authored narrative.</w:t>
      </w:r>
    </w:p>
    <w:p>
      <w:pPr>
        <w:spacing w:after="130" w:line="270" w:lineRule="auto"/>
      </w:pPr>
      <w:r>
        <w:rPr>
          <w:sz w:val="22"/>
        </w:rPr>
        <w:t xml:space="preserve">The five-item source register marks setting, challenge, action, outcome and quotation boundaries. It is not an interview transcript or a record of participant approval.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Source classes, not invented citations</w:t>
      </w:r>
    </w:p>
    <w:p>
      <w:pPr>
        <w:spacing w:after="100" w:line="270" w:lineRule="auto"/>
      </w:pPr>
      <w:r>
        <w:rPr>
          <w:sz w:val="20"/>
        </w:rPr>
        <w:t xml:space="preserve">For a real case, retain reviewable notes and the permitted scope of use. Do not treat a polished sentence as evidence merely because it sounds specific.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Can each assertion be traced to an appropriate source?</w:t>
      </w:r>
    </w:p>
    <w:p>
      <w:pPr>
        <w:spacing w:after="80"/>
      </w:pPr>
      <w:r>
        <w:drawing>
          <wp:inline distT="0" distB="0" distL="0" distR="0">
            <wp:extent cx="6263640" cy="132588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challenge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None supplied for this authored scenario.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Interpretation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Writer’s illustrative explanation, not participant testimony.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Approval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source or participant review completed.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Give limitations space in the story.</w:t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context card may help only when the next person can find it, interpret it and act within the relevant procedure. The card itself guarantees none of those conditions.</w:t>
      </w:r>
    </w:p>
    <w:p>
      <w:pPr>
        <w:spacing w:after="130" w:line="270" w:lineRule="auto"/>
      </w:pPr>
      <w:r>
        <w:rPr>
          <w:sz w:val="22"/>
        </w:rPr>
        <w:t xml:space="preserve">The example does not generalise to other workshops or tasks. An actual case should describe dependencies and alternative explanations rather than turning one account into a universal benefit.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Limits that affect interpretation</w:t>
      </w:r>
    </w:p>
    <w:p>
      <w:pPr>
        <w:spacing w:after="100" w:line="270" w:lineRule="auto"/>
      </w:pPr>
      <w:r>
        <w:rPr>
          <w:sz w:val="20"/>
        </w:rPr>
        <w:t xml:space="preserve">Permission, accessibility, workflow fit and operational responsibility need separate checks. A narrative cannot settle them by implication.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condition could make the proposed approach unsuitable?</w:t>
      </w:r>
    </w:p>
    <w:p>
      <w:pPr>
        <w:spacing w:after="80"/>
      </w:pPr>
      <w:r>
        <w:drawing>
          <wp:inline distT="0" distB="0" distL="0" distR="0">
            <wp:extent cx="6263640" cy="132588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35826" b="358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action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Dependency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The receiving person can find and interpret the note.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Alternative explanation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 clearer original instruction may be sufficient.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Generalisation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broader effectiveness claim established.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Extract a useful lesson, not an endorsement.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lesson is to keep an instruction close to its reason and to leave room for the next person’s question. That is an editorial principle, not a customer result.</w:t>
      </w:r>
    </w:p>
    <w:p>
      <w:pPr>
        <w:spacing w:after="130" w:line="270" w:lineRule="auto"/>
      </w:pPr>
      <w:r>
        <w:rPr>
          <w:sz w:val="22"/>
        </w:rPr>
        <w:t xml:space="preserve">If adapting a real case, distinguish a paraphrase from a quotation and agree the permitted attribution. Do not place invented words inside quotation marks or attach them to a real person.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 reusable editorial takeaway</w:t>
      </w:r>
    </w:p>
    <w:p>
      <w:pPr>
        <w:spacing w:after="100" w:line="270" w:lineRule="auto"/>
      </w:pPr>
      <w:r>
        <w:rPr>
          <w:sz w:val="20"/>
        </w:rPr>
        <w:t xml:space="preserve">Try this review question: what would the next person need to understand before using this note? It invites inquiry without claiming a guaranteed outcome.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Does the takeaway remain honest without the story’s fictional setting?</w:t>
      </w:r>
    </w:p>
    <w:p>
      <w:pPr>
        <w:spacing w:after="80"/>
      </w:pPr>
      <w:r>
        <w:drawing>
          <wp:inline distT="0" distB="0" distL="0" distR="0">
            <wp:extent cx="6263640" cy="132588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outcome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Lesson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the reason near the instruction.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Attribution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actual speaker or participant endorsement.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Reuse boundary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Check quotation and attribution permissions separately.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CASE STORY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Close with a relevant conversation.</w:t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If your handovers lose context, start by examining one note with the people who use it. Ask what information is missing before choosing a new tool.</w:t>
      </w:r>
    </w:p>
    <w:p>
      <w:pPr>
        <w:spacing w:after="130" w:line="270" w:lineRule="auto"/>
      </w:pPr>
      <w:r>
        <w:rPr>
          <w:sz w:val="22"/>
        </w:rPr>
        <w:t xml:space="preserve">This is an invitation to consider a task, not an offer of a functioning service. A real contact destination should explain what the reader can expect and how any shared information will be used.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Next step with a clear boundary</w:t>
      </w:r>
    </w:p>
    <w:p>
      <w:pPr>
        <w:spacing w:after="100" w:line="270" w:lineRule="auto"/>
      </w:pPr>
      <w:r>
        <w:rPr>
          <w:sz w:val="20"/>
        </w:rPr>
        <w:t xml:space="preserve">Review the story status and permissions again before sharing. Retain the distinction between an illustrative case and evidence from an actual organisation.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is the smallest appropriate next conversation?</w:t>
      </w:r>
    </w:p>
    <w:p>
      <w:pPr>
        <w:spacing w:after="80"/>
      </w:pPr>
      <w:r>
        <w:drawing>
          <wp:inline distT="0" distB="0" distL="0" distR="0">
            <wp:extent cx="6263640" cy="132588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31032" b="310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8" w:color="a14426"/>
          <w:left w:val="single" w:sz="4" w:color="a14426"/>
          <w:bottom w:val="single" w:sz="8" w:color="a14426"/>
          <w:right w:val="single" w:sz="4" w:color="a14426"/>
          <w:insideH w:val="single" w:sz="3" w:color="B8C6CC"/>
          <w:insideV w:val="single" w:sz="3" w:color="B8C6CC"/>
        </w:tblBorders>
      </w:tblP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STORY SOURCE</w:t>
            </w:r>
          </w:p>
        </w:tc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quotation / authored fiction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RIGHTS / OUTCOMES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participant permission or measured change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Reader action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Review one handover note with its intended reader.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Contact status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live contact service or response promise supplied.</w:t>
            </w:r>
          </w:p>
        </w:tc>
      </w:tr>
      <w:tr>
        <w:tc>
          <w:tcPr>
            <w:tcW w:w="3300" w:type="dxa"/>
            <w:shd w:fill="f7e4d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STORY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Sharing check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Keep fictional status and source limits visible.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CASE STORY / FICTIONAL STORY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