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INTERVIEW SYNTHESIS</w:t>
      </w:r>
    </w:p>
    <w:p>
      <w:pPr>
        <w:pStyle w:val="Heading1"/>
        <w:spacing w:after="200" w:line="270" w:lineRule="auto"/>
      </w:pPr>
      <w:r>
        <w:rPr>
          <w:sz w:val="40"/>
          <w:b/>
        </w:rPr>
        <w:t xml:space="preserve">Synthesize invented extracts transparently.</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Synthesis question</w:t>
            </w:r>
          </w:p>
        </w:tc>
        <w:tc>
          <w:tcPr>
            <w:tcW w:w="4950" w:type="dxa"/>
            <w:tcMar>
              <w:top w:w="60" w:type="dxa"/>
              <w:left w:w="100" w:type="dxa"/>
              <w:bottom w:w="60" w:type="dxa"/>
              <w:right w:w="100" w:type="dxa"/>
            </w:tcMar>
          </w:tcPr>
          <w:p>
            <w:pPr>
              <w:spacing w:after="20" w:line="270" w:lineRule="auto"/>
            </w:pPr>
            <w:r>
              <w:rPr>
                <w:sz w:val="18"/>
              </w:rPr>
              <w:t xml:space="preserve">Record synthesis question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Material unit</w:t>
            </w:r>
          </w:p>
        </w:tc>
        <w:tc>
          <w:tcPr>
            <w:tcW w:w="4950" w:type="dxa"/>
            <w:tcMar>
              <w:top w:w="60" w:type="dxa"/>
              <w:left w:w="100" w:type="dxa"/>
              <w:bottom w:w="60" w:type="dxa"/>
              <w:right w:w="100" w:type="dxa"/>
            </w:tcMar>
          </w:tcPr>
          <w:p>
            <w:pPr>
              <w:spacing w:after="20" w:line="270" w:lineRule="auto"/>
            </w:pPr>
            <w:r>
              <w:rPr>
                <w:sz w:val="18"/>
              </w:rPr>
              <w:t xml:space="preserve">Record material unit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Research boundary</w:t>
            </w:r>
          </w:p>
        </w:tc>
        <w:tc>
          <w:tcPr>
            <w:tcW w:w="4950" w:type="dxa"/>
            <w:tcMar>
              <w:top w:w="60" w:type="dxa"/>
              <w:left w:w="100" w:type="dxa"/>
              <w:bottom w:w="60" w:type="dxa"/>
              <w:right w:w="100" w:type="dxa"/>
            </w:tcMar>
          </w:tcPr>
          <w:p>
            <w:pPr>
              <w:spacing w:after="20" w:line="270" w:lineRule="auto"/>
            </w:pPr>
            <w:r>
              <w:rPr>
                <w:sz w:val="18"/>
              </w:rPr>
              <w:t xml:space="preserve">Record research boundary and its source boundary.</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This report demonstrates qualitative synthesis using six authored example extracts. No interviews were conducted, and the text contains no actual participants, consent records or personal data.</w:t>
      </w:r>
    </w:p>
    <w:p>
      <w:pPr>
        <w:spacing w:after="130" w:line="270" w:lineRule="auto"/>
      </w:pPr>
      <w:r>
        <w:rPr>
          <w:sz w:val="22"/>
        </w:rPr>
        <w:t xml:space="preserve">The extracts concern finding and interpreting a fictional prompt card. Nine tag assignments cover four themes because an extract can receive more than one tag. Six extracts and nine tags must not be presented as nine people or as a representative study.</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should a reader know before interpreting any theme in this report?</w:t>
      </w:r>
    </w:p>
    <w:p>
      <w:r>
        <w:br w:type="page"/>
      </w:r>
    </w:p>
    <w:p>
      <w:pPr>
        <w:spacing w:after="130" w:line="270" w:lineRule="auto"/>
      </w:pPr>
      <w:r>
        <w:rPr>
          <w:sz w:val="18"/>
        </w:rPr>
        <w:t xml:space="preserve">02 / INTERVIEW SYNTHESIS</w:t>
      </w:r>
    </w:p>
    <w:p>
      <w:pPr>
        <w:pStyle w:val="Heading1"/>
        <w:spacing w:after="200" w:line="270" w:lineRule="auto"/>
      </w:pPr>
      <w:r>
        <w:rPr>
          <w:sz w:val="40"/>
          <w:b/>
        </w:rPr>
        <w:t xml:space="preserve">Describe the inquiry guide.</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Inquiry focus</w:t>
            </w:r>
          </w:p>
        </w:tc>
        <w:tc>
          <w:tcPr>
            <w:tcW w:w="4950" w:type="dxa"/>
            <w:tcMar>
              <w:top w:w="60" w:type="dxa"/>
              <w:left w:w="100" w:type="dxa"/>
              <w:bottom w:w="60" w:type="dxa"/>
              <w:right w:w="100" w:type="dxa"/>
            </w:tcMar>
          </w:tcPr>
          <w:p>
            <w:pPr>
              <w:spacing w:after="20" w:line="270" w:lineRule="auto"/>
            </w:pPr>
            <w:r>
              <w:rPr>
                <w:sz w:val="18"/>
              </w:rPr>
              <w:t xml:space="preserve">Record inquiry focus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Possible prompt</w:t>
            </w:r>
          </w:p>
        </w:tc>
        <w:tc>
          <w:tcPr>
            <w:tcW w:w="4950" w:type="dxa"/>
            <w:tcMar>
              <w:top w:w="60" w:type="dxa"/>
              <w:left w:w="100" w:type="dxa"/>
              <w:bottom w:w="60" w:type="dxa"/>
              <w:right w:w="100" w:type="dxa"/>
            </w:tcMar>
          </w:tcPr>
          <w:p>
            <w:pPr>
              <w:spacing w:after="20" w:line="270" w:lineRule="auto"/>
            </w:pPr>
            <w:r>
              <w:rPr>
                <w:sz w:val="18"/>
              </w:rPr>
              <w:t xml:space="preserve">Record possible prompt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Research not performed</w:t>
            </w:r>
          </w:p>
        </w:tc>
        <w:tc>
          <w:tcPr>
            <w:tcW w:w="4950" w:type="dxa"/>
            <w:tcMar>
              <w:top w:w="60" w:type="dxa"/>
              <w:left w:w="100" w:type="dxa"/>
              <w:bottom w:w="60" w:type="dxa"/>
              <w:right w:w="100" w:type="dxa"/>
            </w:tcMar>
          </w:tcPr>
          <w:p>
            <w:pPr>
              <w:spacing w:after="20" w:line="270" w:lineRule="auto"/>
            </w:pPr>
            <w:r>
              <w:rPr>
                <w:sz w:val="18"/>
              </w:rPr>
              <w:t xml:space="preserve">Record research not performed and its source boundary.</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A guide states what a real conversation might explore without implying that those questions have already been asked. Here the guide is a proposed scaffold for interpreting the invented examples.</w:t>
      </w:r>
    </w:p>
    <w:p>
      <w:pPr>
        <w:spacing w:after="130" w:line="270" w:lineRule="auto"/>
      </w:pPr>
      <w:r>
        <w:rPr>
          <w:sz w:val="22"/>
        </w:rPr>
        <w:t xml:space="preserve">Possible questions concern locating a current card, recognising a revision and asking for clarification. A genuine interview study would require appropriate context, recruitment, consent and review. None of those activities is supplied by the example text.</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guide question would need revision for a different real context?</w:t>
      </w:r>
    </w:p>
    <w:p>
      <w:r>
        <w:br w:type="page"/>
      </w:r>
    </w:p>
    <w:p>
      <w:pPr>
        <w:spacing w:after="130" w:line="270" w:lineRule="auto"/>
      </w:pPr>
      <w:r>
        <w:rPr>
          <w:sz w:val="18"/>
        </w:rPr>
        <w:t xml:space="preserve">03 / INTERVIEW SYNTHESIS</w:t>
      </w:r>
    </w:p>
    <w:p>
      <w:pPr>
        <w:pStyle w:val="Heading1"/>
        <w:spacing w:after="200" w:line="270" w:lineRule="auto"/>
      </w:pPr>
      <w:r>
        <w:rPr>
          <w:sz w:val="40"/>
          <w:b/>
        </w:rPr>
        <w:t xml:space="preserve">Keep the material unit honest.</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Extract unit</w:t>
            </w:r>
          </w:p>
        </w:tc>
        <w:tc>
          <w:tcPr>
            <w:tcW w:w="4950" w:type="dxa"/>
            <w:tcMar>
              <w:top w:w="60" w:type="dxa"/>
              <w:left w:w="100" w:type="dxa"/>
              <w:bottom w:w="60" w:type="dxa"/>
              <w:right w:w="100" w:type="dxa"/>
            </w:tcMar>
          </w:tcPr>
          <w:p>
            <w:pPr>
              <w:spacing w:after="20" w:line="270" w:lineRule="auto"/>
            </w:pPr>
            <w:r>
              <w:rPr>
                <w:sz w:val="18"/>
              </w:rPr>
              <w:t xml:space="preserve">Record extract unit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Selection boundary</w:t>
            </w:r>
          </w:p>
        </w:tc>
        <w:tc>
          <w:tcPr>
            <w:tcW w:w="4950" w:type="dxa"/>
            <w:tcMar>
              <w:top w:w="60" w:type="dxa"/>
              <w:left w:w="100" w:type="dxa"/>
              <w:bottom w:w="60" w:type="dxa"/>
              <w:right w:w="100" w:type="dxa"/>
            </w:tcMar>
          </w:tcPr>
          <w:p>
            <w:pPr>
              <w:spacing w:after="20" w:line="270" w:lineRule="auto"/>
            </w:pPr>
            <w:r>
              <w:rPr>
                <w:sz w:val="18"/>
              </w:rPr>
              <w:t xml:space="preserve">Record selection boundary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Unsupported inference</w:t>
            </w:r>
          </w:p>
        </w:tc>
        <w:tc>
          <w:tcPr>
            <w:tcW w:w="4950" w:type="dxa"/>
            <w:tcMar>
              <w:top w:w="60" w:type="dxa"/>
              <w:left w:w="100" w:type="dxa"/>
              <w:bottom w:w="60" w:type="dxa"/>
              <w:right w:w="100" w:type="dxa"/>
            </w:tcMar>
          </w:tcPr>
          <w:p>
            <w:pPr>
              <w:spacing w:after="20" w:line="270" w:lineRule="auto"/>
            </w:pPr>
            <w:r>
              <w:rPr>
                <w:sz w:val="18"/>
              </w:rPr>
              <w:t xml:space="preserve">Record unsupported inference and its source boundary.</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E1–E6 identify six invented extracts, not six interviewees. The source intentionally contains no demographic attributes or participant identifiers.</w:t>
      </w:r>
    </w:p>
    <w:p>
      <w:pPr>
        <w:spacing w:after="130" w:line="270" w:lineRule="auto"/>
      </w:pPr>
      <w:r>
        <w:rPr>
          <w:sz w:val="22"/>
        </w:rPr>
        <w:t xml:space="preserve">A real synthesis would explain how material was produced and selected. Here the full set is authored for the template, so it can illustrate coding mechanics but cannot support claims about prevalence, saturation, needs or experiences of actual people.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would become misleading if the extract identifiers were labelled participant IDs?</w:t>
      </w:r>
    </w:p>
    <w:p>
      <w:r>
        <w:br w:type="page"/>
      </w:r>
    </w:p>
    <w:p>
      <w:pPr>
        <w:spacing w:after="130" w:line="270" w:lineRule="auto"/>
      </w:pPr>
      <w:r>
        <w:rPr>
          <w:sz w:val="18"/>
        </w:rPr>
        <w:t xml:space="preserve">04 / INTERVIEW SYNTHESIS</w:t>
      </w:r>
    </w:p>
    <w:p>
      <w:pPr>
        <w:pStyle w:val="Heading1"/>
        <w:spacing w:after="200" w:line="270" w:lineRule="auto"/>
      </w:pPr>
      <w:r>
        <w:rPr>
          <w:sz w:val="40"/>
          <w:b/>
        </w:rPr>
        <w:t xml:space="preserve">Preserve an inspectable extract index.</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Extract identifier</w:t>
            </w:r>
          </w:p>
        </w:tc>
        <w:tc>
          <w:tcPr>
            <w:tcW w:w="4950" w:type="dxa"/>
            <w:tcMar>
              <w:top w:w="60" w:type="dxa"/>
              <w:left w:w="100" w:type="dxa"/>
              <w:bottom w:w="60" w:type="dxa"/>
              <w:right w:w="100" w:type="dxa"/>
            </w:tcMar>
          </w:tcPr>
          <w:p>
            <w:pPr>
              <w:spacing w:after="20" w:line="270" w:lineRule="auto"/>
            </w:pPr>
            <w:r>
              <w:rPr>
                <w:sz w:val="18"/>
              </w:rPr>
              <w:t xml:space="preserve">Record extract identifier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Exact wording</w:t>
            </w:r>
          </w:p>
        </w:tc>
        <w:tc>
          <w:tcPr>
            <w:tcW w:w="4950" w:type="dxa"/>
            <w:tcMar>
              <w:top w:w="60" w:type="dxa"/>
              <w:left w:w="100" w:type="dxa"/>
              <w:bottom w:w="60" w:type="dxa"/>
              <w:right w:w="100" w:type="dxa"/>
            </w:tcMar>
          </w:tcPr>
          <w:p>
            <w:pPr>
              <w:spacing w:after="20" w:line="270" w:lineRule="auto"/>
            </w:pPr>
            <w:r>
              <w:rPr>
                <w:sz w:val="18"/>
              </w:rPr>
              <w:t xml:space="preserve">Record exact wording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Context limitation</w:t>
            </w:r>
          </w:p>
        </w:tc>
        <w:tc>
          <w:tcPr>
            <w:tcW w:w="4950" w:type="dxa"/>
            <w:tcMar>
              <w:top w:w="60" w:type="dxa"/>
              <w:left w:w="100" w:type="dxa"/>
              <w:bottom w:w="60" w:type="dxa"/>
              <w:right w:w="100" w:type="dxa"/>
            </w:tcMar>
          </w:tcPr>
          <w:p>
            <w:pPr>
              <w:spacing w:after="20" w:line="270" w:lineRule="auto"/>
            </w:pPr>
            <w:r>
              <w:rPr>
                <w:sz w:val="18"/>
              </w:rPr>
              <w:t xml:space="preserve">Record context limitation and its source boundary.</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6" b="31036"/>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Keep the wording beside its identifier so another reader can trace a theme back to the actual example. Quotations should remain visibly labelled as invented.</w:t>
      </w:r>
    </w:p>
    <w:p>
      <w:pPr>
        <w:spacing w:after="130" w:line="270" w:lineRule="auto"/>
      </w:pPr>
      <w:r>
        <w:rPr>
          <w:sz w:val="22"/>
        </w:rPr>
        <w:t xml:space="preserve">E1 says a current card can be found when its version is visible. E2 describes asking another reader when two cards look similar. These short examples are not testimonials or findings collected from a real service.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contextual detail would you need before interpreting a genuine quotation?</w:t>
      </w:r>
    </w:p>
    <w:p>
      <w:r>
        <w:br w:type="page"/>
      </w:r>
    </w:p>
    <w:p>
      <w:pPr>
        <w:spacing w:after="130" w:line="270" w:lineRule="auto"/>
      </w:pPr>
      <w:r>
        <w:rPr>
          <w:sz w:val="18"/>
        </w:rPr>
        <w:t xml:space="preserve">05 / INTERVIEW SYNTHESIS</w:t>
      </w:r>
    </w:p>
    <w:p>
      <w:pPr>
        <w:pStyle w:val="Heading1"/>
        <w:spacing w:after="200" w:line="270" w:lineRule="auto"/>
      </w:pPr>
      <w:r>
        <w:rPr>
          <w:sz w:val="40"/>
          <w:b/>
        </w:rPr>
        <w:t xml:space="preserve">Make coding choices visible.</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Code label</w:t>
            </w:r>
          </w:p>
        </w:tc>
        <w:tc>
          <w:tcPr>
            <w:tcW w:w="4950" w:type="dxa"/>
            <w:tcMar>
              <w:top w:w="60" w:type="dxa"/>
              <w:left w:w="100" w:type="dxa"/>
              <w:bottom w:w="60" w:type="dxa"/>
              <w:right w:w="100" w:type="dxa"/>
            </w:tcMar>
          </w:tcPr>
          <w:p>
            <w:pPr>
              <w:spacing w:after="20" w:line="270" w:lineRule="auto"/>
            </w:pPr>
            <w:r>
              <w:rPr>
                <w:sz w:val="18"/>
              </w:rPr>
              <w:t xml:space="preserve">Record code label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Relevant passage</w:t>
            </w:r>
          </w:p>
        </w:tc>
        <w:tc>
          <w:tcPr>
            <w:tcW w:w="4950" w:type="dxa"/>
            <w:tcMar>
              <w:top w:w="60" w:type="dxa"/>
              <w:left w:w="100" w:type="dxa"/>
              <w:bottom w:w="60" w:type="dxa"/>
              <w:right w:w="100" w:type="dxa"/>
            </w:tcMar>
          </w:tcPr>
          <w:p>
            <w:pPr>
              <w:spacing w:after="20" w:line="270" w:lineRule="auto"/>
            </w:pPr>
            <w:r>
              <w:rPr>
                <w:sz w:val="18"/>
              </w:rPr>
              <w:t xml:space="preserve">Record relevant passage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Coding reason</w:t>
            </w:r>
          </w:p>
        </w:tc>
        <w:tc>
          <w:tcPr>
            <w:tcW w:w="4950" w:type="dxa"/>
            <w:tcMar>
              <w:top w:w="60" w:type="dxa"/>
              <w:left w:w="100" w:type="dxa"/>
              <w:bottom w:w="60" w:type="dxa"/>
              <w:right w:w="100" w:type="dxa"/>
            </w:tcMar>
          </w:tcPr>
          <w:p>
            <w:pPr>
              <w:spacing w:after="20" w:line="270" w:lineRule="auto"/>
            </w:pPr>
            <w:r>
              <w:rPr>
                <w:sz w:val="18"/>
              </w:rPr>
              <w:t xml:space="preserve">Record coding reason and its source boundary.</w:t>
            </w:r>
          </w:p>
        </w:tc>
      </w:tr>
    </w:tbl>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A code links a passage to an analytic label. It is a decision by the analyst, not a fact automatically contained in the words. The exported source records every stipulated tag.</w:t>
      </w:r>
    </w:p>
    <w:p>
      <w:pPr>
        <w:spacing w:after="130" w:line="270" w:lineRule="auto"/>
      </w:pPr>
      <w:r>
        <w:rPr>
          <w:sz w:val="22"/>
        </w:rPr>
        <w:t xml:space="preserve">The codebook uses findability, clarification, version and example. E1 receives findability and version; E2 receives findability and clarification. Multiple coding explains why theme assignments outnumber extracts. No independent coder agreement is supplied.</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Where could a reasonable second reader choose a different code?</w:t>
      </w:r>
    </w:p>
    <w:p>
      <w:r>
        <w:br w:type="page"/>
      </w:r>
    </w:p>
    <w:p>
      <w:pPr>
        <w:spacing w:after="130" w:line="270" w:lineRule="auto"/>
      </w:pPr>
      <w:r>
        <w:rPr>
          <w:sz w:val="18"/>
        </w:rPr>
        <w:t xml:space="preserve">06 / INTERVIEW SYNTHESIS</w:t>
      </w:r>
    </w:p>
    <w:p>
      <w:pPr>
        <w:pStyle w:val="Heading1"/>
        <w:spacing w:after="200" w:line="270" w:lineRule="auto"/>
      </w:pPr>
      <w:r>
        <w:rPr>
          <w:sz w:val="40"/>
          <w:b/>
        </w:rPr>
        <w:t xml:space="preserve">Cluster without ranking needs.</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Theme</w:t>
            </w:r>
          </w:p>
        </w:tc>
        <w:tc>
          <w:tcPr>
            <w:tcW w:w="4950" w:type="dxa"/>
            <w:tcMar>
              <w:top w:w="60" w:type="dxa"/>
              <w:left w:w="100" w:type="dxa"/>
              <w:bottom w:w="60" w:type="dxa"/>
              <w:right w:w="100" w:type="dxa"/>
            </w:tcMar>
          </w:tcPr>
          <w:p>
            <w:pPr>
              <w:spacing w:after="20" w:line="270" w:lineRule="auto"/>
            </w:pPr>
            <w:r>
              <w:rPr>
                <w:sz w:val="18"/>
              </w:rPr>
              <w:t xml:space="preserve">Record theme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Supporting extracts</w:t>
            </w:r>
          </w:p>
        </w:tc>
        <w:tc>
          <w:tcPr>
            <w:tcW w:w="4950" w:type="dxa"/>
            <w:tcMar>
              <w:top w:w="60" w:type="dxa"/>
              <w:left w:w="100" w:type="dxa"/>
              <w:bottom w:w="60" w:type="dxa"/>
              <w:right w:w="100" w:type="dxa"/>
            </w:tcMar>
          </w:tcPr>
          <w:p>
            <w:pPr>
              <w:spacing w:after="20" w:line="270" w:lineRule="auto"/>
            </w:pPr>
            <w:r>
              <w:rPr>
                <w:sz w:val="18"/>
              </w:rPr>
              <w:t xml:space="preserve">Record supporting extracts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Interpretation limit</w:t>
            </w:r>
          </w:p>
        </w:tc>
        <w:tc>
          <w:tcPr>
            <w:tcW w:w="4950" w:type="dxa"/>
            <w:tcMar>
              <w:top w:w="60" w:type="dxa"/>
              <w:left w:w="100" w:type="dxa"/>
              <w:bottom w:w="60" w:type="dxa"/>
              <w:right w:w="100" w:type="dxa"/>
            </w:tcMar>
          </w:tcPr>
          <w:p>
            <w:pPr>
              <w:spacing w:after="20" w:line="270" w:lineRule="auto"/>
            </w:pPr>
            <w:r>
              <w:rPr>
                <w:sz w:val="18"/>
              </w:rPr>
              <w:t xml:space="preserve">Record interpretation limit and its source boundary.</w:t>
            </w:r>
          </w:p>
        </w:tc>
      </w:tr>
    </w:tbl>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Findability appears in E1, E2 and E6; clarification in E2, E3 and E5; version in E1 and E4; example in E3. The counts are 3, 3, 2 and 1.</w:t>
      </w:r>
    </w:p>
    <w:p>
      <w:pPr>
        <w:spacing w:after="130" w:line="270" w:lineRule="auto"/>
      </w:pPr>
      <w:r>
        <w:rPr>
          <w:sz w:val="22"/>
        </w:rPr>
        <w:t xml:space="preserve">Those nine assignments describe this authored coding table only. They do not rank real user needs or estimate how common a view is. Preserve the source identifiers with each theme rather than treating the largest count as a validated priority.</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Why would the theme counts be insufficient to choose a real product priority?</w:t>
      </w:r>
    </w:p>
    <w:p>
      <w:r>
        <w:br w:type="page"/>
      </w:r>
    </w:p>
    <w:p>
      <w:pPr>
        <w:spacing w:after="130" w:line="270" w:lineRule="auto"/>
      </w:pPr>
      <w:r>
        <w:rPr>
          <w:sz w:val="18"/>
        </w:rPr>
        <w:t xml:space="preserve">07 / INTERVIEW SYNTHESIS</w:t>
      </w:r>
    </w:p>
    <w:p>
      <w:pPr>
        <w:pStyle w:val="Heading1"/>
        <w:spacing w:after="200" w:line="270" w:lineRule="auto"/>
      </w:pPr>
      <w:r>
        <w:rPr>
          <w:sz w:val="40"/>
          <w:b/>
        </w:rPr>
        <w:t xml:space="preserve">Keep contrasting situations visible.</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Contrasting extract A</w:t>
            </w:r>
          </w:p>
        </w:tc>
        <w:tc>
          <w:tcPr>
            <w:tcW w:w="4950" w:type="dxa"/>
            <w:tcMar>
              <w:top w:w="60" w:type="dxa"/>
              <w:left w:w="100" w:type="dxa"/>
              <w:bottom w:w="60" w:type="dxa"/>
              <w:right w:w="100" w:type="dxa"/>
            </w:tcMar>
          </w:tcPr>
          <w:p>
            <w:pPr>
              <w:spacing w:after="20" w:line="270" w:lineRule="auto"/>
            </w:pPr>
            <w:r>
              <w:rPr>
                <w:sz w:val="18"/>
              </w:rPr>
              <w:t xml:space="preserve">Record contrasting extract a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Contrasting extract B</w:t>
            </w:r>
          </w:p>
        </w:tc>
        <w:tc>
          <w:tcPr>
            <w:tcW w:w="4950" w:type="dxa"/>
            <w:tcMar>
              <w:top w:w="60" w:type="dxa"/>
              <w:left w:w="100" w:type="dxa"/>
              <w:bottom w:w="60" w:type="dxa"/>
              <w:right w:w="100" w:type="dxa"/>
            </w:tcMar>
          </w:tcPr>
          <w:p>
            <w:pPr>
              <w:spacing w:after="20" w:line="270" w:lineRule="auto"/>
            </w:pPr>
            <w:r>
              <w:rPr>
                <w:sz w:val="18"/>
              </w:rPr>
              <w:t xml:space="preserve">Record contrasting extract b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Analytic question</w:t>
            </w:r>
          </w:p>
        </w:tc>
        <w:tc>
          <w:tcPr>
            <w:tcW w:w="4950" w:type="dxa"/>
            <w:tcMar>
              <w:top w:w="60" w:type="dxa"/>
              <w:left w:w="100" w:type="dxa"/>
              <w:bottom w:w="60" w:type="dxa"/>
              <w:right w:w="100" w:type="dxa"/>
            </w:tcMar>
          </w:tcPr>
          <w:p>
            <w:pPr>
              <w:spacing w:after="20" w:line="270" w:lineRule="auto"/>
            </w:pPr>
            <w:r>
              <w:rPr>
                <w:sz w:val="18"/>
              </w:rPr>
              <w:t xml:space="preserve">Record analytic question and its source boundary.</w:t>
            </w:r>
          </w:p>
        </w:tc>
      </w:tr>
    </w:tbl>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0605" b="3060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An extract about identifying a version differs from one about asking another person for clarification. Both may concern interpretation, but collapsing them can hide the different situations described.</w:t>
      </w:r>
    </w:p>
    <w:p>
      <w:pPr>
        <w:spacing w:after="130" w:line="270" w:lineRule="auto"/>
      </w:pPr>
      <w:r>
        <w:rPr>
          <w:sz w:val="22"/>
        </w:rPr>
        <w:t xml:space="preserve">E4 refers to keeping an earlier version for comparison. E5 asks whom to approach about an unfamiliar term. The contrast suggests questions about change visibility and help routes, not findings about actual behaviours or preferences.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distinction would disappear if every extract became a generic request for clarity?</w:t>
      </w:r>
    </w:p>
    <w:p>
      <w:r>
        <w:br w:type="page"/>
      </w:r>
    </w:p>
    <w:p>
      <w:pPr>
        <w:spacing w:after="130" w:line="270" w:lineRule="auto"/>
      </w:pPr>
      <w:r>
        <w:rPr>
          <w:sz w:val="18"/>
        </w:rPr>
        <w:t xml:space="preserve">08 / INTERVIEW SYNTHESIS</w:t>
      </w:r>
    </w:p>
    <w:p>
      <w:pPr>
        <w:pStyle w:val="Heading1"/>
        <w:spacing w:after="200" w:line="270" w:lineRule="auto"/>
      </w:pPr>
      <w:r>
        <w:rPr>
          <w:sz w:val="40"/>
          <w:b/>
        </w:rPr>
        <w:t xml:space="preserve">Record the analyst’s influence.</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Analyst choice</w:t>
            </w:r>
          </w:p>
        </w:tc>
        <w:tc>
          <w:tcPr>
            <w:tcW w:w="4950" w:type="dxa"/>
            <w:tcMar>
              <w:top w:w="60" w:type="dxa"/>
              <w:left w:w="100" w:type="dxa"/>
              <w:bottom w:w="60" w:type="dxa"/>
              <w:right w:w="100" w:type="dxa"/>
            </w:tcMar>
          </w:tcPr>
          <w:p>
            <w:pPr>
              <w:spacing w:after="20" w:line="270" w:lineRule="auto"/>
            </w:pPr>
            <w:r>
              <w:rPr>
                <w:sz w:val="18"/>
              </w:rPr>
              <w:t xml:space="preserve">Record analyst choice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Possible alternative</w:t>
            </w:r>
          </w:p>
        </w:tc>
        <w:tc>
          <w:tcPr>
            <w:tcW w:w="4950" w:type="dxa"/>
            <w:tcMar>
              <w:top w:w="60" w:type="dxa"/>
              <w:left w:w="100" w:type="dxa"/>
              <w:bottom w:w="60" w:type="dxa"/>
              <w:right w:w="100" w:type="dxa"/>
            </w:tcMar>
          </w:tcPr>
          <w:p>
            <w:pPr>
              <w:spacing w:after="20" w:line="270" w:lineRule="auto"/>
            </w:pPr>
            <w:r>
              <w:rPr>
                <w:sz w:val="18"/>
              </w:rPr>
              <w:t xml:space="preserve">Record possible alternative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Effect on synthesis</w:t>
            </w:r>
          </w:p>
        </w:tc>
        <w:tc>
          <w:tcPr>
            <w:tcW w:w="4950" w:type="dxa"/>
            <w:tcMar>
              <w:top w:w="60" w:type="dxa"/>
              <w:left w:w="100" w:type="dxa"/>
              <w:bottom w:w="60" w:type="dxa"/>
              <w:right w:w="100" w:type="dxa"/>
            </w:tcMar>
          </w:tcPr>
          <w:p>
            <w:pPr>
              <w:spacing w:after="20" w:line="270" w:lineRule="auto"/>
            </w:pPr>
            <w:r>
              <w:rPr>
                <w:sz w:val="18"/>
              </w:rPr>
              <w:t xml:space="preserve">Record effect on synthesis and its source boundary.</w:t>
            </w:r>
          </w:p>
        </w:tc>
      </w:tr>
    </w:tbl>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0605" b="30605"/>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A reflexive note identifies how the question and codebook shape the synthesis. In this teaching set, the same author created the extracts and the tags, so the grouping cannot be treated as independent evidence.</w:t>
      </w:r>
    </w:p>
    <w:p>
      <w:pPr>
        <w:spacing w:after="130" w:line="270" w:lineRule="auto"/>
      </w:pPr>
      <w:r>
        <w:rPr>
          <w:sz w:val="22"/>
        </w:rPr>
        <w:t xml:space="preserve">The decision to use findability as a code makes certain phrases more visible. A different question could lead to a different grouping. State that influence directly rather than presenting the theme map as the only possible reading.</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coding choice most strongly shapes the report’s story?</w:t>
      </w:r>
    </w:p>
    <w:p>
      <w:r>
        <w:br w:type="page"/>
      </w:r>
    </w:p>
    <w:p>
      <w:pPr>
        <w:spacing w:after="130" w:line="270" w:lineRule="auto"/>
      </w:pPr>
      <w:r>
        <w:rPr>
          <w:sz w:val="18"/>
        </w:rPr>
        <w:t xml:space="preserve">09 / INTERVIEW SYNTHESIS</w:t>
      </w:r>
    </w:p>
    <w:p>
      <w:pPr>
        <w:pStyle w:val="Heading1"/>
        <w:spacing w:after="200" w:line="270" w:lineRule="auto"/>
      </w:pPr>
      <w:r>
        <w:rPr>
          <w:sz w:val="40"/>
          <w:b/>
        </w:rPr>
        <w:t xml:space="preserve">State the finding boundary.</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Bounded synthesis</w:t>
            </w:r>
          </w:p>
        </w:tc>
        <w:tc>
          <w:tcPr>
            <w:tcW w:w="4950" w:type="dxa"/>
            <w:tcMar>
              <w:top w:w="60" w:type="dxa"/>
              <w:left w:w="100" w:type="dxa"/>
              <w:bottom w:w="60" w:type="dxa"/>
              <w:right w:w="100" w:type="dxa"/>
            </w:tcMar>
          </w:tcPr>
          <w:p>
            <w:pPr>
              <w:spacing w:after="20" w:line="270" w:lineRule="auto"/>
            </w:pPr>
            <w:r>
              <w:rPr>
                <w:sz w:val="18"/>
              </w:rPr>
              <w:t xml:space="preserve">Record bounded synthesis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Source trace</w:t>
            </w:r>
          </w:p>
        </w:tc>
        <w:tc>
          <w:tcPr>
            <w:tcW w:w="4950" w:type="dxa"/>
            <w:tcMar>
              <w:top w:w="60" w:type="dxa"/>
              <w:left w:w="100" w:type="dxa"/>
              <w:bottom w:w="60" w:type="dxa"/>
              <w:right w:w="100" w:type="dxa"/>
            </w:tcMar>
          </w:tcPr>
          <w:p>
            <w:pPr>
              <w:spacing w:after="20" w:line="270" w:lineRule="auto"/>
            </w:pPr>
            <w:r>
              <w:rPr>
                <w:sz w:val="18"/>
              </w:rPr>
              <w:t xml:space="preserve">Record source trace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Claim not supported</w:t>
            </w:r>
          </w:p>
        </w:tc>
        <w:tc>
          <w:tcPr>
            <w:tcW w:w="4950" w:type="dxa"/>
            <w:tcMar>
              <w:top w:w="60" w:type="dxa"/>
              <w:left w:w="100" w:type="dxa"/>
              <w:bottom w:w="60" w:type="dxa"/>
              <w:right w:w="100" w:type="dxa"/>
            </w:tcMar>
          </w:tcPr>
          <w:p>
            <w:pPr>
              <w:spacing w:after="20" w:line="270" w:lineRule="auto"/>
            </w:pPr>
            <w:r>
              <w:rPr>
                <w:sz w:val="18"/>
              </w:rPr>
              <w:t xml:space="preserve">Record claim not supported and its source boundary.</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5823" b="35823"/>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 useful exercise synthesis describes an interpretation of the examples and the question it raises. It should not claim actual research insights, validated needs or a tested service improvement.</w:t>
      </w:r>
    </w:p>
    <w:p>
      <w:pPr>
        <w:spacing w:after="130" w:line="270" w:lineRule="auto"/>
      </w:pPr>
      <w:r>
        <w:rPr>
          <w:sz w:val="22"/>
        </w:rPr>
        <w:t xml:space="preserve">A bounded statement is that the six invented extracts illustrate several ways to discuss card interpretation: finding, clarifying, recognising versions and using examples. The statement remains about the teaching material, not about real readers.</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Which phrase would accidentally turn an illustrative theme into an empirical finding?</w:t>
      </w:r>
    </w:p>
    <w:p>
      <w:r>
        <w:br w:type="page"/>
      </w:r>
    </w:p>
    <w:p>
      <w:pPr>
        <w:spacing w:after="130" w:line="270" w:lineRule="auto"/>
      </w:pPr>
      <w:r>
        <w:rPr>
          <w:sz w:val="18"/>
        </w:rPr>
        <w:t xml:space="preserve">10 / INTERVIEW SYNTHESIS</w:t>
      </w:r>
    </w:p>
    <w:p>
      <w:pPr>
        <w:pStyle w:val="Heading1"/>
        <w:spacing w:after="200" w:line="270" w:lineRule="auto"/>
      </w:pPr>
      <w:r>
        <w:rPr>
          <w:sz w:val="40"/>
          <w:b/>
        </w:rPr>
        <w:t xml:space="preserve">Turn themes into questions to verify.</w:t>
      </w:r>
    </w:p>
    <w:tbl>
      <w:tblPr>
        <w:tblW w:w="0" w:type="auto"/>
        <w:tblBorders>
          <w:top w:val="single" w:sz="6" w:color="784460"/>
          <w:left w:val="single" w:sz="4" w:color="784460"/>
          <w:bottom w:val="single" w:sz="6" w:color="784460"/>
          <w:right w:val="single" w:sz="4" w:color="784460"/>
          <w:insideH w:val="single" w:sz="3" w:color="B8C6CC"/>
          <w:insideV w:val="single" w:sz="3" w:color="B8C6CC"/>
        </w:tblBorders>
      </w:tblPr>
      <w:tr>
        <w:tc>
          <w:tcPr>
            <w:tcW w:w="4950" w:type="dxa"/>
            <w:shd w:fill="E8EFF3"/>
            <w:tcMar>
              <w:top w:w="60" w:type="dxa"/>
              <w:left w:w="100" w:type="dxa"/>
              <w:bottom w:w="60" w:type="dxa"/>
              <w:right w:w="100" w:type="dxa"/>
            </w:tcMar>
          </w:tcPr>
          <w:p>
            <w:pPr>
              <w:spacing w:after="20" w:line="270" w:lineRule="auto"/>
            </w:pPr>
            <w:r>
              <w:rPr>
                <w:sz w:val="18"/>
                <w:b/>
              </w:rPr>
              <w:t xml:space="preserve">INVENTED MATERIAL</w:t>
            </w:r>
          </w:p>
        </w:tc>
        <w:tc>
          <w:tcPr>
            <w:tcW w:w="4950" w:type="dxa"/>
            <w:shd w:fill="E8EFF3"/>
            <w:tcMar>
              <w:top w:w="60" w:type="dxa"/>
              <w:left w:w="100" w:type="dxa"/>
              <w:bottom w:w="60" w:type="dxa"/>
              <w:right w:w="100" w:type="dxa"/>
            </w:tcMar>
          </w:tcPr>
          <w:p>
            <w:pPr>
              <w:spacing w:after="20" w:line="270" w:lineRule="auto"/>
            </w:pPr>
            <w:r>
              <w:rPr>
                <w:sz w:val="18"/>
                <w:b/>
              </w:rPr>
              <w:t xml:space="preserve">6 extracts / 0 actual interviews</w:t>
            </w:r>
          </w:p>
        </w:tc>
      </w:tr>
      <w:tr>
        <w:tc>
          <w:tcPr>
            <w:tcW w:w="4950" w:type="dxa"/>
            <w:shd w:fill="E8EFF3"/>
            <w:tcMar>
              <w:top w:w="60" w:type="dxa"/>
              <w:left w:w="100" w:type="dxa"/>
              <w:bottom w:w="60" w:type="dxa"/>
              <w:right w:w="100" w:type="dxa"/>
            </w:tcMar>
          </w:tcPr>
          <w:p>
            <w:pPr>
              <w:spacing w:after="20" w:line="270" w:lineRule="auto"/>
            </w:pPr>
            <w:r>
              <w:rPr>
                <w:sz w:val="18"/>
              </w:rPr>
              <w:t xml:space="preserve">MULTI-LABEL CODING</w:t>
            </w:r>
          </w:p>
        </w:tc>
        <w:tc>
          <w:tcPr>
            <w:tcW w:w="4950" w:type="dxa"/>
            <w:tcMar>
              <w:top w:w="60" w:type="dxa"/>
              <w:left w:w="100" w:type="dxa"/>
              <w:bottom w:w="60" w:type="dxa"/>
              <w:right w:w="100" w:type="dxa"/>
            </w:tcMar>
          </w:tcPr>
          <w:p>
            <w:pPr>
              <w:spacing w:after="20" w:line="270" w:lineRule="auto"/>
            </w:pPr>
            <w:r>
              <w:rPr>
                <w:sz w:val="18"/>
              </w:rPr>
              <w:t xml:space="preserve">9 assignments across 4 themes</w:t>
            </w:r>
          </w:p>
        </w:tc>
      </w:tr>
      <w:tr>
        <w:tc>
          <w:tcPr>
            <w:tcW w:w="4950" w:type="dxa"/>
            <w:shd w:fill="E8EFF3"/>
            <w:tcMar>
              <w:top w:w="60" w:type="dxa"/>
              <w:left w:w="100" w:type="dxa"/>
              <w:bottom w:w="60" w:type="dxa"/>
              <w:right w:w="100" w:type="dxa"/>
            </w:tcMar>
          </w:tcPr>
          <w:p>
            <w:pPr>
              <w:spacing w:after="20" w:line="270" w:lineRule="auto"/>
            </w:pPr>
            <w:r>
              <w:rPr>
                <w:sz w:val="18"/>
              </w:rPr>
              <w:t xml:space="preserve">Verification question</w:t>
            </w:r>
          </w:p>
        </w:tc>
        <w:tc>
          <w:tcPr>
            <w:tcW w:w="4950" w:type="dxa"/>
            <w:tcMar>
              <w:top w:w="60" w:type="dxa"/>
              <w:left w:w="100" w:type="dxa"/>
              <w:bottom w:w="60" w:type="dxa"/>
              <w:right w:w="100" w:type="dxa"/>
            </w:tcMar>
          </w:tcPr>
          <w:p>
            <w:pPr>
              <w:spacing w:after="20" w:line="270" w:lineRule="auto"/>
            </w:pPr>
            <w:r>
              <w:rPr>
                <w:sz w:val="18"/>
              </w:rPr>
              <w:t xml:space="preserve">Record verification question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Appropriate next source</w:t>
            </w:r>
          </w:p>
        </w:tc>
        <w:tc>
          <w:tcPr>
            <w:tcW w:w="4950" w:type="dxa"/>
            <w:tcMar>
              <w:top w:w="60" w:type="dxa"/>
              <w:left w:w="100" w:type="dxa"/>
              <w:bottom w:w="60" w:type="dxa"/>
              <w:right w:w="100" w:type="dxa"/>
            </w:tcMar>
          </w:tcPr>
          <w:p>
            <w:pPr>
              <w:spacing w:after="20" w:line="270" w:lineRule="auto"/>
            </w:pPr>
            <w:r>
              <w:rPr>
                <w:sz w:val="18"/>
              </w:rPr>
              <w:t xml:space="preserve">Record appropriate next source and its source boundary.</w:t>
            </w:r>
          </w:p>
        </w:tc>
      </w:tr>
      <w:tr>
        <w:tc>
          <w:tcPr>
            <w:tcW w:w="4950" w:type="dxa"/>
            <w:shd w:fill="E8EFF3"/>
            <w:tcMar>
              <w:top w:w="60" w:type="dxa"/>
              <w:left w:w="100" w:type="dxa"/>
              <w:bottom w:w="60" w:type="dxa"/>
              <w:right w:w="100" w:type="dxa"/>
            </w:tcMar>
          </w:tcPr>
          <w:p>
            <w:pPr>
              <w:spacing w:after="20" w:line="270" w:lineRule="auto"/>
            </w:pPr>
            <w:r>
              <w:rPr>
                <w:sz w:val="18"/>
              </w:rPr>
              <w:t xml:space="preserve">Handoff artifact</w:t>
            </w:r>
          </w:p>
        </w:tc>
        <w:tc>
          <w:tcPr>
            <w:tcW w:w="4950" w:type="dxa"/>
            <w:tcMar>
              <w:top w:w="60" w:type="dxa"/>
              <w:left w:w="100" w:type="dxa"/>
              <w:bottom w:w="60" w:type="dxa"/>
              <w:right w:w="100" w:type="dxa"/>
            </w:tcMar>
          </w:tcPr>
          <w:p>
            <w:pPr>
              <w:spacing w:after="20" w:line="270" w:lineRule="auto"/>
            </w:pPr>
            <w:r>
              <w:rPr>
                <w:sz w:val="18"/>
              </w:rPr>
              <w:t xml:space="preserve">Record handoff artifact and its source boundary.</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5823" b="35823"/>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Finish with questions that could be investigated through appropriate real methods. Keep the invented extract export and analytic limitations with the report.</w:t>
      </w:r>
    </w:p>
    <w:p>
      <w:pPr>
        <w:spacing w:after="130" w:line="270" w:lineRule="auto"/>
      </w:pPr>
      <w:r>
        <w:rPr>
          <w:sz w:val="22"/>
        </w:rPr>
        <w:t xml:space="preserve">A future inquiry might examine when a version label matters and which help route fits a defined context. That inquiry would require its own suitable design and permissions. This template has not recruited, interviewed or studied anyone.</w:t>
      </w:r>
    </w:p>
    <w:p>
      <w:pPr>
        <w:pStyle w:val="Heading2"/>
        <w:spacing w:after="120" w:line="270" w:lineRule="auto"/>
      </w:pPr>
      <w:r>
        <w:rPr>
          <w:sz w:val="28"/>
          <w:b/>
        </w:rPr>
        <w:t xml:space="preserve">Analyst record / trace the source</w:t>
      </w:r>
    </w:p>
    <w:p>
      <w:pPr>
        <w:spacing w:after="100" w:line="270" w:lineRule="auto"/>
      </w:pPr>
      <w:r>
        <w:rPr>
          <w:sz w:val="20"/>
        </w:rPr>
        <w:t xml:space="preserve">Separate the supplied synthetic result from your interpretation and any real-world evidence still needed.</w:t>
      </w:r>
    </w:p>
    <w:p>
      <w:pPr>
        <w:spacing w:after="90" w:line="270" w:lineRule="auto"/>
      </w:pPr>
      <w:r>
        <w:rPr>
          <w:sz w:val="17"/>
          <w:b/>
        </w:rPr>
        <w:t xml:space="preserve">QUESTION FOR THE NEXT READER</w:t>
      </w:r>
    </w:p>
    <w:p>
      <w:pPr>
        <w:spacing w:after="130" w:line="270" w:lineRule="auto"/>
      </w:pPr>
      <w:r>
        <w:rPr>
          <w:sz w:val="22"/>
        </w:rPr>
        <w:t xml:space="preserve">What evidence would be needed before acting on this theme map?</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INTERVIEW SYNTHESIS / FICTIONAL SYNTHESIS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