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400"/>
      </w:pPr>
      <w:r>
        <w:rPr>
          <w:rFonts w:ascii="Noto Sans SC" w:cs="Noto Sans SC" w:eastAsia="Noto Sans SC" w:hAnsi="Noto Sans SC"/>
          <w:b/>
          <w:bCs/>
          <w:color w:val="264B40"/>
          <w:sz w:val="20"/>
          <w:szCs w:val="20"/>
        </w:rPr>
        <w:t xml:space="preserve">DESIGNBUDDY  /  WORD PRO</w:t>
      </w:r>
    </w:p>
    <w:p>
      <w:pPr>
        <w:spacing w:after="400"/>
      </w:pPr>
      <w:r>
        <w:rPr>
          <w:rFonts w:ascii="Noto Sans SC" w:cs="Noto Sans SC" w:eastAsia="Noto Sans SC" w:hAnsi="Noto Sans SC"/>
          <w:color w:val="264B40"/>
          <w:sz w:val="24"/>
          <w:szCs w:val="24"/>
        </w:rPr>
        <w:t xml:space="preserve">商业报告</w:t>
      </w:r>
    </w:p>
    <w:p>
      <w:pPr>
        <w:spacing w:after="500"/>
      </w:pPr>
      <w:r>
        <w:rPr>
          <w:rFonts w:ascii="Noto Sans SC" w:cs="Noto Sans SC" w:eastAsia="Noto Sans SC" w:hAnsi="Noto Sans SC"/>
          <w:b/>
          <w:bCs/>
          <w:color w:val="264B40"/>
          <w:sz w:val="64"/>
          <w:szCs w:val="64"/>
        </w:rPr>
        <w:t xml:space="preserve">从文件生成到可核对交付</w:t>
      </w:r>
    </w:p>
    <w:p>
      <w:r>
        <w:rPr>
          <w:rFonts w:ascii="Noto Sans SC" w:cs="Noto Sans SC" w:eastAsia="Noto Sans SC" w:hAnsi="Noto Sans SC"/>
        </w:rPr>
        <w:t xml:space="preserve">原创方法示例 · 未经商业验收 · 不代表真实业务数据</w:t>
      </w:r>
    </w:p>
    <w:p>
      <w:pPr>
        <w:spacing w:before="800"/>
      </w:pPr>
      <w:r>
        <w:rPr>
          <w:rFonts w:ascii="Noto Sans SC" w:cs="Noto Sans SC" w:eastAsia="Noto Sans SC" w:hAnsi="Noto Sans SC"/>
        </w:rPr>
        <w:t xml:space="preserve">草稿 · 需人工复核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原生内容 / 同源预览 / 可追踪检查</w:t>
      </w:r>
    </w:p>
    <w:p>
      <w:pPr>
        <w:pStyle w:val="Heading1"/>
        <w:pageBreakBefore/>
      </w:pPr>
      <w:r>
        <w:rPr>
          <w:rFonts w:ascii="Noto Sans SC" w:cs="Noto Sans SC" w:eastAsia="Noto Sans SC" w:hAnsi="Noto Sans SC"/>
        </w:rPr>
        <w:t xml:space="preserve">章节导航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以下为无页码的原生章节链接，不是已经刷新页码的自动目录。</w:t>
      </w:r>
    </w:p>
    <w:p>
      <w:pPr>
        <w:spacing w:after="140"/>
        <w:ind w:left="0"/>
      </w:pPr>
      <w:hyperlink w:history="1" w:anchor="summary">
        <w:r>
          <w:rPr>
            <w:rFonts w:ascii="Noto Sans SC" w:cs="Noto Sans SC" w:eastAsia="Noto Sans SC" w:hAnsi="Noto Sans SC"/>
            <w:color w:val="264B40"/>
          </w:rPr>
          <w:t xml:space="preserve">执行摘要</w:t>
        </w:r>
      </w:hyperlink>
    </w:p>
    <w:p>
      <w:pPr>
        <w:spacing w:after="140"/>
        <w:ind w:left="0"/>
      </w:pPr>
      <w:hyperlink w:history="1" w:anchor="analysis">
        <w:r>
          <w:rPr>
            <w:rFonts w:ascii="Noto Sans SC" w:cs="Noto Sans SC" w:eastAsia="Noto Sans SC" w:hAnsi="Noto Sans SC"/>
            <w:color w:val="264B40"/>
          </w:rPr>
          <w:t xml:space="preserve">分析与依据</w:t>
        </w:r>
      </w:hyperlink>
    </w:p>
    <w:p>
      <w:pPr>
        <w:spacing w:after="140"/>
        <w:ind w:left="0"/>
      </w:pPr>
      <w:hyperlink w:history="1" w:anchor="recommendations">
        <w:r>
          <w:rPr>
            <w:rFonts w:ascii="Noto Sans SC" w:cs="Noto Sans SC" w:eastAsia="Noto Sans SC" w:hAnsi="Noto Sans SC"/>
            <w:color w:val="264B40"/>
          </w:rPr>
          <w:t xml:space="preserve">建议与行动</w:t>
        </w:r>
      </w:hyperlink>
    </w:p>
    <w:p>
      <w:pPr>
        <w:pStyle w:val="Heading1"/>
        <w:keepNext w:val="false"/>
      </w:pPr>
      <w:bookmarkStart w:name="summary" w:id="1"/>
      <w:r>
        <w:rPr>
          <w:rFonts w:ascii="Noto Sans SC" w:cs="Noto Sans SC" w:eastAsia="Noto Sans SC" w:hAnsi="Noto Sans SC"/>
        </w:rPr>
        <w:t xml:space="preserve">执行摘要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本报告讨论如何把文档交付从“文件能够下载”推进到“内容可核对、排版可解释、问题可追踪”。它是一份原创方法示例，不代表任何客户项目、审批决定或实测效果。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建议先验证原生结构与真实分页，再扩展自动写作。生成成功仅表示执行完成；事实、视觉效果与目标办公软件的表现仍需分别核验。缺失证据应保留为待确认项，不以流畅文案掩盖。</w:t>
      </w:r>
    </w:p>
    <w:p>
      <w:pPr>
        <w:pStyle w:val="Heading1"/>
        <w:keepNext/>
      </w:pPr>
      <w:bookmarkStart w:name="analysis" w:id="1"/>
      <w:r>
        <w:rPr>
          <w:rFonts w:ascii="Noto Sans SC" w:cs="Noto Sans SC" w:eastAsia="Noto Sans SC" w:hAnsi="Noto Sans SC"/>
        </w:rPr>
        <w:t xml:space="preserve">分析与依据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同一段文字可以被不同引擎排成不同页面。独立生成的PDF不能证明DOCX的实际分页；应以最终DOCX为输入导出PDF，并将文件哈希、页数、字体与渲染引擎写入记录。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结构检查能够核对标题层级、表格列宽与来源引用，却不能单独证明文字没有遮挡。真实页图能提供视觉证据，但也不能自动证明事实正确或在Microsoft Word中完全一致。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正文应使用统一的段落样式，而不是逐段复制直接格式。标题需要与后文保持，长段落应允许合理跨页。对所有内容设置“不拆分”可能引发大块留白，不能把这种留白一律判定为引擎错误。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表格应先明确字段含义、单位、范围与计算规则，再处理列宽和重复表头。数字以原字符串保留，不为排版而转成百分数、合并不同统计范围或隐藏行列。跨页后的可读性需要查看全部页图。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目录有两种不同承诺：章节导航只说明结构；带页码的自动目录还要求域刷新与缓存一致。本例提供无页码章节导航，不把它冒充已经刷新正确的自动页码目录。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来源编号只证明位置存在，不证明句意被来源支持。审阅者应分别核查原始事实、合理推断和行动建议；建议关卡不是已完成的进度，空白的验收框也不等于通过。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交付检查矩阵</w:t>
      </w:r>
    </w:p>
    <w:tbl>
      <w:tblPr>
        <w:tblW w:type="dxa" w:w="153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  <w:gridCol w:w="5102"/>
      </w:tblGrid>
      <w:tr>
        <w:trPr>
          <w:cantSplit w:val="false"/>
          <w:tblHeader w:val="false"/>
        </w:trPr>
        <w:tc>
          <w:tcPr>
            <w:tcW w:type="dxa" w:w="5102"/>
            <w:shd w:fill="264B40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检查对象</w:t>
            </w:r>
          </w:p>
        </w:tc>
        <w:tc>
          <w:tcPr>
            <w:tcW w:type="dxa" w:w="5102"/>
            <w:shd w:fill="264B40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自动检查依据</w:t>
            </w:r>
          </w:p>
        </w:tc>
        <w:tc>
          <w:tcPr>
            <w:tcW w:type="dxa" w:w="5102"/>
            <w:shd w:fill="264B40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仍需人工确认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正文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DOCX文字与输入清单比对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事实与推断是否成立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标题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层级、保护属性与PDF位置候选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章节节奏是否合理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表格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列宽、表头、逐单元格内容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跨页观感与业务口径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图片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尺寸、比例与规范化素材哈希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内容、版权与证据范围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目录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原生章节导航链接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本例不提供自动目录页码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页码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实际PDF页数与字段配置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目标软件字段刷新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字体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部署字体哈希与渲染报告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目标客户端字体环境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修复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动作、轮次与内容清单比对</w:t>
            </w:r>
          </w:p>
        </w:tc>
        <w:tc>
          <w:tcPr>
            <w:tcW w:type="dxa" w:w="5102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复杂遮挡与阅读体验</w:t>
            </w:r>
          </w:p>
        </w:tc>
      </w:tr>
      <w:tr>
        <w:trPr>
          <w:cantSplit w:val="false"/>
          <w:tblHeader w:val="false"/>
        </w:trPr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兼容性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本地LibreOffice渲染记录</w:t>
            </w:r>
          </w:p>
        </w:tc>
        <w:tc>
          <w:tcPr>
            <w:tcW w:type="dxa" w:w="5102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Microsoft Word/WPS实际打开</w:t>
            </w:r>
          </w:p>
        </w:tc>
      </w:tr>
    </w:tbl>
    <w:p>
      <w:pPr>
        <w:pStyle w:val="CaptionText"/>
      </w:pPr>
      <w:r>
        <w:rPr>
          <w:rFonts w:ascii="Noto Sans SC" w:cs="Noto Sans SC" w:eastAsia="Noto Sans SC" w:hAnsi="Noto Sans SC"/>
        </w:rPr>
        <w:t xml:space="preserve">口径：原创方法示例；不是任何项目的实际验收结果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计算：文本检查矩阵，无数值计算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来源：[source-1] 原创排版教学案例 · 本请求内嵌全文；不是业务原件</w:t>
      </w:r>
    </w:p>
    <w:p>
      <w:pPr>
        <w:keepNext/>
        <w:jc w:val="center"/>
      </w:pPr>
      <w:r>
        <w:drawing>
          <wp:inline distT="0" distB="0" distL="0" distR="0">
            <wp:extent cx="5400000" cy="1512000"/>
            <wp:effectExtent t="0" r="0" b="0" l="0"/>
            <wp:docPr id="1" name="delivery-image" descr="原生DOCX、同源PDF与全页图、质量与修复记录" title="交付关系示意（图片对象，不是可逐节点编辑图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交付关系示意（图片对象，不是可逐节点编辑图形）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原生DOCX、同源PDF与全页图、质量与修复记录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许可：项目原创示意图，允许用于此公开案例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来源：[source-image] 本地脚本绘制的流程示意图 · scripts/generate-word-pro.cjs diagram() · AI/概念/装饰用途不证明事实</w:t>
      </w:r>
    </w:p>
    <w:p>
      <w:pPr>
        <w:pStyle w:val="Heading1"/>
        <w:keepNext/>
      </w:pPr>
      <w:bookmarkStart w:name="recommendations" w:id="1"/>
      <w:r>
        <w:rPr>
          <w:rFonts w:ascii="Noto Sans SC" w:cs="Noto Sans SC" w:eastAsia="Noto Sans SC" w:hAnsi="Noto Sans SC"/>
        </w:rPr>
        <w:t xml:space="preserve">建议与行动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先用固定、可追踪的材料建立排版基线，同时保存正文和单元格清单。修复只能更改受支持的版式参数，不能删除正文、隐藏数据或擅自改写结论来消除溢出。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允许自动执行的动作应保持有限：按版心重分列宽、恢复重复表头、保护标题以及等比例缩放超框图片。无法可靠定位的问题应转人工，不通过不断重试制造虚假的成功。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每一轮修复都要重新渲染整份文件。前文表格宽度变化会影响后文分页，因此只查看原来出错的一页是不充分的。达到次数或时间预算后停止，并保留未解决问题。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交付前请逐页检查封面、章节导航、正文、表格、页眉页脚和来源附录。随后在目标Word或WPS版本中打开，记录字体环境与分页差异。只有完成相应验证，才能作出对应范围的结论。</w:t>
      </w:r>
    </w:p>
    <w:p>
      <w:pPr>
        <w:pStyle w:val="Heading1"/>
      </w:pPr>
      <w:bookmarkStart w:name="word-pro-source-appendix" w:id="1"/>
      <w:r>
        <w:rPr>
          <w:rFonts w:ascii="Noto Sans SC" w:cs="Noto Sans SC" w:eastAsia="Noto Sans SC" w:hAnsi="Noto Sans SC"/>
        </w:rPr>
        <w:t xml:space="preserve">资料原文附录 / WORD PRO SOURCES</w:t>
      </w:r>
      <w:bookmarkEnd w:id="1"/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来源仅作定位，不代表核验；完整原文及哈希见交付包content-manifest.json。</w:t>
      </w:r>
    </w:p>
    <w:p>
      <w:pPr>
        <w:pStyle w:val="CaptionText"/>
        <w:keepLines/>
        <w:widowControl/>
      </w:pPr>
      <w:r>
        <w:rPr>
          <w:rFonts w:ascii="Noto Sans SC" w:cs="Noto Sans SC" w:eastAsia="Noto Sans SC" w:hAnsi="Noto Sans SC"/>
        </w:rPr>
        <w:t xml:space="preserve">[source-1] 原创排版教学案例 · 本请求内嵌全文；不是业务原件</w:t>
      </w:r>
    </w:p>
    <w:p>
      <w:pPr>
        <w:pStyle w:val="CaptionText"/>
        <w:keepLines/>
        <w:widowControl/>
      </w:pPr>
      <w:r>
        <w:rPr>
          <w:rFonts w:ascii="Noto Sans SC" w:cs="Noto Sans SC" w:eastAsia="Noto Sans SC" w:hAnsi="Noto Sans SC"/>
        </w:rPr>
        <w:t xml:space="preserve">[source-image] 本地脚本绘制的流程示意图 · scripts/generate-word-pro.cjs diagram()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DOCX不内嵌字体；接收端需安装Noto Sans SC。LibreOffice渲染不等于Microsoft Word/WPS验收。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cs="Noto Sans SC" w:eastAsia="Noto Sans SC" w:hAnsi="Noto Sans SC"/>
        <w:sz w:val="16"/>
        <w:szCs w:val="16"/>
      </w:rPr>
      <w:t xml:space="preserve">草稿 ·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sz w:val="16"/>
        <w:szCs w:val="16"/>
      </w:rPr>
      <w:t xml:space="preserve"> /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6D1" w:sz="4"/>
      </w:pBdr>
    </w:pPr>
    <w:r>
      <w:rPr>
        <w:rFonts w:ascii="Noto Sans SC" w:cs="Noto Sans SC" w:eastAsia="Noto Sans SC" w:hAnsi="Noto Sans SC"/>
        <w:color w:val="264B40"/>
        <w:sz w:val="16"/>
        <w:szCs w:val="16"/>
      </w:rPr>
      <w:t xml:space="preserve">DesignBuddy · 商业报告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26312E"/>
        <w:sz w:val="22"/>
        <w:szCs w:val="22"/>
      </w:rPr>
    </w:rPrDefault>
    <w:pPrDefault>
      <w:pPr>
        <w:spacing w:after="16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80"/>
    </w:pPr>
    <w:rPr>
      <w:rFonts w:ascii="Noto Sans SC" w:cs="Noto Sans SC" w:eastAsia="Noto Sans SC" w:hAnsi="Noto Sans SC"/>
      <w:b/>
      <w:bCs/>
      <w:color w:val="264B4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20" w:after="140"/>
    </w:pPr>
    <w:rPr>
      <w:rFonts w:ascii="Noto Sans SC" w:cs="Noto Sans SC" w:eastAsia="Noto Sans SC" w:hAnsi="Noto Sans SC"/>
      <w:b/>
      <w:bCs/>
      <w:color w:val="264B4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120"/>
    </w:pPr>
    <w:rPr>
      <w:rFonts w:ascii="Noto Sans SC" w:cs="Noto Sans SC" w:eastAsia="Noto Sans SC" w:hAnsi="Noto Sans SC"/>
      <w:b/>
      <w:bCs/>
      <w:color w:val="264B40"/>
      <w:sz w:val="24"/>
      <w:szCs w:val="24"/>
    </w:rPr>
  </w:style>
  <w:style w:type="paragraph" w:styleId="CaptionText">
    <w:name w:val="Caption text"/>
    <w:basedOn w:val="Normal"/>
    <w:pPr>
      <w:spacing w:after="100" w:line="260"/>
    </w:pPr>
    <w:rPr>
      <w:rFonts w:ascii="Noto Sans SC" w:cs="Noto Sans SC" w:eastAsia="Noto Sans SC" w:hAnsi="Noto Sans SC"/>
      <w:color w:val="55645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8453851416f406baf237b3b143daba99b052a0b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从文件生成到可核对交付</dc:title>
  <dc:creator>DesignBuddy</dc:creator>
  <dc:description>word-pro-1.0.0; requires human review</dc:description>
  <cp:lastModifiedBy>Un-named</cp:lastModifiedBy>
  <cp:revision>1</cp:revision>
  <dcterms:created xsi:type="dcterms:W3CDTF">2026-10-19T07:17:33.119Z</dcterms:created>
  <dcterms:modified xsi:type="dcterms:W3CDTF">2026-10-19T07:17:33.119Z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