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400"/>
      </w:pPr>
      <w:r>
        <w:rPr>
          <w:rFonts w:ascii="Noto Sans SC" w:cs="Noto Sans SC" w:eastAsia="Noto Sans SC" w:hAnsi="Noto Sans SC"/>
          <w:b/>
          <w:bCs/>
          <w:color w:val="245786"/>
          <w:sz w:val="20"/>
          <w:szCs w:val="20"/>
        </w:rPr>
        <w:t xml:space="preserve">DESIGNBUDDY  /  WORD PRO</w:t>
      </w:r>
    </w:p>
    <w:p>
      <w:pPr>
        <w:spacing w:after="400"/>
      </w:pPr>
      <w:r>
        <w:rPr>
          <w:rFonts w:ascii="Noto Sans SC" w:cs="Noto Sans SC" w:eastAsia="Noto Sans SC" w:hAnsi="Noto Sans SC"/>
          <w:color w:val="245786"/>
          <w:sz w:val="24"/>
          <w:szCs w:val="24"/>
        </w:rPr>
        <w:t xml:space="preserve">项目方案</w:t>
      </w:r>
    </w:p>
    <w:p>
      <w:pPr>
        <w:spacing w:after="500"/>
      </w:pPr>
      <w:r>
        <w:rPr>
          <w:rFonts w:ascii="Noto Sans SC" w:cs="Noto Sans SC" w:eastAsia="Noto Sans SC" w:hAnsi="Noto Sans SC"/>
          <w:b/>
          <w:bCs/>
          <w:color w:val="245786"/>
          <w:sz w:val="64"/>
          <w:szCs w:val="64"/>
        </w:rPr>
        <w:t xml:space="preserve">文档交付质量提升项目方案</w:t>
      </w:r>
    </w:p>
    <w:p>
      <w:r>
        <w:rPr>
          <w:rFonts w:ascii="Noto Sans SC" w:cs="Noto Sans SC" w:eastAsia="Noto Sans SC" w:hAnsi="Noto Sans SC"/>
        </w:rPr>
        <w:t xml:space="preserve">原创方法示例 · 未经商业验收 · 不代表真实业务数据</w:t>
      </w:r>
    </w:p>
    <w:p>
      <w:pPr>
        <w:spacing w:before="800"/>
      </w:pPr>
      <w:r>
        <w:rPr>
          <w:rFonts w:ascii="Noto Sans SC" w:cs="Noto Sans SC" w:eastAsia="Noto Sans SC" w:hAnsi="Noto Sans SC"/>
        </w:rPr>
        <w:t xml:space="preserve">草稿 · 需人工复核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原生内容 / 同源预览 / 可追踪检查</w:t>
      </w:r>
    </w:p>
    <w:p>
      <w:pPr>
        <w:pStyle w:val="Heading1"/>
        <w:pageBreakBefore/>
      </w:pPr>
      <w:r>
        <w:rPr>
          <w:rFonts w:ascii="Noto Sans SC" w:cs="Noto Sans SC" w:eastAsia="Noto Sans SC" w:hAnsi="Noto Sans SC"/>
        </w:rPr>
        <w:t xml:space="preserve">章节导航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以下为无页码的原生章节链接，不是已经刷新页码的自动目录。</w:t>
      </w:r>
    </w:p>
    <w:p>
      <w:pPr>
        <w:spacing w:after="140"/>
        <w:ind w:left="0"/>
      </w:pPr>
      <w:hyperlink w:history="1" w:anchor="objectives">
        <w:r>
          <w:rPr>
            <w:rFonts w:ascii="Noto Sans SC" w:cs="Noto Sans SC" w:eastAsia="Noto Sans SC" w:hAnsi="Noto Sans SC"/>
            <w:color w:val="245786"/>
          </w:rPr>
          <w:t xml:space="preserve">目标与背景</w:t>
        </w:r>
      </w:hyperlink>
    </w:p>
    <w:p>
      <w:pPr>
        <w:spacing w:after="140"/>
        <w:ind w:left="0"/>
      </w:pPr>
      <w:hyperlink w:history="1" w:anchor="scope">
        <w:r>
          <w:rPr>
            <w:rFonts w:ascii="Noto Sans SC" w:cs="Noto Sans SC" w:eastAsia="Noto Sans SC" w:hAnsi="Noto Sans SC"/>
            <w:color w:val="245786"/>
          </w:rPr>
          <w:t xml:space="preserve">范围与非范围</w:t>
        </w:r>
      </w:hyperlink>
    </w:p>
    <w:p>
      <w:pPr>
        <w:spacing w:after="140"/>
        <w:ind w:left="0"/>
      </w:pPr>
      <w:hyperlink w:history="1" w:anchor="deliverables">
        <w:r>
          <w:rPr>
            <w:rFonts w:ascii="Noto Sans SC" w:cs="Noto Sans SC" w:eastAsia="Noto Sans SC" w:hAnsi="Noto Sans SC"/>
            <w:color w:val="245786"/>
          </w:rPr>
          <w:t xml:space="preserve">交付物与建议关卡</w:t>
        </w:r>
      </w:hyperlink>
    </w:p>
    <w:p>
      <w:pPr>
        <w:spacing w:after="140"/>
        <w:ind w:left="0"/>
      </w:pPr>
      <w:hyperlink w:history="1" w:anchor="risks">
        <w:r>
          <w:rPr>
            <w:rFonts w:ascii="Noto Sans SC" w:cs="Noto Sans SC" w:eastAsia="Noto Sans SC" w:hAnsi="Noto Sans SC"/>
            <w:color w:val="245786"/>
          </w:rPr>
          <w:t xml:space="preserve">风险与应对</w:t>
        </w:r>
      </w:hyperlink>
    </w:p>
    <w:p>
      <w:pPr>
        <w:spacing w:after="140"/>
        <w:ind w:left="0"/>
      </w:pPr>
      <w:hyperlink w:history="1" w:anchor="acceptance">
        <w:r>
          <w:rPr>
            <w:rFonts w:ascii="Noto Sans SC" w:cs="Noto Sans SC" w:eastAsia="Noto Sans SC" w:hAnsi="Noto Sans SC"/>
            <w:color w:val="245786"/>
          </w:rPr>
          <w:t xml:space="preserve">验收条件</w:t>
        </w:r>
      </w:hyperlink>
    </w:p>
    <w:p>
      <w:pPr>
        <w:pStyle w:val="Heading1"/>
        <w:keepNext/>
      </w:pPr>
      <w:bookmarkStart w:name="objectives" w:id="1"/>
      <w:r>
        <w:rPr>
          <w:rFonts w:ascii="Noto Sans SC" w:cs="Noto Sans SC" w:eastAsia="Noto Sans SC" w:hAnsi="Noto Sans SC"/>
        </w:rPr>
        <w:t xml:space="preserve">目标与背景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本项目方案以“保全输入内容、生成可编辑正文、提供同源预览”为目标。此处描述的是建议实施方法，不代表立项已批准、人员已到位或资源已经承诺。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先区分生成新文档与编辑原稿：读取原稿作为来源不等于无损往返。对不支持的修订、复杂域或嵌入对象，应明确告知边界，不把部分提取的结果称作完整还原。</w:t>
      </w:r>
    </w:p>
    <w:p>
      <w:pPr>
        <w:pStyle w:val="Heading1"/>
        <w:keepNext/>
      </w:pPr>
      <w:bookmarkStart w:name="scope" w:id="1"/>
      <w:r>
        <w:rPr>
          <w:rFonts w:ascii="Noto Sans SC" w:cs="Noto Sans SC" w:eastAsia="Noto Sans SC" w:hAnsi="Noto Sans SC"/>
        </w:rPr>
        <w:t xml:space="preserve">范围与非范围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本期范围为商业报告与项目方案的结构化排版、原生表格和有限图片布局。未列入范围的内容包括任意旧稿无损编辑、法律有效性审查和复杂图表的逐节点编辑。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外部模型、图像生成和在线检索属于不同的授权范围。没有单次授权，不应把材料发送给这些服务；没有通道配置，也不能用固定范文或占位图片冒充生成结果。</w:t>
      </w:r>
    </w:p>
    <w:p>
      <w:pPr>
        <w:pStyle w:val="Heading1"/>
        <w:keepNext/>
      </w:pPr>
      <w:bookmarkStart w:name="deliverables" w:id="1"/>
      <w:r>
        <w:rPr>
          <w:rFonts w:ascii="Noto Sans SC" w:cs="Noto Sans SC" w:eastAsia="Noto Sans SC" w:hAnsi="Noto Sans SC"/>
        </w:rPr>
        <w:t xml:space="preserve">交付物与建议关卡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交付物应包括最终DOCX、从该文件导出的PDF、逐页图像，以及来源和质量记录。每个产物应能追溯到同一个最终版本，而不是混用修复前的Word与修复后的预览。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建议按“内容清单确认—原生生成—真实渲染—有限修复—人工复核”推进。这里的关卡表示建议顺序，不构成未经评估的日期安排、预算或已完成状态。</w:t>
      </w:r>
    </w:p>
    <w:p>
      <w:pPr>
        <w:pStyle w:val="CaptionText"/>
        <w:keepNext/>
      </w:pPr>
      <w:r>
        <w:rPr>
          <w:rFonts w:ascii="Noto Sans SC" w:cs="Noto Sans SC" w:eastAsia="Noto Sans SC" w:hAnsi="Noto Sans SC"/>
        </w:rPr>
        <w:t xml:space="preserve">交付检查矩阵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3"/>
      </w:tblGrid>
      <w:tr>
        <w:trPr>
          <w:cantSplit w:val="false"/>
          <w:tblHeader/>
        </w:trPr>
        <w:tc>
          <w:tcPr>
            <w:tcW w:type="dxa" w:w="3213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检查对象</w:t>
            </w:r>
          </w:p>
        </w:tc>
        <w:tc>
          <w:tcPr>
            <w:tcW w:type="dxa" w:w="3213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自动检查依据</w:t>
            </w:r>
          </w:p>
        </w:tc>
        <w:tc>
          <w:tcPr>
            <w:tcW w:type="dxa" w:w="3213"/>
            <w:shd w:fill="245786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/>
                <w:bCs/>
                <w:color w:val="FFFFFF"/>
                <w:sz w:val="20"/>
                <w:szCs w:val="20"/>
              </w:rPr>
              <w:t xml:space="preserve">仍需人工确认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正文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DOCX文字与输入清单比对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事实与推断是否成立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标题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层级、保护属性与PDF位置候选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章节节奏是否合理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表格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列宽、表头、逐单元格内容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跨页观感与业务口径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图片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尺寸、比例与规范化素材哈希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内容、版权与证据范围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目录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原生章节导航链接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本例不提供自动目录页码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页码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实际PDF页数与字段配置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目标软件字段刷新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字体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部署字体哈希与渲染报告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目标客户端字体环境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修复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动作、轮次与内容清单比对</w:t>
            </w:r>
          </w:p>
        </w:tc>
        <w:tc>
          <w:tcPr>
            <w:tcW w:type="dxa" w:w="3213"/>
            <w:shd w:fill="FFFFFF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复杂遮挡与阅读体验</w:t>
            </w:r>
          </w:p>
        </w:tc>
      </w:tr>
      <w:tr>
        <w:trPr>
          <w:cantSplit w:val="false"/>
          <w:tblHeader w:val="false"/>
        </w:trPr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兼容性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本地LibreOffice渲染记录</w:t>
            </w:r>
          </w:p>
        </w:tc>
        <w:tc>
          <w:tcPr>
            <w:tcW w:type="dxa" w:w="3213"/>
            <w:shd w:fill="F4F6F4"/>
            <w:tcMar>
              <w:top w:type="dxa" w:w="95"/>
              <w:left w:type="dxa" w:w="110"/>
              <w:bottom w:type="dxa" w:w="95"/>
              <w:right w:type="dxa" w:w="110"/>
            </w:tcMar>
          </w:tcPr>
          <w:p>
            <w:pPr>
              <w:keepNext w:val="false"/>
              <w:widowControl/>
              <w:spacing w:before="0" w:after="40" w:line="270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color w:val="26312E"/>
                <w:sz w:val="20"/>
                <w:szCs w:val="20"/>
              </w:rPr>
              <w:t xml:space="preserve">Microsoft Word/WPS实际打开</w:t>
            </w:r>
          </w:p>
        </w:tc>
      </w:tr>
    </w:tbl>
    <w:p>
      <w:pPr>
        <w:pStyle w:val="CaptionText"/>
      </w:pPr>
      <w:r>
        <w:rPr>
          <w:rFonts w:ascii="Noto Sans SC" w:cs="Noto Sans SC" w:eastAsia="Noto Sans SC" w:hAnsi="Noto Sans SC"/>
        </w:rPr>
        <w:t xml:space="preserve">口径：原创方法示例；不是任何项目的实际验收结果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计算：文本检查矩阵，无数值计算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来源：[source-1] 原创排版教学案例 · 本请求内嵌全文；不是业务原件</w:t>
      </w:r>
    </w:p>
    <w:p>
      <w:pPr>
        <w:pStyle w:val="Heading1"/>
        <w:keepNext/>
      </w:pPr>
      <w:bookmarkStart w:name="risks" w:id="1"/>
      <w:r>
        <w:rPr>
          <w:rFonts w:ascii="Noto Sans SC" w:cs="Noto Sans SC" w:eastAsia="Noto Sans SC" w:hAnsi="Noto Sans SC"/>
        </w:rPr>
        <w:t xml:space="preserve">风险与应对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字体替换会影响行宽和分页。部署时应保留实际授权字体及许可，并在报告中记录缺字和替换信号。未报告缺字体也不等于目标客户端已安装了同一套字体。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自动修复可能把问题移动到后续页面。每轮应比较全篇问题清单和内容哈希；发生内容变化或更严重问题时停止或回退，而不是以页数变少作为质量提高的证据。</w:t>
      </w:r>
    </w:p>
    <w:p>
      <w:pPr>
        <w:pStyle w:val="Heading1"/>
        <w:keepNext/>
      </w:pPr>
      <w:bookmarkStart w:name="acceptance" w:id="1"/>
      <w:r>
        <w:rPr>
          <w:rFonts w:ascii="Noto Sans SC" w:cs="Noto Sans SC" w:eastAsia="Noto Sans SC" w:hAnsi="Noto Sans SC"/>
        </w:rPr>
        <w:t xml:space="preserve">验收条件</w:t>
      </w:r>
      <w:bookmarkEnd w:id="1"/>
    </w:p>
    <w:p>
      <w:pPr>
        <w:widowControl/>
      </w:pPr>
      <w:r>
        <w:rPr>
          <w:rFonts w:ascii="Noto Sans SC" w:cs="Noto Sans SC" w:eastAsia="Noto Sans SC" w:hAnsi="Noto Sans SC"/>
        </w:rPr>
        <w:t xml:space="preserve">自动验收核对文件结构、内容覆盖、来源绑定和实际渲染结果；人工验收核查语义、阅读体验、版权与目标软件兼容性。两者分别记录，不能相互替代。</w:t>
      </w:r>
    </w:p>
    <w:p>
      <w:pPr>
        <w:widowControl/>
      </w:pPr>
      <w:r>
        <w:rPr>
          <w:rFonts w:ascii="Noto Sans SC" w:cs="Noto Sans SC" w:eastAsia="Noto Sans SC" w:hAnsi="Noto Sans SC"/>
        </w:rPr>
        <w:t xml:space="preserve">关键内容缺失、文件打不开或严重可证实溢出不能被综合评分抵消。无法可靠确认的目录页码、文本定位或复杂遮挡应保持待审，不自动授予商业批准。</w:t>
      </w:r>
    </w:p>
    <w:p>
      <w:pPr>
        <w:pStyle w:val="Heading1"/>
      </w:pPr>
      <w:bookmarkStart w:name="word-pro-source-appendix" w:id="1"/>
      <w:r>
        <w:rPr>
          <w:rFonts w:ascii="Noto Sans SC" w:cs="Noto Sans SC" w:eastAsia="Noto Sans SC" w:hAnsi="Noto Sans SC"/>
        </w:rPr>
        <w:t xml:space="preserve">资料原文附录 / WORD PRO SOURCES</w:t>
      </w:r>
      <w:bookmarkEnd w:id="1"/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来源仅作定位，不代表核验；完整原文及哈希见交付包content-manifest.json。</w:t>
      </w:r>
    </w:p>
    <w:p>
      <w:pPr>
        <w:pStyle w:val="CaptionText"/>
        <w:keepLines/>
        <w:widowControl/>
      </w:pPr>
      <w:r>
        <w:rPr>
          <w:rFonts w:ascii="Noto Sans SC" w:cs="Noto Sans SC" w:eastAsia="Noto Sans SC" w:hAnsi="Noto Sans SC"/>
        </w:rPr>
        <w:t xml:space="preserve">[source-1] 原创排版教学案例 · 本请求内嵌全文；不是业务原件</w:t>
      </w:r>
    </w:p>
    <w:p>
      <w:pPr>
        <w:pStyle w:val="CaptionText"/>
      </w:pPr>
      <w:r>
        <w:rPr>
          <w:rFonts w:ascii="Noto Sans SC" w:cs="Noto Sans SC" w:eastAsia="Noto Sans SC" w:hAnsi="Noto Sans SC"/>
        </w:rPr>
        <w:t xml:space="preserve">DOCX不内嵌字体；接收端需安装Noto Sans SC。LibreOffice渲染不等于Microsoft Word/WPS验收。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SC" w:cs="Noto Sans SC" w:eastAsia="Noto Sans SC" w:hAnsi="Noto Sans SC"/>
        <w:sz w:val="16"/>
        <w:szCs w:val="16"/>
      </w:rPr>
      <w:t xml:space="preserve">草稿 ·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SC" w:cs="Noto Sans SC" w:eastAsia="Noto Sans SC" w:hAnsi="Noto Sans SC"/>
        <w:sz w:val="16"/>
        <w:szCs w:val="16"/>
      </w:rPr>
      <w:t xml:space="preserve"> / </w:t>
    </w:r>
    <w:r>
      <w:rPr>
        <w:rFonts w:ascii="Noto Sans SC" w:cs="Noto Sans SC" w:eastAsia="Noto Sans SC" w:hAnsi="Noto Sans S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DD6D1" w:sz="4"/>
      </w:pBdr>
    </w:pPr>
    <w:r>
      <w:rPr>
        <w:rFonts w:ascii="Noto Sans SC" w:cs="Noto Sans SC" w:eastAsia="Noto Sans SC" w:hAnsi="Noto Sans SC"/>
        <w:color w:val="245786"/>
        <w:sz w:val="16"/>
        <w:szCs w:val="16"/>
      </w:rPr>
      <w:t xml:space="preserve">DesignBuddy · 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SC" w:cs="Noto Sans SC" w:eastAsia="Noto Sans SC" w:hAnsi="Noto Sans SC"/>
        <w:color w:val="26312E"/>
        <w:sz w:val="22"/>
        <w:szCs w:val="22"/>
      </w:rPr>
    </w:rPrDefault>
    <w:pPrDefault>
      <w:pPr>
        <w:spacing w:after="16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280" w:after="180"/>
    </w:pPr>
    <w:rPr>
      <w:rFonts w:ascii="Noto Sans SC" w:cs="Noto Sans SC" w:eastAsia="Noto Sans SC" w:hAnsi="Noto Sans SC"/>
      <w:b/>
      <w:bCs/>
      <w:color w:val="24578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20" w:after="140"/>
    </w:pPr>
    <w:rPr>
      <w:rFonts w:ascii="Noto Sans SC" w:cs="Noto Sans SC" w:eastAsia="Noto Sans SC" w:hAnsi="Noto Sans SC"/>
      <w:b/>
      <w:bCs/>
      <w:color w:val="2457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80" w:after="120"/>
    </w:pPr>
    <w:rPr>
      <w:rFonts w:ascii="Noto Sans SC" w:cs="Noto Sans SC" w:eastAsia="Noto Sans SC" w:hAnsi="Noto Sans SC"/>
      <w:b/>
      <w:bCs/>
      <w:color w:val="245786"/>
      <w:sz w:val="24"/>
      <w:szCs w:val="24"/>
    </w:rPr>
  </w:style>
  <w:style w:type="paragraph" w:styleId="CaptionText">
    <w:name w:val="Caption text"/>
    <w:basedOn w:val="Normal"/>
    <w:pPr>
      <w:spacing w:after="100" w:line="260"/>
    </w:pPr>
    <w:rPr>
      <w:rFonts w:ascii="Noto Sans SC" w:cs="Noto Sans SC" w:eastAsia="Noto Sans SC" w:hAnsi="Noto Sans SC"/>
      <w:color w:val="55645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文档交付质量提升项目方案</dc:title>
  <dc:creator>DesignBuddy</dc:creator>
  <dc:description>word-pro-1.0.0; requires human review</dc:description>
  <cp:lastModifiedBy>Un-named</cp:lastModifiedBy>
  <cp:revision>1</cp:revision>
  <dcterms:created xsi:type="dcterms:W3CDTF">2026-10-19T07:17:50.205Z</dcterms:created>
  <dcterms:modified xsi:type="dcterms:W3CDTF">2026-10-19T07:17:50.205Z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