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项目交付核对</w:t>
      </w:r>
    </w:p>
    <w:p>
      <w:r>
        <w:rPr>
          <w:b/>
          <w:bCs/>
        </w:rPr>
        <w:t xml:space="preserve">阶段交付说明：内容均为演示样例，请按原始材料核对。</w:t>
      </w:r>
      <w:r>
        <w:rPr>
          <w:i/>
          <w:iCs/>
        </w:rPr>
        <w:t xml:space="preserve"> / 斜体</w:t>
      </w:r>
      <w:r>
        <w:rPr>
          <w:u w:val="single"/>
        </w:rPr>
        <w:t xml:space="preserve"> / 下划线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gridSpan w:val="2"/>
          </w:tcPr>
          <w:p>
            <w:r>
              <w:t xml:space="preserve">合并标题</w:t>
            </w:r>
          </w:p>
        </w:tc>
        <w:tc>
          <w:p>
            <w:r>
              <w:t xml:space="preserve">金额</w:t>
            </w:r>
          </w:p>
        </w:tc>
      </w:tr>
      <w:tr>
        <w:tc>
          <w:tcPr>
            <w:vMerge w:val="restart"/>
          </w:tcPr>
          <w:p>
            <w:r>
              <w:t xml:space="preserve">跨行项目</w:t>
            </w:r>
          </w:p>
        </w:tc>
        <w:tc>
          <w:p>
            <w:r>
              <w:t xml:space="preserve">第一阶段</w:t>
            </w:r>
          </w:p>
        </w:tc>
        <w:tc>
          <w:p>
            <w:r>
              <w:t xml:space="preserve">12.50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第二阶段</w:t>
            </w:r>
          </w:p>
        </w:tc>
        <w:tc>
          <w:p>
            <w:r>
              <w:t xml:space="preserve">25.00</w:t>
            </w:r>
          </w:p>
        </w:tc>
      </w:tr>
    </w:tbl>
    <w:p>
      <w:r>
        <w:drawing>
          <wp:inline distT="0" distB="0" distL="0" distR="0">
            <wp:extent cx="1143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核对完成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项目交付核对 · 内部样例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fa98838cff827909cb65f3bbb019a6cd71b6d8d4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2026-10-15T22:35:44.906Z</dcterms:created>
  <dcterms:modified xsi:type="dcterms:W3CDTF">2026-10-15T22:35:44.907Z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