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IUGA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ANAMARIA-BIANCA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municipiul Bistrița, localitatea componentă Bistrița, strada Mălinului, nr. 3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696238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municipiul Bistrița, localitatea componentă Bistrița, strada Mălinului, nr. 3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783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26.04.2023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IUGA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ANAMARIA-BIANCA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