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A84352" w14:paraId="23F6194C" w14:textId="23BE8395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A84352" w14:paraId="23F6194C" w14:textId="23BE8395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RUNCAN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IOAN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RUNCAN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IOAN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4322647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23D8382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15CF510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118C5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două locuințe individuale pe lot comun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două locuințe individuale pe lot comun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6720E35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7D5576E4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localitatea componentă Sigmir, nr. 324G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localitatea componentă Sigmir, nr. 324G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7908070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2068E2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1D8E1123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0A73A2F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400C2A3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2AEF8AF8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7C4859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5F0A7712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18B5336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065958F7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19E908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040B5E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