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Horoba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Sorin-Ștefan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Oraș Beclean, aleea Ghioceului, bl. G2, sc. 1, et. 4, ap. 14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Oraș Beclean, aleea Ghioceului, bl. G2, sc. 1, et. 4, ap. 14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Oraș Beclean, localitatea componentă Rusu de Jos, numărul 120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CASA DE LOCUIT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