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ILIES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VASILE-ALEXA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552304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1860802060035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Romania, județul Bistrița-Năsăud, comuna JOSENII BÂRGĂULUI, comuna TIHA BÂRGĂULUI, localitatea Tureac, strada ..., nr. 630, tel: 0740020679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Romania, județul Bistrița-Năsăud, comuna JOSENII BÂRGĂULUI, comuna TIHA BÂRGĂULUI, localitatea Tureac, strada ..., nr. 630, tel: 0740020679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Romania, județul Bistrița-Năsăud, comuna JOSENII BÂRGĂULUI, comuna TIHA BÂRGĂULUI, localitatea Tureac, strada ..., nr. 630, tel: 0740020679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ILIES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VASILE-ALEXA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552304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1860802060035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