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RUNCAN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IOAN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municipiul Bistrița, strada Libertății, nr. 48 A, et. P, ap. 29, telefon/fax 0263218582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două locuințe individuale pe lot comun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municipiul Bistrița, localitatea componentă Sigmir, nr. 324G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1228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07.07.2023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