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jc w:val="left"/>
      </w:pPr>
      <w:r>
        <w:rPr>
          <w:rFonts w:ascii="Georgia" w:cs="Georgia" w:eastAsia="Georgia" w:hAnsi="Georgia"/>
          <w:color w:val="1C1B1A"/>
          <w:sz w:val="60"/>
          <w:szCs w:val="60"/>
        </w:rPr>
        <w:t xml:space="preserve">Design System</w:t>
      </w:r>
    </w:p>
    <w:p>
      <w:pPr>
        <w:spacing w:after="40"/>
        <w:jc w:val="left"/>
      </w:pPr>
      <w:r>
        <w:rPr>
          <w:rFonts w:ascii="Georgia" w:cs="Georgia" w:eastAsia="Georgia" w:hAnsi="Georgia"/>
          <w:i/>
          <w:iCs/>
          <w:color w:val="1C1B1A"/>
          <w:sz w:val="60"/>
          <w:szCs w:val="60"/>
        </w:rPr>
        <w:t xml:space="preserve">&amp; Philosophy Guide</w:t>
      </w:r>
    </w:p>
    <w:p>
      <w:pPr>
        <w:spacing w:after="200"/>
      </w:pPr>
    </w:p>
    <w:p>
      <w:pPr>
        <w:pBdr>
          <w:top w:val="single" w:color="00B8CC" w:sz="6" w:space="12"/>
        </w:pBdr>
        <w:spacing w:after="120"/>
      </w:pPr>
      <w:r>
        <w:rPr>
          <w:rFonts w:ascii="Georgia" w:cs="Georgia" w:eastAsia="Georgia" w:hAnsi="Georgia"/>
          <w:i/>
          <w:iCs/>
          <w:color w:val="7A7872"/>
          <w:sz w:val="24"/>
          <w:szCs w:val="24"/>
        </w:rPr>
        <w:t xml:space="preserve">The gallery with a pulse underneath</w:t>
      </w:r>
    </w:p>
    <w:p>
      <w:pPr>
        <w:spacing w:after="40"/>
      </w:pPr>
      <w:r>
        <w:rPr>
          <w:rFonts w:ascii="IBM Plex Mono" w:cs="IBM Plex Mono" w:eastAsia="IBM Plex Mono" w:hAnsi="IBM Plex Mono"/>
          <w:color w:val="7A7872"/>
          <w:sz w:val="18"/>
          <w:szCs w:val="18"/>
        </w:rPr>
        <w:t xml:space="preserve">Version 1.0  |  March 2026</w:t>
      </w:r>
    </w:p>
    <w:p>
      <w:r>
        <w:br/>
      </w:r>
      <w:r>
        <w:br w:type="page"/>
      </w:r>
    </w:p>
    <w:p>
      <w:pPr>
        <w:pStyle w:val="Heading1"/>
        <w:spacing w:before="480" w:after="200"/>
      </w:pPr>
      <w:r>
        <w:rPr>
          <w:rFonts w:ascii="Georgia" w:cs="Georgia" w:eastAsia="Georgia" w:hAnsi="Georgia"/>
          <w:b/>
          <w:bCs/>
          <w:color w:val="1C1B1A"/>
          <w:sz w:val="36"/>
          <w:szCs w:val="36"/>
        </w:rPr>
        <w:t xml:space="preserve">1. Design Philosophy</w:t>
      </w:r>
    </w:p>
    <w:p>
      <w:pPr>
        <w:pStyle w:val="Heading2"/>
        <w:spacing w:before="360" w:after="160"/>
      </w:pPr>
      <w:r>
        <w:rPr>
          <w:rFonts w:ascii="Georgia" w:cs="Georgia" w:eastAsia="Georgia" w:hAnsi="Georgia"/>
          <w:b/>
          <w:bCs/>
          <w:color w:val="2E2D2B"/>
          <w:sz w:val="28"/>
          <w:szCs w:val="28"/>
        </w:rPr>
        <w:t xml:space="preserve">1.1 The Identity</w:t>
      </w:r>
    </w:p>
    <w:p>
      <w:pPr>
        <w:spacing w:after="160" w:line="340"/>
      </w:pPr>
      <w:r>
        <w:rPr>
          <w:rFonts w:ascii="Georgia" w:cs="Georgia" w:eastAsia="Georgia" w:hAnsi="Georgia"/>
          <w:color w:val="4A4845"/>
          <w:sz w:val="21"/>
          <w:szCs w:val="21"/>
        </w:rPr>
        <w:t xml:space="preserve">This is a Savile Row suit with a tattoo under the cuff. A members’ club where the leather’s soft, the lighting’s warm, and someone knows your name — but if you look closely, there’s a thin cyan line glowing along the edge of the bar.</w:t>
      </w:r>
    </w:p>
    <w:p>
      <w:pPr>
        <w:spacing w:after="160" w:line="340"/>
      </w:pPr>
      <w:r>
        <w:rPr>
          <w:rFonts w:ascii="Georgia" w:cs="Georgia" w:eastAsia="Georgia" w:hAnsi="Georgia"/>
          <w:color w:val="4A4845"/>
          <w:sz w:val="21"/>
          <w:szCs w:val="21"/>
        </w:rPr>
        <w:t xml:space="preserve">The interface carries itself with quiet authority. It is professional, elegant, and warm — never cold-corporate, never trying-too-hard-techy. It occupies a third lane: a space that feels like coming home to a place that takes your work seriously.</w:t>
      </w:r>
    </w:p>
    <w:p>
      <w:pPr>
        <w:pStyle w:val="Heading2"/>
        <w:spacing w:before="360" w:after="160"/>
      </w:pPr>
      <w:r>
        <w:rPr>
          <w:rFonts w:ascii="Georgia" w:cs="Georgia" w:eastAsia="Georgia" w:hAnsi="Georgia"/>
          <w:b/>
          <w:bCs/>
          <w:color w:val="2E2D2B"/>
          <w:sz w:val="28"/>
          <w:szCs w:val="28"/>
        </w:rPr>
        <w:t xml:space="preserve">1.2 The Three Principles</w:t>
      </w:r>
    </w:p>
    <w:p>
      <w:pPr>
        <w:spacing w:before="280" w:after="120"/>
      </w:pPr>
      <w:r>
        <w:rPr>
          <w:rFonts w:ascii="Georgia" w:cs="Georgia" w:eastAsia="Georgia" w:hAnsi="Georgia"/>
          <w:b/>
          <w:bCs/>
          <w:color w:val="4A4845"/>
          <w:sz w:val="24"/>
          <w:szCs w:val="24"/>
        </w:rPr>
        <w:t xml:space="preserve">Gallery calm</w:t>
      </w:r>
    </w:p>
    <w:p>
      <w:pPr>
        <w:spacing w:after="160" w:line="340"/>
      </w:pPr>
      <w:r>
        <w:rPr>
          <w:rFonts w:ascii="Georgia" w:cs="Georgia" w:eastAsia="Georgia" w:hAnsi="Georgia"/>
          <w:color w:val="4A4845"/>
          <w:sz w:val="21"/>
          <w:szCs w:val="21"/>
        </w:rPr>
        <w:t xml:space="preserve">The foundation is a warm monochrome palette inspired by fine art gelatin silver prints. Not the sterile white of a clinical tool, not the dead black of a code editor — the tonal, tactile warmth of a portrait hanging in a gallery. Ivory whites with a yellow undertone. Charcoals with warmth. Silvers you can almost feel. Users spend 8+ hours on this surface; it must be effortless on the eyes while remaining rich enough to hold attention.</w:t>
      </w:r>
    </w:p>
    <w:p>
      <w:pPr>
        <w:spacing w:before="280" w:after="120"/>
      </w:pPr>
      <w:r>
        <w:rPr>
          <w:rFonts w:ascii="Georgia" w:cs="Georgia" w:eastAsia="Georgia" w:hAnsi="Georgia"/>
          <w:b/>
          <w:bCs/>
          <w:color w:val="4A4845"/>
          <w:sz w:val="24"/>
          <w:szCs w:val="24"/>
        </w:rPr>
        <w:t xml:space="preserve">Cyberpunk pulse</w:t>
      </w:r>
    </w:p>
    <w:p>
      <w:pPr>
        <w:spacing w:after="160" w:line="340"/>
      </w:pPr>
      <w:r>
        <w:rPr>
          <w:rFonts w:ascii="Georgia" w:cs="Georgia" w:eastAsia="Georgia" w:hAnsi="Georgia"/>
          <w:color w:val="4A4845"/>
          <w:sz w:val="21"/>
          <w:szCs w:val="21"/>
        </w:rPr>
        <w:t xml:space="preserve">Beneath the composure, there is a rebel heart. Cyberpunk accent colours — electric cyan, magenta, neon lime, violet, amber — appear sparingly but unmistakably. They are the city lights glimpsed through the gallery window. A single progress bar that glows cyan. A notification dot that pulses magenta. A hover state that fires hotter than expected. The cyberpunk never shouts, but it never hides.</w:t>
      </w:r>
    </w:p>
    <w:p>
      <w:pPr>
        <w:spacing w:before="280" w:after="120"/>
      </w:pPr>
      <w:r>
        <w:rPr>
          <w:rFonts w:ascii="Georgia" w:cs="Georgia" w:eastAsia="Georgia" w:hAnsi="Georgia"/>
          <w:b/>
          <w:bCs/>
          <w:color w:val="4A4845"/>
          <w:sz w:val="24"/>
          <w:szCs w:val="24"/>
        </w:rPr>
        <w:t xml:space="preserve">Welcome home</w:t>
      </w:r>
    </w:p>
    <w:p>
      <w:pPr>
        <w:spacing w:after="160" w:line="340"/>
      </w:pPr>
      <w:r>
        <w:rPr>
          <w:rFonts w:ascii="Georgia" w:cs="Georgia" w:eastAsia="Georgia" w:hAnsi="Georgia"/>
          <w:color w:val="4A4845"/>
          <w:sz w:val="21"/>
          <w:szCs w:val="21"/>
        </w:rPr>
        <w:t xml:space="preserve">The interface is not a boardroom and not a living room. It is the place in between — serious enough to trust with important work, warm enough that you don’t want to leave. Generous spacing gives room to breathe. Serif display type adds a human, handcrafted quality. Sentence case throughout keeps the tone conversational rather than commanding.</w:t>
      </w:r>
    </w:p>
    <w:p>
      <w:pPr>
        <w:pStyle w:val="Heading2"/>
        <w:spacing w:before="360" w:after="160"/>
      </w:pPr>
      <w:r>
        <w:rPr>
          <w:rFonts w:ascii="Georgia" w:cs="Georgia" w:eastAsia="Georgia" w:hAnsi="Georgia"/>
          <w:b/>
          <w:bCs/>
          <w:color w:val="2E2D2B"/>
          <w:sz w:val="28"/>
          <w:szCs w:val="28"/>
        </w:rPr>
        <w:t xml:space="preserve">1.3 The Accent Rule</w:t>
      </w:r>
    </w:p>
    <w:p>
      <w:pPr>
        <w:spacing w:after="160" w:line="340"/>
      </w:pPr>
      <w:r>
        <w:rPr>
          <w:rFonts w:ascii="Georgia" w:cs="Georgia" w:eastAsia="Georgia" w:hAnsi="Georgia"/>
          <w:color w:val="4A4845"/>
          <w:sz w:val="21"/>
          <w:szCs w:val="21"/>
        </w:rPr>
        <w:t xml:space="preserve">The cyberpunk accent colours occupy </w:t>
      </w:r>
      <w:r>
        <w:rPr>
          <w:rFonts w:ascii="Georgia" w:cs="Georgia" w:eastAsia="Georgia" w:hAnsi="Georgia"/>
          <w:b/>
          <w:bCs/>
          <w:color w:val="1C1B1A"/>
          <w:sz w:val="21"/>
          <w:szCs w:val="21"/>
        </w:rPr>
        <w:t xml:space="preserve">no more than 10–15% of any screen</w:t>
      </w:r>
      <w:r>
        <w:rPr>
          <w:rFonts w:ascii="Georgia" w:cs="Georgia" w:eastAsia="Georgia" w:hAnsi="Georgia"/>
          <w:color w:val="4A4845"/>
          <w:sz w:val="21"/>
          <w:szCs w:val="21"/>
        </w:rPr>
        <w:t xml:space="preserve">. They are used at moments of meaning — status changes, interactive elements, data highlights, transitions — never as decoration. The restraint is what makes each appearance feel intentional. Like a single fresh flower on a mahogany desk.</w:t>
      </w:r>
    </w:p>
    <w:p>
      <w:r>
        <w:br/>
      </w:r>
      <w:r>
        <w:br w:type="page"/>
      </w:r>
    </w:p>
    <w:p>
      <w:pPr>
        <w:pStyle w:val="Heading1"/>
        <w:spacing w:before="480" w:after="200"/>
      </w:pPr>
      <w:r>
        <w:rPr>
          <w:rFonts w:ascii="Georgia" w:cs="Georgia" w:eastAsia="Georgia" w:hAnsi="Georgia"/>
          <w:b/>
          <w:bCs/>
          <w:color w:val="1C1B1A"/>
          <w:sz w:val="36"/>
          <w:szCs w:val="36"/>
        </w:rPr>
        <w:t xml:space="preserve">2. Colour Palette</w:t>
      </w:r>
    </w:p>
    <w:p>
      <w:pPr>
        <w:pStyle w:val="Heading2"/>
        <w:spacing w:before="360" w:after="160"/>
      </w:pPr>
      <w:r>
        <w:rPr>
          <w:rFonts w:ascii="Georgia" w:cs="Georgia" w:eastAsia="Georgia" w:hAnsi="Georgia"/>
          <w:b/>
          <w:bCs/>
          <w:color w:val="2E2D2B"/>
          <w:sz w:val="28"/>
          <w:szCs w:val="28"/>
        </w:rPr>
        <w:t xml:space="preserve">2.1 Gallery Base — Warm Monochrome</w:t>
      </w:r>
    </w:p>
    <w:p>
      <w:pPr>
        <w:spacing w:after="160" w:line="340"/>
      </w:pPr>
      <w:r>
        <w:rPr>
          <w:rFonts w:ascii="Georgia" w:cs="Georgia" w:eastAsia="Georgia" w:hAnsi="Georgia"/>
          <w:color w:val="4A4845"/>
          <w:sz w:val="21"/>
          <w:szCs w:val="21"/>
        </w:rPr>
        <w:t xml:space="preserve">Seven tones from deep ink to soft ivory. Every tone carries a warm undertone — slightly yellow, never blue-grey. This is the 85–90% of every screen.</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rHeight w:val="900" w:hRule="atLeast"/>
        </w:trPr>
        <w:tc>
          <w:tcPr>
            <w:tcW w:type="dxa" w:w="2256"/>
            <w:tcBorders>
              <w:top w:val="none" w:color="FFFFFF" w:sz="0"/>
              <w:left w:val="none" w:color="FFFFFF" w:sz="0"/>
              <w:bottom w:val="none" w:color="FFFFFF" w:sz="0"/>
              <w:right w:val="none" w:color="FFFFFF" w:sz="0"/>
            </w:tcBorders>
            <w:shd w:fill="1C1B1A" w:val="clear"/>
            <w:tcMar>
              <w:top w:type="dxa" w:w="60"/>
              <w:left w:type="dxa" w:w="80"/>
              <w:bottom w:type="dxa" w:w="60"/>
              <w:right w:type="dxa" w:w="80"/>
            </w:tcMar>
          </w:tcPr>
          <w:p/>
        </w:tc>
        <w:tc>
          <w:tcPr>
            <w:tcW w:type="dxa" w:w="2256"/>
            <w:tcBorders>
              <w:top w:val="none" w:color="FFFFFF" w:sz="0"/>
              <w:left w:val="none" w:color="FFFFFF" w:sz="0"/>
              <w:bottom w:val="none" w:color="FFFFFF" w:sz="0"/>
              <w:right w:val="none" w:color="FFFFFF" w:sz="0"/>
            </w:tcBorders>
            <w:shd w:fill="2E2D2B" w:val="clear"/>
            <w:tcMar>
              <w:top w:type="dxa" w:w="60"/>
              <w:left w:type="dxa" w:w="80"/>
              <w:bottom w:type="dxa" w:w="60"/>
              <w:right w:type="dxa" w:w="80"/>
            </w:tcMar>
          </w:tcPr>
          <w:p/>
        </w:tc>
        <w:tc>
          <w:tcPr>
            <w:tcW w:type="dxa" w:w="2256"/>
            <w:tcBorders>
              <w:top w:val="none" w:color="FFFFFF" w:sz="0"/>
              <w:left w:val="none" w:color="FFFFFF" w:sz="0"/>
              <w:bottom w:val="none" w:color="FFFFFF" w:sz="0"/>
              <w:right w:val="none" w:color="FFFFFF" w:sz="0"/>
            </w:tcBorders>
            <w:shd w:fill="4A4845" w:val="clear"/>
            <w:tcMar>
              <w:top w:type="dxa" w:w="60"/>
              <w:left w:type="dxa" w:w="80"/>
              <w:bottom w:type="dxa" w:w="60"/>
              <w:right w:type="dxa" w:w="80"/>
            </w:tcMar>
          </w:tcPr>
          <w:p/>
        </w:tc>
        <w:tc>
          <w:tcPr>
            <w:tcW w:type="dxa" w:w="2256"/>
            <w:tcBorders>
              <w:top w:val="none" w:color="FFFFFF" w:sz="0"/>
              <w:left w:val="none" w:color="FFFFFF" w:sz="0"/>
              <w:bottom w:val="none" w:color="FFFFFF" w:sz="0"/>
              <w:right w:val="none" w:color="FFFFFF" w:sz="0"/>
            </w:tcBorders>
            <w:shd w:fill="7A7872" w:val="clear"/>
            <w:tcMar>
              <w:top w:type="dxa" w:w="60"/>
              <w:left w:type="dxa" w:w="80"/>
              <w:bottom w:type="dxa" w:w="60"/>
              <w:right w:type="dxa" w:w="80"/>
            </w:tcMar>
          </w:tcPr>
          <w:p/>
        </w:tc>
      </w:tr>
      <w:tr>
        <w:tc>
          <w:tcPr>
            <w:tcW w:type="dxa" w:w="2256"/>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20"/>
            </w:pPr>
            <w:r>
              <w:rPr>
                <w:rFonts w:ascii="Georgia" w:cs="Georgia" w:eastAsia="Georgia" w:hAnsi="Georgia"/>
                <w:b/>
                <w:bCs/>
                <w:color w:val="1C1B1A"/>
                <w:sz w:val="18"/>
                <w:szCs w:val="18"/>
              </w:rPr>
              <w:t xml:space="preserve">Ink</w:t>
            </w:r>
          </w:p>
          <w:p>
            <w:r>
              <w:rPr>
                <w:rFonts w:ascii="IBM Plex Mono" w:cs="IBM Plex Mono" w:eastAsia="IBM Plex Mono" w:hAnsi="IBM Plex Mono"/>
                <w:color w:val="7A7872"/>
                <w:sz w:val="18"/>
                <w:szCs w:val="18"/>
              </w:rPr>
              <w:t xml:space="preserve">#1C1B1A</w:t>
            </w:r>
          </w:p>
        </w:tc>
        <w:tc>
          <w:tcPr>
            <w:tcW w:type="dxa" w:w="2256"/>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20"/>
            </w:pPr>
            <w:r>
              <w:rPr>
                <w:rFonts w:ascii="Georgia" w:cs="Georgia" w:eastAsia="Georgia" w:hAnsi="Georgia"/>
                <w:b/>
                <w:bCs/>
                <w:color w:val="1C1B1A"/>
                <w:sz w:val="18"/>
                <w:szCs w:val="18"/>
              </w:rPr>
              <w:t xml:space="preserve">Charcoal</w:t>
            </w:r>
          </w:p>
          <w:p>
            <w:r>
              <w:rPr>
                <w:rFonts w:ascii="IBM Plex Mono" w:cs="IBM Plex Mono" w:eastAsia="IBM Plex Mono" w:hAnsi="IBM Plex Mono"/>
                <w:color w:val="7A7872"/>
                <w:sz w:val="18"/>
                <w:szCs w:val="18"/>
              </w:rPr>
              <w:t xml:space="preserve">#2E2D2B</w:t>
            </w:r>
          </w:p>
        </w:tc>
        <w:tc>
          <w:tcPr>
            <w:tcW w:type="dxa" w:w="2256"/>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20"/>
            </w:pPr>
            <w:r>
              <w:rPr>
                <w:rFonts w:ascii="Georgia" w:cs="Georgia" w:eastAsia="Georgia" w:hAnsi="Georgia"/>
                <w:b/>
                <w:bCs/>
                <w:color w:val="1C1B1A"/>
                <w:sz w:val="18"/>
                <w:szCs w:val="18"/>
              </w:rPr>
              <w:t xml:space="preserve">Graphite</w:t>
            </w:r>
          </w:p>
          <w:p>
            <w:r>
              <w:rPr>
                <w:rFonts w:ascii="IBM Plex Mono" w:cs="IBM Plex Mono" w:eastAsia="IBM Plex Mono" w:hAnsi="IBM Plex Mono"/>
                <w:color w:val="7A7872"/>
                <w:sz w:val="18"/>
                <w:szCs w:val="18"/>
              </w:rPr>
              <w:t xml:space="preserve">#4A4845</w:t>
            </w:r>
          </w:p>
        </w:tc>
        <w:tc>
          <w:tcPr>
            <w:tcW w:type="dxa" w:w="2256"/>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20"/>
            </w:pPr>
            <w:r>
              <w:rPr>
                <w:rFonts w:ascii="Georgia" w:cs="Georgia" w:eastAsia="Georgia" w:hAnsi="Georgia"/>
                <w:b/>
                <w:bCs/>
                <w:color w:val="1C1B1A"/>
                <w:sz w:val="18"/>
                <w:szCs w:val="18"/>
              </w:rPr>
              <w:t xml:space="preserve">Stone</w:t>
            </w:r>
          </w:p>
          <w:p>
            <w:r>
              <w:rPr>
                <w:rFonts w:ascii="IBM Plex Mono" w:cs="IBM Plex Mono" w:eastAsia="IBM Plex Mono" w:hAnsi="IBM Plex Mono"/>
                <w:color w:val="7A7872"/>
                <w:sz w:val="18"/>
                <w:szCs w:val="18"/>
              </w:rPr>
              <w:t xml:space="preserve">#7A7872</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rHeight w:val="900" w:hRule="atLeast"/>
        </w:trPr>
        <w:tc>
          <w:tcPr>
            <w:tcW w:type="dxa" w:w="3008"/>
            <w:tcBorders>
              <w:top w:val="none" w:color="FFFFFF" w:sz="0"/>
              <w:left w:val="none" w:color="FFFFFF" w:sz="0"/>
              <w:bottom w:val="none" w:color="FFFFFF" w:sz="0"/>
              <w:right w:val="none" w:color="FFFFFF" w:sz="0"/>
            </w:tcBorders>
            <w:shd w:fill="B0AEA8" w:val="clear"/>
            <w:tcMar>
              <w:top w:type="dxa" w:w="60"/>
              <w:left w:type="dxa" w:w="80"/>
              <w:bottom w:type="dxa" w:w="60"/>
              <w:right w:type="dxa" w:w="80"/>
            </w:tcMar>
          </w:tcPr>
          <w:p/>
        </w:tc>
        <w:tc>
          <w:tcPr>
            <w:tcW w:type="dxa" w:w="3008"/>
            <w:tcBorders>
              <w:top w:val="none" w:color="FFFFFF" w:sz="0"/>
              <w:left w:val="none" w:color="FFFFFF" w:sz="0"/>
              <w:bottom w:val="none" w:color="FFFFFF" w:sz="0"/>
              <w:right w:val="none" w:color="FFFFFF" w:sz="0"/>
            </w:tcBorders>
            <w:shd w:fill="D8D6D0" w:val="clear"/>
            <w:tcMar>
              <w:top w:type="dxa" w:w="60"/>
              <w:left w:type="dxa" w:w="80"/>
              <w:bottom w:type="dxa" w:w="60"/>
              <w:right w:type="dxa" w:w="80"/>
            </w:tcMar>
          </w:tcPr>
          <w:p/>
        </w:tc>
        <w:tc>
          <w:tcPr>
            <w:tcW w:type="dxa" w:w="3008"/>
            <w:tcBorders>
              <w:top w:val="none" w:color="FFFFFF" w:sz="0"/>
              <w:left w:val="none" w:color="FFFFFF" w:sz="0"/>
              <w:bottom w:val="none" w:color="FFFFFF" w:sz="0"/>
              <w:right w:val="none" w:color="FFFFFF" w:sz="0"/>
            </w:tcBorders>
            <w:shd w:fill="F0EDE8" w:val="clear"/>
            <w:tcMar>
              <w:top w:type="dxa" w:w="60"/>
              <w:left w:type="dxa" w:w="80"/>
              <w:bottom w:type="dxa" w:w="60"/>
              <w:right w:type="dxa" w:w="80"/>
            </w:tcMar>
          </w:tcPr>
          <w:p/>
        </w:tc>
      </w:tr>
      <w:tr>
        <w:tc>
          <w:tcPr>
            <w:tcW w:type="dxa" w:w="3008"/>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20"/>
            </w:pPr>
            <w:r>
              <w:rPr>
                <w:rFonts w:ascii="Georgia" w:cs="Georgia" w:eastAsia="Georgia" w:hAnsi="Georgia"/>
                <w:b/>
                <w:bCs/>
                <w:color w:val="1C1B1A"/>
                <w:sz w:val="18"/>
                <w:szCs w:val="18"/>
              </w:rPr>
              <w:t xml:space="preserve">Silver</w:t>
            </w:r>
          </w:p>
          <w:p>
            <w:r>
              <w:rPr>
                <w:rFonts w:ascii="IBM Plex Mono" w:cs="IBM Plex Mono" w:eastAsia="IBM Plex Mono" w:hAnsi="IBM Plex Mono"/>
                <w:color w:val="7A7872"/>
                <w:sz w:val="18"/>
                <w:szCs w:val="18"/>
              </w:rPr>
              <w:t xml:space="preserve">#B0AEA8</w:t>
            </w:r>
          </w:p>
        </w:tc>
        <w:tc>
          <w:tcPr>
            <w:tcW w:type="dxa" w:w="3008"/>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20"/>
            </w:pPr>
            <w:r>
              <w:rPr>
                <w:rFonts w:ascii="Georgia" w:cs="Georgia" w:eastAsia="Georgia" w:hAnsi="Georgia"/>
                <w:b/>
                <w:bCs/>
                <w:color w:val="1C1B1A"/>
                <w:sz w:val="18"/>
                <w:szCs w:val="18"/>
              </w:rPr>
              <w:t xml:space="preserve">Ash</w:t>
            </w:r>
          </w:p>
          <w:p>
            <w:r>
              <w:rPr>
                <w:rFonts w:ascii="IBM Plex Mono" w:cs="IBM Plex Mono" w:eastAsia="IBM Plex Mono" w:hAnsi="IBM Plex Mono"/>
                <w:color w:val="7A7872"/>
                <w:sz w:val="18"/>
                <w:szCs w:val="18"/>
              </w:rPr>
              <w:t xml:space="preserve">#D8D6D0</w:t>
            </w:r>
          </w:p>
        </w:tc>
        <w:tc>
          <w:tcPr>
            <w:tcW w:type="dxa" w:w="3008"/>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20"/>
            </w:pPr>
            <w:r>
              <w:rPr>
                <w:rFonts w:ascii="Georgia" w:cs="Georgia" w:eastAsia="Georgia" w:hAnsi="Georgia"/>
                <w:b/>
                <w:bCs/>
                <w:color w:val="1C1B1A"/>
                <w:sz w:val="18"/>
                <w:szCs w:val="18"/>
              </w:rPr>
              <w:t xml:space="preserve">Ivory</w:t>
            </w:r>
          </w:p>
          <w:p>
            <w:r>
              <w:rPr>
                <w:rFonts w:ascii="IBM Plex Mono" w:cs="IBM Plex Mono" w:eastAsia="IBM Plex Mono" w:hAnsi="IBM Plex Mono"/>
                <w:color w:val="7A7872"/>
                <w:sz w:val="18"/>
                <w:szCs w:val="18"/>
              </w:rPr>
              <w:t xml:space="preserve">#F0EDE8</w:t>
            </w:r>
          </w:p>
        </w:tc>
      </w:tr>
    </w:tbl>
    <w:p>
      <w:pPr>
        <w:spacing w:after="200"/>
      </w:pPr>
    </w:p>
    <w:p>
      <w:pPr>
        <w:spacing w:before="280" w:after="120"/>
      </w:pPr>
      <w:r>
        <w:rPr>
          <w:rFonts w:ascii="Georgia" w:cs="Georgia" w:eastAsia="Georgia" w:hAnsi="Georgia"/>
          <w:b/>
          <w:bCs/>
          <w:color w:val="4A4845"/>
          <w:sz w:val="24"/>
          <w:szCs w:val="24"/>
        </w:rPr>
        <w:t xml:space="preserve">Usage in light mode</w:t>
      </w:r>
    </w:p>
    <w:p>
      <w:pPr>
        <w:pStyle w:val="ListParagraph"/>
        <w:numPr>
          <w:ilvl w:val="0"/>
          <w:numId w:val="2"/>
        </w:numPr>
        <w:spacing w:after="80" w:line="320"/>
      </w:pPr>
      <w:r>
        <w:rPr>
          <w:rFonts w:ascii="Georgia" w:cs="Georgia" w:eastAsia="Georgia" w:hAnsi="Georgia"/>
          <w:color w:val="4A4845"/>
          <w:sz w:val="21"/>
          <w:szCs w:val="21"/>
        </w:rPr>
        <w:t xml:space="preserve">Page background: Ivory #F0EDE8</w:t>
      </w:r>
    </w:p>
    <w:p>
      <w:pPr>
        <w:pStyle w:val="ListParagraph"/>
        <w:numPr>
          <w:ilvl w:val="0"/>
          <w:numId w:val="2"/>
        </w:numPr>
        <w:spacing w:after="80" w:line="320"/>
      </w:pPr>
      <w:r>
        <w:rPr>
          <w:rFonts w:ascii="Georgia" w:cs="Georgia" w:eastAsia="Georgia" w:hAnsi="Georgia"/>
          <w:color w:val="4A4845"/>
          <w:sz w:val="21"/>
          <w:szCs w:val="21"/>
        </w:rPr>
        <w:t xml:space="preserve">Card / panel background: White with warm tint, or Ash #D8D6D0 at 30% opacity</w:t>
      </w:r>
    </w:p>
    <w:p>
      <w:pPr>
        <w:pStyle w:val="ListParagraph"/>
        <w:numPr>
          <w:ilvl w:val="0"/>
          <w:numId w:val="2"/>
        </w:numPr>
        <w:spacing w:after="80" w:line="320"/>
      </w:pPr>
      <w:r>
        <w:rPr>
          <w:rFonts w:ascii="Georgia" w:cs="Georgia" w:eastAsia="Georgia" w:hAnsi="Georgia"/>
          <w:color w:val="4A4845"/>
          <w:sz w:val="21"/>
          <w:szCs w:val="21"/>
        </w:rPr>
        <w:t xml:space="preserve">Primary text: Ink #1C1B1A</w:t>
      </w:r>
    </w:p>
    <w:p>
      <w:pPr>
        <w:pStyle w:val="ListParagraph"/>
        <w:numPr>
          <w:ilvl w:val="0"/>
          <w:numId w:val="2"/>
        </w:numPr>
        <w:spacing w:after="80" w:line="320"/>
      </w:pPr>
      <w:r>
        <w:rPr>
          <w:rFonts w:ascii="Georgia" w:cs="Georgia" w:eastAsia="Georgia" w:hAnsi="Georgia"/>
          <w:color w:val="4A4845"/>
          <w:sz w:val="21"/>
          <w:szCs w:val="21"/>
        </w:rPr>
        <w:t xml:space="preserve">Secondary / body text: Graphite #4A4845</w:t>
      </w:r>
    </w:p>
    <w:p>
      <w:pPr>
        <w:pStyle w:val="ListParagraph"/>
        <w:numPr>
          <w:ilvl w:val="0"/>
          <w:numId w:val="2"/>
        </w:numPr>
        <w:spacing w:after="80" w:line="320"/>
      </w:pPr>
      <w:r>
        <w:rPr>
          <w:rFonts w:ascii="Georgia" w:cs="Georgia" w:eastAsia="Georgia" w:hAnsi="Georgia"/>
          <w:color w:val="4A4845"/>
          <w:sz w:val="21"/>
          <w:szCs w:val="21"/>
        </w:rPr>
        <w:t xml:space="preserve">Tertiary / caption text: Stone #7A7872</w:t>
      </w:r>
    </w:p>
    <w:p>
      <w:pPr>
        <w:pStyle w:val="ListParagraph"/>
        <w:numPr>
          <w:ilvl w:val="0"/>
          <w:numId w:val="2"/>
        </w:numPr>
        <w:spacing w:after="80" w:line="320"/>
      </w:pPr>
      <w:r>
        <w:rPr>
          <w:rFonts w:ascii="Georgia" w:cs="Georgia" w:eastAsia="Georgia" w:hAnsi="Georgia"/>
          <w:color w:val="4A4845"/>
          <w:sz w:val="21"/>
          <w:szCs w:val="21"/>
        </w:rPr>
        <w:t xml:space="preserve">Borders and dividers: Silver #B0AEA8 at 30–40% opacity</w:t>
      </w:r>
    </w:p>
    <w:p>
      <w:pPr>
        <w:pStyle w:val="ListParagraph"/>
        <w:numPr>
          <w:ilvl w:val="0"/>
          <w:numId w:val="2"/>
        </w:numPr>
        <w:spacing w:after="80" w:line="320"/>
      </w:pPr>
      <w:r>
        <w:rPr>
          <w:rFonts w:ascii="Georgia" w:cs="Georgia" w:eastAsia="Georgia" w:hAnsi="Georgia"/>
          <w:color w:val="4A4845"/>
          <w:sz w:val="21"/>
          <w:szCs w:val="21"/>
        </w:rPr>
        <w:t xml:space="preserve">Disabled states: Silver #B0AEA8</w:t>
      </w:r>
    </w:p>
    <w:p>
      <w:pPr>
        <w:spacing w:after="200"/>
      </w:pPr>
    </w:p>
    <w:p>
      <w:pPr>
        <w:pStyle w:val="Heading2"/>
        <w:spacing w:before="360" w:after="160"/>
      </w:pPr>
      <w:r>
        <w:rPr>
          <w:rFonts w:ascii="Georgia" w:cs="Georgia" w:eastAsia="Georgia" w:hAnsi="Georgia"/>
          <w:b/>
          <w:bCs/>
          <w:color w:val="2E2D2B"/>
          <w:sz w:val="28"/>
          <w:szCs w:val="28"/>
        </w:rPr>
        <w:t xml:space="preserve">2.2 Cyberpunk Accents</w:t>
      </w:r>
    </w:p>
    <w:p>
      <w:pPr>
        <w:spacing w:after="160" w:line="340"/>
      </w:pPr>
      <w:r>
        <w:rPr>
          <w:rFonts w:ascii="Georgia" w:cs="Georgia" w:eastAsia="Georgia" w:hAnsi="Georgia"/>
          <w:color w:val="4A4845"/>
          <w:sz w:val="21"/>
          <w:szCs w:val="21"/>
        </w:rPr>
        <w:t xml:space="preserve">Five accent colours drawn from cyberpunk aesthetics — neon signs, city lights at dusk, the London twilight skyline. These are the 10–15% that give the interface its pulse.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rHeight w:val="900" w:hRule="atLeast"/>
        </w:trPr>
        <w:tc>
          <w:tcPr>
            <w:tcW w:type="dxa" w:w="1805"/>
            <w:tcBorders>
              <w:top w:val="none" w:color="FFFFFF" w:sz="0"/>
              <w:left w:val="none" w:color="FFFFFF" w:sz="0"/>
              <w:bottom w:val="none" w:color="FFFFFF" w:sz="0"/>
              <w:right w:val="none" w:color="FFFFFF" w:sz="0"/>
            </w:tcBorders>
            <w:shd w:fill="00E5FF" w:val="clear"/>
            <w:tcMar>
              <w:top w:type="dxa" w:w="60"/>
              <w:left w:type="dxa" w:w="80"/>
              <w:bottom w:type="dxa" w:w="60"/>
              <w:right w:type="dxa" w:w="80"/>
            </w:tcMar>
          </w:tcPr>
          <w:p/>
        </w:tc>
        <w:tc>
          <w:tcPr>
            <w:tcW w:type="dxa" w:w="1805"/>
            <w:tcBorders>
              <w:top w:val="none" w:color="FFFFFF" w:sz="0"/>
              <w:left w:val="none" w:color="FFFFFF" w:sz="0"/>
              <w:bottom w:val="none" w:color="FFFFFF" w:sz="0"/>
              <w:right w:val="none" w:color="FFFFFF" w:sz="0"/>
            </w:tcBorders>
            <w:shd w:fill="FF2D78" w:val="clear"/>
            <w:tcMar>
              <w:top w:type="dxa" w:w="60"/>
              <w:left w:type="dxa" w:w="80"/>
              <w:bottom w:type="dxa" w:w="60"/>
              <w:right w:type="dxa" w:w="80"/>
            </w:tcMar>
          </w:tcPr>
          <w:p/>
        </w:tc>
        <w:tc>
          <w:tcPr>
            <w:tcW w:type="dxa" w:w="1805"/>
            <w:tcBorders>
              <w:top w:val="none" w:color="FFFFFF" w:sz="0"/>
              <w:left w:val="none" w:color="FFFFFF" w:sz="0"/>
              <w:bottom w:val="none" w:color="FFFFFF" w:sz="0"/>
              <w:right w:val="none" w:color="FFFFFF" w:sz="0"/>
            </w:tcBorders>
            <w:shd w:fill="BFFF00" w:val="clear"/>
            <w:tcMar>
              <w:top w:type="dxa" w:w="60"/>
              <w:left w:type="dxa" w:w="80"/>
              <w:bottom w:type="dxa" w:w="60"/>
              <w:right w:type="dxa" w:w="80"/>
            </w:tcMar>
          </w:tcPr>
          <w:p/>
        </w:tc>
        <w:tc>
          <w:tcPr>
            <w:tcW w:type="dxa" w:w="1805"/>
            <w:tcBorders>
              <w:top w:val="none" w:color="FFFFFF" w:sz="0"/>
              <w:left w:val="none" w:color="FFFFFF" w:sz="0"/>
              <w:bottom w:val="none" w:color="FFFFFF" w:sz="0"/>
              <w:right w:val="none" w:color="FFFFFF" w:sz="0"/>
            </w:tcBorders>
            <w:shd w:fill="A855F7" w:val="clear"/>
            <w:tcMar>
              <w:top w:type="dxa" w:w="60"/>
              <w:left w:type="dxa" w:w="80"/>
              <w:bottom w:type="dxa" w:w="60"/>
              <w:right w:type="dxa" w:w="80"/>
            </w:tcMar>
          </w:tcPr>
          <w:p/>
        </w:tc>
        <w:tc>
          <w:tcPr>
            <w:tcW w:type="dxa" w:w="1805"/>
            <w:tcBorders>
              <w:top w:val="none" w:color="FFFFFF" w:sz="0"/>
              <w:left w:val="none" w:color="FFFFFF" w:sz="0"/>
              <w:bottom w:val="none" w:color="FFFFFF" w:sz="0"/>
              <w:right w:val="none" w:color="FFFFFF" w:sz="0"/>
            </w:tcBorders>
            <w:shd w:fill="F5A623" w:val="clear"/>
            <w:tcMar>
              <w:top w:type="dxa" w:w="60"/>
              <w:left w:type="dxa" w:w="80"/>
              <w:bottom w:type="dxa" w:w="60"/>
              <w:right w:type="dxa" w:w="80"/>
            </w:tcMar>
          </w:tcPr>
          <w:p/>
        </w:tc>
      </w:tr>
      <w:tr>
        <w:tc>
          <w:tcPr>
            <w:tcW w:type="dxa" w:w="1805"/>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20"/>
            </w:pPr>
            <w:r>
              <w:rPr>
                <w:rFonts w:ascii="Georgia" w:cs="Georgia" w:eastAsia="Georgia" w:hAnsi="Georgia"/>
                <w:b/>
                <w:bCs/>
                <w:color w:val="1C1B1A"/>
                <w:sz w:val="18"/>
                <w:szCs w:val="18"/>
              </w:rPr>
              <w:t xml:space="preserve">Cyan Pulse</w:t>
            </w:r>
          </w:p>
          <w:p>
            <w:r>
              <w:rPr>
                <w:rFonts w:ascii="IBM Plex Mono" w:cs="IBM Plex Mono" w:eastAsia="IBM Plex Mono" w:hAnsi="IBM Plex Mono"/>
                <w:color w:val="7A7872"/>
                <w:sz w:val="18"/>
                <w:szCs w:val="18"/>
              </w:rPr>
              <w:t xml:space="preserve">#00E5FF</w:t>
            </w:r>
          </w:p>
        </w:tc>
        <w:tc>
          <w:tcPr>
            <w:tcW w:type="dxa" w:w="1805"/>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20"/>
            </w:pPr>
            <w:r>
              <w:rPr>
                <w:rFonts w:ascii="Georgia" w:cs="Georgia" w:eastAsia="Georgia" w:hAnsi="Georgia"/>
                <w:b/>
                <w:bCs/>
                <w:color w:val="1C1B1A"/>
                <w:sz w:val="18"/>
                <w:szCs w:val="18"/>
              </w:rPr>
              <w:t xml:space="preserve">Magenta Edge</w:t>
            </w:r>
          </w:p>
          <w:p>
            <w:r>
              <w:rPr>
                <w:rFonts w:ascii="IBM Plex Mono" w:cs="IBM Plex Mono" w:eastAsia="IBM Plex Mono" w:hAnsi="IBM Plex Mono"/>
                <w:color w:val="7A7872"/>
                <w:sz w:val="18"/>
                <w:szCs w:val="18"/>
              </w:rPr>
              <w:t xml:space="preserve">#FF2D78</w:t>
            </w:r>
          </w:p>
        </w:tc>
        <w:tc>
          <w:tcPr>
            <w:tcW w:type="dxa" w:w="1805"/>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20"/>
            </w:pPr>
            <w:r>
              <w:rPr>
                <w:rFonts w:ascii="Georgia" w:cs="Georgia" w:eastAsia="Georgia" w:hAnsi="Georgia"/>
                <w:b/>
                <w:bCs/>
                <w:color w:val="1C1B1A"/>
                <w:sz w:val="18"/>
                <w:szCs w:val="18"/>
              </w:rPr>
              <w:t xml:space="preserve">Neon Lime</w:t>
            </w:r>
          </w:p>
          <w:p>
            <w:r>
              <w:rPr>
                <w:rFonts w:ascii="IBM Plex Mono" w:cs="IBM Plex Mono" w:eastAsia="IBM Plex Mono" w:hAnsi="IBM Plex Mono"/>
                <w:color w:val="7A7872"/>
                <w:sz w:val="18"/>
                <w:szCs w:val="18"/>
              </w:rPr>
              <w:t xml:space="preserve">#BFFF00</w:t>
            </w:r>
          </w:p>
        </w:tc>
        <w:tc>
          <w:tcPr>
            <w:tcW w:type="dxa" w:w="1805"/>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20"/>
            </w:pPr>
            <w:r>
              <w:rPr>
                <w:rFonts w:ascii="Georgia" w:cs="Georgia" w:eastAsia="Georgia" w:hAnsi="Georgia"/>
                <w:b/>
                <w:bCs/>
                <w:color w:val="1C1B1A"/>
                <w:sz w:val="18"/>
                <w:szCs w:val="18"/>
              </w:rPr>
              <w:t xml:space="preserve">Violet Haze</w:t>
            </w:r>
          </w:p>
          <w:p>
            <w:r>
              <w:rPr>
                <w:rFonts w:ascii="IBM Plex Mono" w:cs="IBM Plex Mono" w:eastAsia="IBM Plex Mono" w:hAnsi="IBM Plex Mono"/>
                <w:color w:val="7A7872"/>
                <w:sz w:val="18"/>
                <w:szCs w:val="18"/>
              </w:rPr>
              <w:t xml:space="preserve">#A855F7</w:t>
            </w:r>
          </w:p>
        </w:tc>
        <w:tc>
          <w:tcPr>
            <w:tcW w:type="dxa" w:w="1805"/>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20"/>
            </w:pPr>
            <w:r>
              <w:rPr>
                <w:rFonts w:ascii="Georgia" w:cs="Georgia" w:eastAsia="Georgia" w:hAnsi="Georgia"/>
                <w:b/>
                <w:bCs/>
                <w:color w:val="1C1B1A"/>
                <w:sz w:val="18"/>
                <w:szCs w:val="18"/>
              </w:rPr>
              <w:t xml:space="preserve">Amber Glow</w:t>
            </w:r>
          </w:p>
          <w:p>
            <w:r>
              <w:rPr>
                <w:rFonts w:ascii="IBM Plex Mono" w:cs="IBM Plex Mono" w:eastAsia="IBM Plex Mono" w:hAnsi="IBM Plex Mono"/>
                <w:color w:val="7A7872"/>
                <w:sz w:val="18"/>
                <w:szCs w:val="18"/>
              </w:rPr>
              <w:t xml:space="preserve">#F5A623</w:t>
            </w:r>
          </w:p>
        </w:tc>
      </w:tr>
    </w:tbl>
    <w:p>
      <w:pPr>
        <w:spacing w:after="120"/>
      </w:pPr>
    </w:p>
    <w:p>
      <w:pPr>
        <w:spacing w:before="280" w:after="120"/>
      </w:pPr>
      <w:r>
        <w:rPr>
          <w:rFonts w:ascii="Georgia" w:cs="Georgia" w:eastAsia="Georgia" w:hAnsi="Georgia"/>
          <w:b/>
          <w:bCs/>
          <w:color w:val="4A4845"/>
          <w:sz w:val="24"/>
          <w:szCs w:val="24"/>
        </w:rPr>
        <w:t xml:space="preserve">Accent roles</w:t>
      </w:r>
    </w:p>
    <w:p>
      <w:pPr>
        <w:pStyle w:val="ListParagraph"/>
        <w:numPr>
          <w:ilvl w:val="0"/>
          <w:numId w:val="2"/>
        </w:numPr>
        <w:spacing w:after="80" w:line="320"/>
      </w:pPr>
      <w:r>
        <w:rPr>
          <w:rFonts w:ascii="Georgia" w:cs="Georgia" w:eastAsia="Georgia" w:hAnsi="Georgia"/>
          <w:color w:val="4A4845"/>
          <w:sz w:val="21"/>
          <w:szCs w:val="21"/>
        </w:rPr>
        <w:t xml:space="preserve">Cyan Pulse — Primary interactive colour. Links, active states, focus rings, primary CTA borders, progress indicators.</w:t>
      </w:r>
    </w:p>
    <w:p>
      <w:pPr>
        <w:pStyle w:val="ListParagraph"/>
        <w:numPr>
          <w:ilvl w:val="0"/>
          <w:numId w:val="2"/>
        </w:numPr>
        <w:spacing w:after="80" w:line="320"/>
      </w:pPr>
      <w:r>
        <w:rPr>
          <w:rFonts w:ascii="Georgia" w:cs="Georgia" w:eastAsia="Georgia" w:hAnsi="Georgia"/>
          <w:color w:val="4A4845"/>
          <w:sz w:val="21"/>
          <w:szCs w:val="21"/>
        </w:rPr>
        <w:t xml:space="preserve">Magenta Edge — Alerts, urgent notifications, destructive actions, hover accents on secondary elements.</w:t>
      </w:r>
    </w:p>
    <w:p>
      <w:pPr>
        <w:pStyle w:val="ListParagraph"/>
        <w:numPr>
          <w:ilvl w:val="0"/>
          <w:numId w:val="2"/>
        </w:numPr>
        <w:spacing w:after="80" w:line="320"/>
      </w:pPr>
      <w:r>
        <w:rPr>
          <w:rFonts w:ascii="Georgia" w:cs="Georgia" w:eastAsia="Georgia" w:hAnsi="Georgia"/>
          <w:color w:val="4A4845"/>
          <w:sz w:val="21"/>
          <w:szCs w:val="21"/>
        </w:rPr>
        <w:t xml:space="preserve">Neon Lime — Success states, completion indicators, positive data movement.</w:t>
      </w:r>
    </w:p>
    <w:p>
      <w:pPr>
        <w:pStyle w:val="ListParagraph"/>
        <w:numPr>
          <w:ilvl w:val="0"/>
          <w:numId w:val="2"/>
        </w:numPr>
        <w:spacing w:after="80" w:line="320"/>
      </w:pPr>
      <w:r>
        <w:rPr>
          <w:rFonts w:ascii="Georgia" w:cs="Georgia" w:eastAsia="Georgia" w:hAnsi="Georgia"/>
          <w:color w:val="4A4845"/>
          <w:sz w:val="21"/>
          <w:szCs w:val="21"/>
        </w:rPr>
        <w:t xml:space="preserve">Violet Haze — Secondary highlights, tags, categories, visited states.</w:t>
      </w:r>
    </w:p>
    <w:p>
      <w:pPr>
        <w:pStyle w:val="ListParagraph"/>
        <w:numPr>
          <w:ilvl w:val="0"/>
          <w:numId w:val="2"/>
        </w:numPr>
        <w:spacing w:after="80" w:line="320"/>
      </w:pPr>
      <w:r>
        <w:rPr>
          <w:rFonts w:ascii="Georgia" w:cs="Georgia" w:eastAsia="Georgia" w:hAnsi="Georgia"/>
          <w:color w:val="4A4845"/>
          <w:sz w:val="21"/>
          <w:szCs w:val="21"/>
        </w:rPr>
        <w:t xml:space="preserve">Amber Glow — Warnings, pending states, warmth-coded data, financial indicators.</w:t>
      </w:r>
    </w:p>
    <w:p>
      <w:pPr>
        <w:spacing w:before="280" w:after="120"/>
      </w:pPr>
      <w:r>
        <w:rPr>
          <w:rFonts w:ascii="Georgia" w:cs="Georgia" w:eastAsia="Georgia" w:hAnsi="Georgia"/>
          <w:b/>
          <w:bCs/>
          <w:color w:val="4A4845"/>
          <w:sz w:val="24"/>
          <w:szCs w:val="24"/>
        </w:rPr>
        <w:t xml:space="preserve">Muted variants for backgrounds</w:t>
      </w:r>
    </w:p>
    <w:p>
      <w:pPr>
        <w:spacing w:after="160" w:line="340"/>
      </w:pPr>
      <w:r>
        <w:rPr>
          <w:rFonts w:ascii="Georgia" w:cs="Georgia" w:eastAsia="Georgia" w:hAnsi="Georgia"/>
          <w:color w:val="4A4845"/>
          <w:sz w:val="21"/>
          <w:szCs w:val="21"/>
        </w:rPr>
        <w:t xml:space="preserve">When accents appear as background tints (callout boxes, badges, status pills), use the colour at 6–8% opacity over Ivory. Never place full-strength accent colour as a background fill — it will dominate the page and break the gallery calm.</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rHeight w:val="900" w:hRule="atLeast"/>
        </w:trPr>
        <w:tc>
          <w:tcPr>
            <w:tcW w:type="dxa" w:w="1805"/>
            <w:tcBorders>
              <w:top w:val="none" w:color="FFFFFF" w:sz="0"/>
              <w:left w:val="none" w:color="FFFFFF" w:sz="0"/>
              <w:bottom w:val="none" w:color="FFFFFF" w:sz="0"/>
              <w:right w:val="none" w:color="FFFFFF" w:sz="0"/>
            </w:tcBorders>
            <w:shd w:fill="E0F7FA" w:val="clear"/>
            <w:tcMar>
              <w:top w:type="dxa" w:w="60"/>
              <w:left w:type="dxa" w:w="80"/>
              <w:bottom w:type="dxa" w:w="60"/>
              <w:right w:type="dxa" w:w="80"/>
            </w:tcMar>
          </w:tcPr>
          <w:p/>
        </w:tc>
        <w:tc>
          <w:tcPr>
            <w:tcW w:type="dxa" w:w="1805"/>
            <w:tcBorders>
              <w:top w:val="none" w:color="FFFFFF" w:sz="0"/>
              <w:left w:val="none" w:color="FFFFFF" w:sz="0"/>
              <w:bottom w:val="none" w:color="FFFFFF" w:sz="0"/>
              <w:right w:val="none" w:color="FFFFFF" w:sz="0"/>
            </w:tcBorders>
            <w:shd w:fill="FDE8EF" w:val="clear"/>
            <w:tcMar>
              <w:top w:type="dxa" w:w="60"/>
              <w:left w:type="dxa" w:w="80"/>
              <w:bottom w:type="dxa" w:w="60"/>
              <w:right w:type="dxa" w:w="80"/>
            </w:tcMar>
          </w:tcPr>
          <w:p/>
        </w:tc>
        <w:tc>
          <w:tcPr>
            <w:tcW w:type="dxa" w:w="1805"/>
            <w:tcBorders>
              <w:top w:val="none" w:color="FFFFFF" w:sz="0"/>
              <w:left w:val="none" w:color="FFFFFF" w:sz="0"/>
              <w:bottom w:val="none" w:color="FFFFFF" w:sz="0"/>
              <w:right w:val="none" w:color="FFFFFF" w:sz="0"/>
            </w:tcBorders>
            <w:shd w:fill="F2FFD9" w:val="clear"/>
            <w:tcMar>
              <w:top w:type="dxa" w:w="60"/>
              <w:left w:type="dxa" w:w="80"/>
              <w:bottom w:type="dxa" w:w="60"/>
              <w:right w:type="dxa" w:w="80"/>
            </w:tcMar>
          </w:tcPr>
          <w:p/>
        </w:tc>
        <w:tc>
          <w:tcPr>
            <w:tcW w:type="dxa" w:w="1805"/>
            <w:tcBorders>
              <w:top w:val="none" w:color="FFFFFF" w:sz="0"/>
              <w:left w:val="none" w:color="FFFFFF" w:sz="0"/>
              <w:bottom w:val="none" w:color="FFFFFF" w:sz="0"/>
              <w:right w:val="none" w:color="FFFFFF" w:sz="0"/>
            </w:tcBorders>
            <w:shd w:fill="F3E8FF" w:val="clear"/>
            <w:tcMar>
              <w:top w:type="dxa" w:w="60"/>
              <w:left w:type="dxa" w:w="80"/>
              <w:bottom w:type="dxa" w:w="60"/>
              <w:right w:type="dxa" w:w="80"/>
            </w:tcMar>
          </w:tcPr>
          <w:p/>
        </w:tc>
        <w:tc>
          <w:tcPr>
            <w:tcW w:type="dxa" w:w="1805"/>
            <w:tcBorders>
              <w:top w:val="none" w:color="FFFFFF" w:sz="0"/>
              <w:left w:val="none" w:color="FFFFFF" w:sz="0"/>
              <w:bottom w:val="none" w:color="FFFFFF" w:sz="0"/>
              <w:right w:val="none" w:color="FFFFFF" w:sz="0"/>
            </w:tcBorders>
            <w:shd w:fill="FEF3D9" w:val="clear"/>
            <w:tcMar>
              <w:top w:type="dxa" w:w="60"/>
              <w:left w:type="dxa" w:w="80"/>
              <w:bottom w:type="dxa" w:w="60"/>
              <w:right w:type="dxa" w:w="80"/>
            </w:tcMar>
          </w:tcPr>
          <w:p/>
        </w:tc>
      </w:tr>
      <w:tr>
        <w:tc>
          <w:tcPr>
            <w:tcW w:type="dxa" w:w="1805"/>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20"/>
            </w:pPr>
            <w:r>
              <w:rPr>
                <w:rFonts w:ascii="Georgia" w:cs="Georgia" w:eastAsia="Georgia" w:hAnsi="Georgia"/>
                <w:b/>
                <w:bCs/>
                <w:color w:val="1C1B1A"/>
                <w:sz w:val="18"/>
                <w:szCs w:val="18"/>
              </w:rPr>
              <w:t xml:space="preserve">Cyan Subtle</w:t>
            </w:r>
          </w:p>
          <w:p>
            <w:r>
              <w:rPr>
                <w:rFonts w:ascii="IBM Plex Mono" w:cs="IBM Plex Mono" w:eastAsia="IBM Plex Mono" w:hAnsi="IBM Plex Mono"/>
                <w:color w:val="7A7872"/>
                <w:sz w:val="18"/>
                <w:szCs w:val="18"/>
              </w:rPr>
              <w:t xml:space="preserve">#E0F7FA</w:t>
            </w:r>
          </w:p>
        </w:tc>
        <w:tc>
          <w:tcPr>
            <w:tcW w:type="dxa" w:w="1805"/>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20"/>
            </w:pPr>
            <w:r>
              <w:rPr>
                <w:rFonts w:ascii="Georgia" w:cs="Georgia" w:eastAsia="Georgia" w:hAnsi="Georgia"/>
                <w:b/>
                <w:bCs/>
                <w:color w:val="1C1B1A"/>
                <w:sz w:val="18"/>
                <w:szCs w:val="18"/>
              </w:rPr>
              <w:t xml:space="preserve">Magenta Subtle</w:t>
            </w:r>
          </w:p>
          <w:p>
            <w:r>
              <w:rPr>
                <w:rFonts w:ascii="IBM Plex Mono" w:cs="IBM Plex Mono" w:eastAsia="IBM Plex Mono" w:hAnsi="IBM Plex Mono"/>
                <w:color w:val="7A7872"/>
                <w:sz w:val="18"/>
                <w:szCs w:val="18"/>
              </w:rPr>
              <w:t xml:space="preserve">#FDE8EF</w:t>
            </w:r>
          </w:p>
        </w:tc>
        <w:tc>
          <w:tcPr>
            <w:tcW w:type="dxa" w:w="1805"/>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20"/>
            </w:pPr>
            <w:r>
              <w:rPr>
                <w:rFonts w:ascii="Georgia" w:cs="Georgia" w:eastAsia="Georgia" w:hAnsi="Georgia"/>
                <w:b/>
                <w:bCs/>
                <w:color w:val="1C1B1A"/>
                <w:sz w:val="18"/>
                <w:szCs w:val="18"/>
              </w:rPr>
              <w:t xml:space="preserve">Lime Subtle</w:t>
            </w:r>
          </w:p>
          <w:p>
            <w:r>
              <w:rPr>
                <w:rFonts w:ascii="IBM Plex Mono" w:cs="IBM Plex Mono" w:eastAsia="IBM Plex Mono" w:hAnsi="IBM Plex Mono"/>
                <w:color w:val="7A7872"/>
                <w:sz w:val="18"/>
                <w:szCs w:val="18"/>
              </w:rPr>
              <w:t xml:space="preserve">#F2FFD9</w:t>
            </w:r>
          </w:p>
        </w:tc>
        <w:tc>
          <w:tcPr>
            <w:tcW w:type="dxa" w:w="1805"/>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20"/>
            </w:pPr>
            <w:r>
              <w:rPr>
                <w:rFonts w:ascii="Georgia" w:cs="Georgia" w:eastAsia="Georgia" w:hAnsi="Georgia"/>
                <w:b/>
                <w:bCs/>
                <w:color w:val="1C1B1A"/>
                <w:sz w:val="18"/>
                <w:szCs w:val="18"/>
              </w:rPr>
              <w:t xml:space="preserve">Violet Subtle</w:t>
            </w:r>
          </w:p>
          <w:p>
            <w:r>
              <w:rPr>
                <w:rFonts w:ascii="IBM Plex Mono" w:cs="IBM Plex Mono" w:eastAsia="IBM Plex Mono" w:hAnsi="IBM Plex Mono"/>
                <w:color w:val="7A7872"/>
                <w:sz w:val="18"/>
                <w:szCs w:val="18"/>
              </w:rPr>
              <w:t xml:space="preserve">#F3E8FF</w:t>
            </w:r>
          </w:p>
        </w:tc>
        <w:tc>
          <w:tcPr>
            <w:tcW w:type="dxa" w:w="1805"/>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20"/>
            </w:pPr>
            <w:r>
              <w:rPr>
                <w:rFonts w:ascii="Georgia" w:cs="Georgia" w:eastAsia="Georgia" w:hAnsi="Georgia"/>
                <w:b/>
                <w:bCs/>
                <w:color w:val="1C1B1A"/>
                <w:sz w:val="18"/>
                <w:szCs w:val="18"/>
              </w:rPr>
              <w:t xml:space="preserve">Amber Subtle</w:t>
            </w:r>
          </w:p>
          <w:p>
            <w:r>
              <w:rPr>
                <w:rFonts w:ascii="IBM Plex Mono" w:cs="IBM Plex Mono" w:eastAsia="IBM Plex Mono" w:hAnsi="IBM Plex Mono"/>
                <w:color w:val="7A7872"/>
                <w:sz w:val="18"/>
                <w:szCs w:val="18"/>
              </w:rPr>
              <w:t xml:space="preserve">#FEF3D9</w:t>
            </w:r>
          </w:p>
        </w:tc>
      </w:tr>
    </w:tbl>
    <w:p>
      <w:r>
        <w:br/>
      </w:r>
      <w:r>
        <w:br w:type="page"/>
      </w:r>
    </w:p>
    <w:p>
      <w:pPr>
        <w:pStyle w:val="Heading1"/>
        <w:spacing w:before="480" w:after="200"/>
      </w:pPr>
      <w:r>
        <w:rPr>
          <w:rFonts w:ascii="Georgia" w:cs="Georgia" w:eastAsia="Georgia" w:hAnsi="Georgia"/>
          <w:b/>
          <w:bCs/>
          <w:color w:val="1C1B1A"/>
          <w:sz w:val="36"/>
          <w:szCs w:val="36"/>
        </w:rPr>
        <w:t xml:space="preserve">3. Typography</w:t>
      </w:r>
    </w:p>
    <w:p>
      <w:pPr>
        <w:pStyle w:val="Heading2"/>
        <w:spacing w:before="360" w:after="160"/>
      </w:pPr>
      <w:r>
        <w:rPr>
          <w:rFonts w:ascii="Georgia" w:cs="Georgia" w:eastAsia="Georgia" w:hAnsi="Georgia"/>
          <w:b/>
          <w:bCs/>
          <w:color w:val="2E2D2B"/>
          <w:sz w:val="28"/>
          <w:szCs w:val="28"/>
        </w:rPr>
        <w:t xml:space="preserve">3.1 Type Stack</w:t>
      </w:r>
    </w:p>
    <w:p>
      <w:pPr>
        <w:spacing w:after="160" w:line="340"/>
      </w:pPr>
      <w:r>
        <w:rPr>
          <w:rFonts w:ascii="Georgia" w:cs="Georgia" w:eastAsia="Georgia" w:hAnsi="Georgia"/>
          <w:color w:val="4A4845"/>
          <w:sz w:val="21"/>
          <w:szCs w:val="21"/>
        </w:rPr>
        <w:t xml:space="preserve">Three typefaces, each with a clear role. The combination of serif display, clean sans body, and monospace data creates the tension between gallery elegance and technical precision.</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c>
          <w:tcPr>
            <w:tcW w:type="dxa" w:w="2400"/>
            <w:tcBorders>
              <w:top w:val="single" w:color="D8D6D0" w:sz="1"/>
              <w:left w:val="single" w:color="D8D6D0" w:sz="1"/>
              <w:bottom w:val="single" w:color="D8D6D0" w:sz="1"/>
              <w:right w:val="single" w:color="D8D6D0" w:sz="1"/>
            </w:tcBorders>
            <w:shd w:fill="F0EDE8" w:val="clear"/>
            <w:tcMar>
              <w:top w:type="dxa" w:w="100"/>
              <w:left w:type="dxa" w:w="140"/>
              <w:bottom w:type="dxa" w:w="100"/>
              <w:right w:type="dxa" w:w="140"/>
            </w:tcMar>
          </w:tcPr>
          <w:p>
            <w:r>
              <w:rPr>
                <w:rFonts w:ascii="IBM Plex Mono" w:cs="IBM Plex Mono" w:eastAsia="IBM Plex Mono" w:hAnsi="IBM Plex Mono"/>
                <w:b/>
                <w:bCs/>
                <w:color w:val="7A7872"/>
                <w:sz w:val="18"/>
                <w:szCs w:val="18"/>
              </w:rPr>
              <w:t xml:space="preserve">Role</w:t>
            </w:r>
          </w:p>
        </w:tc>
        <w:tc>
          <w:tcPr>
            <w:tcW w:type="dxa" w:w="2800"/>
            <w:tcBorders>
              <w:top w:val="single" w:color="D8D6D0" w:sz="1"/>
              <w:left w:val="single" w:color="D8D6D0" w:sz="1"/>
              <w:bottom w:val="single" w:color="D8D6D0" w:sz="1"/>
              <w:right w:val="single" w:color="D8D6D0" w:sz="1"/>
            </w:tcBorders>
            <w:shd w:fill="F0EDE8" w:val="clear"/>
            <w:tcMar>
              <w:top w:type="dxa" w:w="100"/>
              <w:left w:type="dxa" w:w="140"/>
              <w:bottom w:type="dxa" w:w="100"/>
              <w:right w:type="dxa" w:w="140"/>
            </w:tcMar>
          </w:tcPr>
          <w:p>
            <w:r>
              <w:rPr>
                <w:rFonts w:ascii="IBM Plex Mono" w:cs="IBM Plex Mono" w:eastAsia="IBM Plex Mono" w:hAnsi="IBM Plex Mono"/>
                <w:b/>
                <w:bCs/>
                <w:color w:val="7A7872"/>
                <w:sz w:val="18"/>
                <w:szCs w:val="18"/>
              </w:rPr>
              <w:t xml:space="preserve">Typeface</w:t>
            </w:r>
          </w:p>
        </w:tc>
        <w:tc>
          <w:tcPr>
            <w:tcW w:type="dxa" w:w="3826"/>
            <w:tcBorders>
              <w:top w:val="single" w:color="D8D6D0" w:sz="1"/>
              <w:left w:val="single" w:color="D8D6D0" w:sz="1"/>
              <w:bottom w:val="single" w:color="D8D6D0" w:sz="1"/>
              <w:right w:val="single" w:color="D8D6D0" w:sz="1"/>
            </w:tcBorders>
            <w:shd w:fill="F0EDE8" w:val="clear"/>
            <w:tcMar>
              <w:top w:type="dxa" w:w="100"/>
              <w:left w:type="dxa" w:w="140"/>
              <w:bottom w:type="dxa" w:w="100"/>
              <w:right w:type="dxa" w:w="140"/>
            </w:tcMar>
          </w:tcPr>
          <w:p>
            <w:r>
              <w:rPr>
                <w:rFonts w:ascii="IBM Plex Mono" w:cs="IBM Plex Mono" w:eastAsia="IBM Plex Mono" w:hAnsi="IBM Plex Mono"/>
                <w:b/>
                <w:bCs/>
                <w:color w:val="7A7872"/>
                <w:sz w:val="18"/>
                <w:szCs w:val="18"/>
              </w:rPr>
              <w:t xml:space="preserve">Character</w:t>
            </w:r>
          </w:p>
        </w:tc>
      </w:tr>
      <w:tr>
        <w:tc>
          <w:tcPr>
            <w:tcW w:type="dxa" w:w="2400"/>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1C1B1A"/>
                <w:sz w:val="20"/>
                <w:szCs w:val="20"/>
              </w:rPr>
              <w:t xml:space="preserve">Display / Headings</w:t>
            </w:r>
          </w:p>
        </w:tc>
        <w:tc>
          <w:tcPr>
            <w:tcW w:type="dxa" w:w="2800"/>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1C1B1A"/>
                <w:sz w:val="20"/>
                <w:szCs w:val="20"/>
              </w:rPr>
              <w:t xml:space="preserve">Cormorant Garamond</w:t>
            </w:r>
          </w:p>
        </w:tc>
        <w:tc>
          <w:tcPr>
            <w:tcW w:type="dxa" w:w="3826"/>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4A4845"/>
                <w:sz w:val="20"/>
                <w:szCs w:val="20"/>
              </w:rPr>
              <w:t xml:space="preserve">Gallery elegance. Human, handcrafted warmth. The serif softens the interface.</w:t>
            </w:r>
          </w:p>
        </w:tc>
      </w:tr>
      <w:tr>
        <w:tc>
          <w:tcPr>
            <w:tcW w:type="dxa" w:w="2400"/>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1C1B1A"/>
                <w:sz w:val="20"/>
                <w:szCs w:val="20"/>
              </w:rPr>
              <w:t xml:space="preserve">Body / UI</w:t>
            </w:r>
          </w:p>
        </w:tc>
        <w:tc>
          <w:tcPr>
            <w:tcW w:type="dxa" w:w="2800"/>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1C1B1A"/>
                <w:sz w:val="20"/>
                <w:szCs w:val="20"/>
              </w:rPr>
              <w:t xml:space="preserve">DM Sans</w:t>
            </w:r>
          </w:p>
        </w:tc>
        <w:tc>
          <w:tcPr>
            <w:tcW w:type="dxa" w:w="3826"/>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4A4845"/>
                <w:sz w:val="20"/>
                <w:szCs w:val="20"/>
              </w:rPr>
              <w:t xml:space="preserve">Clean, modern readability. Neutral but warm. Excellent at small sizes for long reading.</w:t>
            </w:r>
          </w:p>
        </w:tc>
      </w:tr>
      <w:tr>
        <w:tc>
          <w:tcPr>
            <w:tcW w:type="dxa" w:w="2400"/>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1C1B1A"/>
                <w:sz w:val="20"/>
                <w:szCs w:val="20"/>
              </w:rPr>
              <w:t xml:space="preserve">Data / Code / Labels</w:t>
            </w:r>
          </w:p>
        </w:tc>
        <w:tc>
          <w:tcPr>
            <w:tcW w:type="dxa" w:w="2800"/>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1C1B1A"/>
                <w:sz w:val="20"/>
                <w:szCs w:val="20"/>
              </w:rPr>
              <w:t xml:space="preserve">IBM Plex Mono</w:t>
            </w:r>
          </w:p>
        </w:tc>
        <w:tc>
          <w:tcPr>
            <w:tcW w:type="dxa" w:w="3826"/>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4A4845"/>
                <w:sz w:val="20"/>
                <w:szCs w:val="20"/>
              </w:rPr>
              <w:t xml:space="preserve">The technical edge. Used for numbers, status labels, code, and system feedback. This is where the cyberpunk DNA shows in the typography.</w:t>
            </w:r>
          </w:p>
        </w:tc>
      </w:tr>
    </w:tbl>
    <w:p>
      <w:pPr>
        <w:spacing w:after="200"/>
      </w:pPr>
    </w:p>
    <w:p>
      <w:pPr>
        <w:pStyle w:val="Heading2"/>
        <w:spacing w:before="360" w:after="160"/>
      </w:pPr>
      <w:r>
        <w:rPr>
          <w:rFonts w:ascii="Georgia" w:cs="Georgia" w:eastAsia="Georgia" w:hAnsi="Georgia"/>
          <w:b/>
          <w:bCs/>
          <w:color w:val="2E2D2B"/>
          <w:sz w:val="28"/>
          <w:szCs w:val="28"/>
        </w:rPr>
        <w:t xml:space="preserve">3.2 Type Scale</w:t>
      </w:r>
    </w:p>
    <w:p>
      <w:pPr>
        <w:pStyle w:val="ListParagraph"/>
        <w:numPr>
          <w:ilvl w:val="0"/>
          <w:numId w:val="2"/>
        </w:numPr>
        <w:spacing w:after="80" w:line="320"/>
      </w:pPr>
      <w:r>
        <w:rPr>
          <w:rFonts w:ascii="Georgia" w:cs="Georgia" w:eastAsia="Georgia" w:hAnsi="Georgia"/>
          <w:color w:val="4A4845"/>
          <w:sz w:val="21"/>
          <w:szCs w:val="21"/>
        </w:rPr>
        <w:t xml:space="preserve">Display / Hero: 48–64px, Cormorant Garamond, weight 300, line-height 1.08</w:t>
      </w:r>
    </w:p>
    <w:p>
      <w:pPr>
        <w:pStyle w:val="ListParagraph"/>
        <w:numPr>
          <w:ilvl w:val="0"/>
          <w:numId w:val="2"/>
        </w:numPr>
        <w:spacing w:after="80" w:line="320"/>
      </w:pPr>
      <w:r>
        <w:rPr>
          <w:rFonts w:ascii="Georgia" w:cs="Georgia" w:eastAsia="Georgia" w:hAnsi="Georgia"/>
          <w:color w:val="4A4845"/>
          <w:sz w:val="21"/>
          <w:szCs w:val="21"/>
        </w:rPr>
        <w:t xml:space="preserve">Page title: 32–42px, Cormorant Garamond, weight 300–400</w:t>
      </w:r>
    </w:p>
    <w:p>
      <w:pPr>
        <w:pStyle w:val="ListParagraph"/>
        <w:numPr>
          <w:ilvl w:val="0"/>
          <w:numId w:val="2"/>
        </w:numPr>
        <w:spacing w:after="80" w:line="320"/>
      </w:pPr>
      <w:r>
        <w:rPr>
          <w:rFonts w:ascii="Georgia" w:cs="Georgia" w:eastAsia="Georgia" w:hAnsi="Georgia"/>
          <w:color w:val="4A4845"/>
          <w:sz w:val="21"/>
          <w:szCs w:val="21"/>
        </w:rPr>
        <w:t xml:space="preserve">Section heading: 26–28px, Cormorant Garamond, weight 400</w:t>
      </w:r>
    </w:p>
    <w:p>
      <w:pPr>
        <w:pStyle w:val="ListParagraph"/>
        <w:numPr>
          <w:ilvl w:val="0"/>
          <w:numId w:val="2"/>
        </w:numPr>
        <w:spacing w:after="80" w:line="320"/>
      </w:pPr>
      <w:r>
        <w:rPr>
          <w:rFonts w:ascii="Georgia" w:cs="Georgia" w:eastAsia="Georgia" w:hAnsi="Georgia"/>
          <w:color w:val="4A4845"/>
          <w:sz w:val="21"/>
          <w:szCs w:val="21"/>
        </w:rPr>
        <w:t xml:space="preserve">Body text: 15–16px, DM Sans, weight 400, line-height 1.7–1.8</w:t>
      </w:r>
    </w:p>
    <w:p>
      <w:pPr>
        <w:pStyle w:val="ListParagraph"/>
        <w:numPr>
          <w:ilvl w:val="0"/>
          <w:numId w:val="2"/>
        </w:numPr>
        <w:spacing w:after="80" w:line="320"/>
      </w:pPr>
      <w:r>
        <w:rPr>
          <w:rFonts w:ascii="Georgia" w:cs="Georgia" w:eastAsia="Georgia" w:hAnsi="Georgia"/>
          <w:color w:val="4A4845"/>
          <w:sz w:val="21"/>
          <w:szCs w:val="21"/>
        </w:rPr>
        <w:t xml:space="preserve">Small / caption: 13px, DM Sans, weight 400</w:t>
      </w:r>
    </w:p>
    <w:p>
      <w:pPr>
        <w:pStyle w:val="ListParagraph"/>
        <w:numPr>
          <w:ilvl w:val="0"/>
          <w:numId w:val="2"/>
        </w:numPr>
        <w:spacing w:after="80" w:line="320"/>
      </w:pPr>
      <w:r>
        <w:rPr>
          <w:rFonts w:ascii="Georgia" w:cs="Georgia" w:eastAsia="Georgia" w:hAnsi="Georgia"/>
          <w:color w:val="4A4845"/>
          <w:sz w:val="21"/>
          <w:szCs w:val="21"/>
        </w:rPr>
        <w:t xml:space="preserve">Monospace labels: 10–11px, IBM Plex Mono, weight 400, letter-spacing 0.06–0.12em, uppercase</w:t>
      </w:r>
    </w:p>
    <w:p>
      <w:pPr>
        <w:pStyle w:val="ListParagraph"/>
        <w:numPr>
          <w:ilvl w:val="0"/>
          <w:numId w:val="2"/>
        </w:numPr>
        <w:spacing w:after="80" w:line="320"/>
      </w:pPr>
      <w:r>
        <w:rPr>
          <w:rFonts w:ascii="Georgia" w:cs="Georgia" w:eastAsia="Georgia" w:hAnsi="Georgia"/>
          <w:color w:val="4A4845"/>
          <w:sz w:val="21"/>
          <w:szCs w:val="21"/>
        </w:rPr>
        <w:t xml:space="preserve">Data / numbers: 12–14px, IBM Plex Mono, weight 400–500</w:t>
      </w:r>
    </w:p>
    <w:p>
      <w:pPr>
        <w:pStyle w:val="Heading2"/>
        <w:spacing w:before="360" w:after="160"/>
      </w:pPr>
      <w:r>
        <w:rPr>
          <w:rFonts w:ascii="Georgia" w:cs="Georgia" w:eastAsia="Georgia" w:hAnsi="Georgia"/>
          <w:b/>
          <w:bCs/>
          <w:color w:val="2E2D2B"/>
          <w:sz w:val="28"/>
          <w:szCs w:val="28"/>
        </w:rPr>
        <w:t xml:space="preserve">3.3 Typography Rules</w:t>
      </w:r>
    </w:p>
    <w:p>
      <w:pPr>
        <w:pStyle w:val="ListParagraph"/>
        <w:numPr>
          <w:ilvl w:val="0"/>
          <w:numId w:val="2"/>
        </w:numPr>
        <w:spacing w:after="80" w:line="320"/>
      </w:pPr>
      <w:r>
        <w:rPr>
          <w:rFonts w:ascii="Georgia" w:cs="Georgia" w:eastAsia="Georgia" w:hAnsi="Georgia"/>
          <w:color w:val="4A4845"/>
          <w:sz w:val="21"/>
          <w:szCs w:val="21"/>
        </w:rPr>
        <w:t xml:space="preserve">Sentence case everywhere. Never Title Case. Never ALL CAPS except monospace system labels at 10–11px.</w:t>
      </w:r>
    </w:p>
    <w:p>
      <w:pPr>
        <w:pStyle w:val="ListParagraph"/>
        <w:numPr>
          <w:ilvl w:val="0"/>
          <w:numId w:val="2"/>
        </w:numPr>
        <w:spacing w:after="80" w:line="320"/>
      </w:pPr>
      <w:r>
        <w:rPr>
          <w:rFonts w:ascii="Georgia" w:cs="Georgia" w:eastAsia="Georgia" w:hAnsi="Georgia"/>
          <w:color w:val="4A4845"/>
          <w:sz w:val="21"/>
          <w:szCs w:val="21"/>
        </w:rPr>
        <w:t xml:space="preserve">Heading weight is 300–400, never 700. The elegance comes from lightness, not heaviness.</w:t>
      </w:r>
    </w:p>
    <w:p>
      <w:pPr>
        <w:pStyle w:val="ListParagraph"/>
        <w:numPr>
          <w:ilvl w:val="0"/>
          <w:numId w:val="2"/>
        </w:numPr>
        <w:spacing w:after="80" w:line="320"/>
      </w:pPr>
      <w:r>
        <w:rPr>
          <w:rFonts w:ascii="Georgia" w:cs="Georgia" w:eastAsia="Georgia" w:hAnsi="Georgia"/>
          <w:color w:val="4A4845"/>
          <w:sz w:val="21"/>
          <w:szCs w:val="21"/>
        </w:rPr>
        <w:t xml:space="preserve">Italics on headings are permitted and encouraged for key words — they add the human, gallery-catalogue quality.</w:t>
      </w:r>
    </w:p>
    <w:p>
      <w:pPr>
        <w:pStyle w:val="ListParagraph"/>
        <w:numPr>
          <w:ilvl w:val="0"/>
          <w:numId w:val="2"/>
        </w:numPr>
        <w:spacing w:after="80" w:line="320"/>
      </w:pPr>
      <w:r>
        <w:rPr>
          <w:rFonts w:ascii="Georgia" w:cs="Georgia" w:eastAsia="Georgia" w:hAnsi="Georgia"/>
          <w:color w:val="4A4845"/>
          <w:sz w:val="21"/>
          <w:szCs w:val="21"/>
        </w:rPr>
        <w:t xml:space="preserve">Body text colour is Graphite #4A4845, not Ink. The slight softness reduces eye strain without sacrificing readability.</w:t>
      </w:r>
    </w:p>
    <w:p>
      <w:r>
        <w:br/>
      </w:r>
      <w:r>
        <w:br w:type="page"/>
      </w:r>
    </w:p>
    <w:p>
      <w:pPr>
        <w:pStyle w:val="Heading1"/>
        <w:spacing w:before="480" w:after="200"/>
      </w:pPr>
      <w:r>
        <w:rPr>
          <w:rFonts w:ascii="Georgia" w:cs="Georgia" w:eastAsia="Georgia" w:hAnsi="Georgia"/>
          <w:b/>
          <w:bCs/>
          <w:color w:val="1C1B1A"/>
          <w:sz w:val="36"/>
          <w:szCs w:val="36"/>
        </w:rPr>
        <w:t xml:space="preserve">4. Kicker Moments</w:t>
      </w:r>
    </w:p>
    <w:p>
      <w:pPr>
        <w:spacing w:after="160" w:line="340"/>
      </w:pPr>
      <w:r>
        <w:rPr>
          <w:rFonts w:ascii="Georgia" w:cs="Georgia" w:eastAsia="Georgia" w:hAnsi="Georgia"/>
          <w:color w:val="4A4845"/>
          <w:sz w:val="21"/>
          <w:szCs w:val="21"/>
        </w:rPr>
        <w:t xml:space="preserve">These are the specific, controlled moments where the cyberpunk pulse shows itself. Each one is designed to be felt before it is consciously noticed. The rebel heart beats quietly but unmistakably.</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c>
          <w:tcPr>
            <w:tcW w:type="dxa" w:w="4200"/>
            <w:tcBorders>
              <w:top w:val="single" w:color="D8D6D0" w:sz="1"/>
              <w:left w:val="single" w:color="D8D6D0" w:sz="1"/>
              <w:bottom w:val="single" w:color="D8D6D0" w:sz="1"/>
              <w:right w:val="single" w:color="D8D6D0" w:sz="1"/>
            </w:tcBorders>
            <w:shd w:fill="F0EDE8" w:val="clear"/>
            <w:tcMar>
              <w:top w:type="dxa" w:w="100"/>
              <w:left w:type="dxa" w:w="140"/>
              <w:bottom w:type="dxa" w:w="100"/>
              <w:right w:type="dxa" w:w="140"/>
            </w:tcMar>
          </w:tcPr>
          <w:p>
            <w:r>
              <w:rPr>
                <w:rFonts w:ascii="IBM Plex Mono" w:cs="IBM Plex Mono" w:eastAsia="IBM Plex Mono" w:hAnsi="IBM Plex Mono"/>
                <w:b/>
                <w:bCs/>
                <w:color w:val="7A7872"/>
                <w:sz w:val="18"/>
                <w:szCs w:val="18"/>
              </w:rPr>
              <w:t xml:space="preserve">Kicker moment</w:t>
            </w:r>
          </w:p>
        </w:tc>
        <w:tc>
          <w:tcPr>
            <w:tcW w:type="dxa" w:w="4826"/>
            <w:tcBorders>
              <w:top w:val="single" w:color="D8D6D0" w:sz="1"/>
              <w:left w:val="single" w:color="D8D6D0" w:sz="1"/>
              <w:bottom w:val="single" w:color="D8D6D0" w:sz="1"/>
              <w:right w:val="single" w:color="D8D6D0" w:sz="1"/>
            </w:tcBorders>
            <w:shd w:fill="F0EDE8" w:val="clear"/>
            <w:tcMar>
              <w:top w:type="dxa" w:w="100"/>
              <w:left w:type="dxa" w:w="140"/>
              <w:bottom w:type="dxa" w:w="100"/>
              <w:right w:type="dxa" w:w="140"/>
            </w:tcMar>
          </w:tcPr>
          <w:p>
            <w:r>
              <w:rPr>
                <w:rFonts w:ascii="IBM Plex Mono" w:cs="IBM Plex Mono" w:eastAsia="IBM Plex Mono" w:hAnsi="IBM Plex Mono"/>
                <w:b/>
                <w:bCs/>
                <w:color w:val="7A7872"/>
                <w:sz w:val="18"/>
                <w:szCs w:val="18"/>
              </w:rPr>
              <w:t xml:space="preserve">How it manifests</w:t>
            </w:r>
          </w:p>
        </w:tc>
      </w:tr>
      <w:tr>
        <w:tc>
          <w:tcPr>
            <w:tcW w:type="dxa" w:w="4200"/>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1C1B1A"/>
                <w:sz w:val="20"/>
                <w:szCs w:val="20"/>
              </w:rPr>
              <w:t xml:space="preserve">Progress bars</w:t>
            </w:r>
          </w:p>
        </w:tc>
        <w:tc>
          <w:tcPr>
            <w:tcW w:type="dxa" w:w="4826"/>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4A4845"/>
                <w:sz w:val="20"/>
                <w:szCs w:val="20"/>
              </w:rPr>
              <w:t xml:space="preserve">Thin 2px line, cyan glow. Grows smoothly left to right. The only element that feels alive on an otherwise still page.</w:t>
            </w:r>
          </w:p>
        </w:tc>
      </w:tr>
      <w:tr>
        <w:tc>
          <w:tcPr>
            <w:tcW w:type="dxa" w:w="4200"/>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1C1B1A"/>
                <w:sz w:val="20"/>
                <w:szCs w:val="20"/>
              </w:rPr>
              <w:t xml:space="preserve">Link hover</w:t>
            </w:r>
          </w:p>
        </w:tc>
        <w:tc>
          <w:tcPr>
            <w:tcW w:type="dxa" w:w="4826"/>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4A4845"/>
                <w:sz w:val="20"/>
                <w:szCs w:val="20"/>
              </w:rPr>
              <w:t xml:space="preserve">Text colour transitions from Cyan Muted to full Cyan Pulse. Brief, crisp, unmissable.</w:t>
            </w:r>
          </w:p>
        </w:tc>
      </w:tr>
      <w:tr>
        <w:tc>
          <w:tcPr>
            <w:tcW w:type="dxa" w:w="4200"/>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1C1B1A"/>
                <w:sz w:val="20"/>
                <w:szCs w:val="20"/>
              </w:rPr>
              <w:t xml:space="preserve">CTA hover</w:t>
            </w:r>
          </w:p>
        </w:tc>
        <w:tc>
          <w:tcPr>
            <w:tcW w:type="dxa" w:w="4826"/>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4A4845"/>
                <w:sz w:val="20"/>
                <w:szCs w:val="20"/>
              </w:rPr>
              <w:t xml:space="preserve">Primary button gains a 2px cyan bottom border that scales in from centre. Secondary button border shifts to Magenta.</w:t>
            </w:r>
          </w:p>
        </w:tc>
      </w:tr>
      <w:tr>
        <w:tc>
          <w:tcPr>
            <w:tcW w:type="dxa" w:w="4200"/>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1C1B1A"/>
                <w:sz w:val="20"/>
                <w:szCs w:val="20"/>
              </w:rPr>
              <w:t xml:space="preserve">Notification dots</w:t>
            </w:r>
          </w:p>
        </w:tc>
        <w:tc>
          <w:tcPr>
            <w:tcW w:type="dxa" w:w="4826"/>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4A4845"/>
                <w:sz w:val="20"/>
                <w:szCs w:val="20"/>
              </w:rPr>
              <w:t xml:space="preserve">8px Magenta circles. No animation on arrival — they simply appear, like a light switching on.</w:t>
            </w:r>
          </w:p>
        </w:tc>
      </w:tr>
      <w:tr>
        <w:tc>
          <w:tcPr>
            <w:tcW w:type="dxa" w:w="4200"/>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1C1B1A"/>
                <w:sz w:val="20"/>
                <w:szCs w:val="20"/>
              </w:rPr>
              <w:t xml:space="preserve">Status indicators</w:t>
            </w:r>
          </w:p>
        </w:tc>
        <w:tc>
          <w:tcPr>
            <w:tcW w:type="dxa" w:w="4826"/>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4A4845"/>
                <w:sz w:val="20"/>
                <w:szCs w:val="20"/>
              </w:rPr>
              <w:t xml:space="preserve">5px dots: Cyan = live/active, Amber = pending, Magenta = alert, Stone = closed/inactive.</w:t>
            </w:r>
          </w:p>
        </w:tc>
      </w:tr>
      <w:tr>
        <w:tc>
          <w:tcPr>
            <w:tcW w:type="dxa" w:w="4200"/>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1C1B1A"/>
                <w:sz w:val="20"/>
                <w:szCs w:val="20"/>
              </w:rPr>
              <w:t xml:space="preserve">Section dividers</w:t>
            </w:r>
          </w:p>
        </w:tc>
        <w:tc>
          <w:tcPr>
            <w:tcW w:type="dxa" w:w="4826"/>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4A4845"/>
                <w:sz w:val="20"/>
                <w:szCs w:val="20"/>
              </w:rPr>
              <w:t xml:space="preserve">Horizontal rules use a subtle gradient: transparent → Cyan → Magenta → transparent. The only place two accent colours meet.</w:t>
            </w:r>
          </w:p>
        </w:tc>
      </w:tr>
      <w:tr>
        <w:tc>
          <w:tcPr>
            <w:tcW w:type="dxa" w:w="4200"/>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1C1B1A"/>
                <w:sz w:val="20"/>
                <w:szCs w:val="20"/>
              </w:rPr>
              <w:t xml:space="preserve">Callout borders</w:t>
            </w:r>
          </w:p>
        </w:tc>
        <w:tc>
          <w:tcPr>
            <w:tcW w:type="dxa" w:w="4826"/>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4A4845"/>
                <w:sz w:val="20"/>
                <w:szCs w:val="20"/>
              </w:rPr>
              <w:t xml:space="preserve">3px left border in accent colour on tinted background (6–8% opacity). Cyan for info, Amber for warning, Magenta for alert.</w:t>
            </w:r>
          </w:p>
        </w:tc>
      </w:tr>
      <w:tr>
        <w:tc>
          <w:tcPr>
            <w:tcW w:type="dxa" w:w="4200"/>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1C1B1A"/>
                <w:sz w:val="20"/>
                <w:szCs w:val="20"/>
              </w:rPr>
              <w:t xml:space="preserve">Data highlights</w:t>
            </w:r>
          </w:p>
        </w:tc>
        <w:tc>
          <w:tcPr>
            <w:tcW w:type="dxa" w:w="4826"/>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4A4845"/>
                <w:sz w:val="20"/>
                <w:szCs w:val="20"/>
              </w:rPr>
              <w:t xml:space="preserve">Key numbers in Cyan Muted. Financial values, percentages, scores — the numbers that matter most get the accent treatment.</w:t>
            </w:r>
          </w:p>
        </w:tc>
      </w:tr>
      <w:tr>
        <w:tc>
          <w:tcPr>
            <w:tcW w:type="dxa" w:w="4200"/>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1C1B1A"/>
                <w:sz w:val="20"/>
                <w:szCs w:val="20"/>
              </w:rPr>
              <w:t xml:space="preserve">Stat card top edge</w:t>
            </w:r>
          </w:p>
        </w:tc>
        <w:tc>
          <w:tcPr>
            <w:tcW w:type="dxa" w:w="4826"/>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4A4845"/>
                <w:sz w:val="20"/>
                <w:szCs w:val="20"/>
              </w:rPr>
              <w:t xml:space="preserve">Each card has a 2px top border in a different accent colour. Subtle orientation device across a row of metrics.</w:t>
            </w:r>
          </w:p>
        </w:tc>
      </w:tr>
      <w:tr>
        <w:tc>
          <w:tcPr>
            <w:tcW w:type="dxa" w:w="4200"/>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1C1B1A"/>
                <w:sz w:val="20"/>
                <w:szCs w:val="20"/>
              </w:rPr>
              <w:t xml:space="preserve">Monospace labels</w:t>
            </w:r>
          </w:p>
        </w:tc>
        <w:tc>
          <w:tcPr>
            <w:tcW w:type="dxa" w:w="4826"/>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4A4845"/>
                <w:sz w:val="20"/>
                <w:szCs w:val="20"/>
              </w:rPr>
              <w:t xml:space="preserve">IBM Plex Mono at 10–11px, uppercase, wide letter-spacing. The typeface itself is the kicker — it signals precision and system-level awareness amid the serif calm.</w:t>
            </w:r>
          </w:p>
        </w:tc>
      </w:tr>
      <w:tr>
        <w:tc>
          <w:tcPr>
            <w:tcW w:type="dxa" w:w="4200"/>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1C1B1A"/>
                <w:sz w:val="20"/>
                <w:szCs w:val="20"/>
              </w:rPr>
              <w:t xml:space="preserve">Code blocks</w:t>
            </w:r>
          </w:p>
        </w:tc>
        <w:tc>
          <w:tcPr>
            <w:tcW w:type="dxa" w:w="4826"/>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4A4845"/>
                <w:sz w:val="20"/>
                <w:szCs w:val="20"/>
              </w:rPr>
              <w:t xml:space="preserve">Flip to dark background (Ink #1C1B1A). Syntax highlighting uses the full accent palette: Violet for keywords, Cyan for functions, Lime for strings, Amber for numbers.</w:t>
            </w:r>
          </w:p>
        </w:tc>
      </w:tr>
      <w:tr>
        <w:tc>
          <w:tcPr>
            <w:tcW w:type="dxa" w:w="4200"/>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1C1B1A"/>
                <w:sz w:val="20"/>
                <w:szCs w:val="20"/>
              </w:rPr>
              <w:t xml:space="preserve">Focus rings</w:t>
            </w:r>
          </w:p>
        </w:tc>
        <w:tc>
          <w:tcPr>
            <w:tcW w:type="dxa" w:w="4826"/>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4A4845"/>
                <w:sz w:val="20"/>
                <w:szCs w:val="20"/>
              </w:rPr>
              <w:t xml:space="preserve">2px Cyan outline with 2px offset. Clean, visible, unmistakably intentional.</w:t>
            </w:r>
          </w:p>
        </w:tc>
      </w:tr>
      <w:tr>
        <w:tc>
          <w:tcPr>
            <w:tcW w:type="dxa" w:w="4200"/>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1C1B1A"/>
                <w:sz w:val="20"/>
                <w:szCs w:val="20"/>
              </w:rPr>
              <w:t xml:space="preserve">Loading states</w:t>
            </w:r>
          </w:p>
        </w:tc>
        <w:tc>
          <w:tcPr>
            <w:tcW w:type="dxa" w:w="4826"/>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4A4845"/>
                <w:sz w:val="20"/>
                <w:szCs w:val="20"/>
              </w:rPr>
              <w:t xml:space="preserve">Thin cyan line pulses across the top of the viewport. 2px tall. The page breathes.</w:t>
            </w:r>
          </w:p>
        </w:tc>
      </w:tr>
      <w:tr>
        <w:tc>
          <w:tcPr>
            <w:tcW w:type="dxa" w:w="4200"/>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1C1B1A"/>
                <w:sz w:val="20"/>
                <w:szCs w:val="20"/>
              </w:rPr>
              <w:t xml:space="preserve">Empty states</w:t>
            </w:r>
          </w:p>
        </w:tc>
        <w:tc>
          <w:tcPr>
            <w:tcW w:type="dxa" w:w="4826"/>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4A4845"/>
                <w:sz w:val="20"/>
                <w:szCs w:val="20"/>
              </w:rPr>
              <w:t xml:space="preserve">A single line of monospace text in Stone, centred. No illustration, no clipart. The emptiness itself communicates.</w:t>
            </w:r>
          </w:p>
        </w:tc>
      </w:tr>
    </w:tbl>
    <w:p>
      <w:r>
        <w:br/>
      </w:r>
      <w:r>
        <w:br w:type="page"/>
      </w:r>
    </w:p>
    <w:p>
      <w:pPr>
        <w:pStyle w:val="Heading1"/>
        <w:spacing w:before="480" w:after="200"/>
      </w:pPr>
      <w:r>
        <w:rPr>
          <w:rFonts w:ascii="Georgia" w:cs="Georgia" w:eastAsia="Georgia" w:hAnsi="Georgia"/>
          <w:b/>
          <w:bCs/>
          <w:color w:val="1C1B1A"/>
          <w:sz w:val="36"/>
          <w:szCs w:val="36"/>
        </w:rPr>
        <w:t xml:space="preserve">5. Component Patterns</w:t>
      </w:r>
    </w:p>
    <w:p>
      <w:pPr>
        <w:pStyle w:val="Heading2"/>
        <w:spacing w:before="360" w:after="160"/>
      </w:pPr>
      <w:r>
        <w:rPr>
          <w:rFonts w:ascii="Georgia" w:cs="Georgia" w:eastAsia="Georgia" w:hAnsi="Georgia"/>
          <w:b/>
          <w:bCs/>
          <w:color w:val="2E2D2B"/>
          <w:sz w:val="28"/>
          <w:szCs w:val="28"/>
        </w:rPr>
        <w:t xml:space="preserve">5.1 Cards &amp; Panels</w:t>
      </w:r>
    </w:p>
    <w:p>
      <w:pPr>
        <w:pStyle w:val="ListParagraph"/>
        <w:numPr>
          <w:ilvl w:val="0"/>
          <w:numId w:val="2"/>
        </w:numPr>
        <w:spacing w:after="80" w:line="320"/>
      </w:pPr>
      <w:r>
        <w:rPr>
          <w:rFonts w:ascii="Georgia" w:cs="Georgia" w:eastAsia="Georgia" w:hAnsi="Georgia"/>
          <w:color w:val="4A4845"/>
          <w:sz w:val="21"/>
          <w:szCs w:val="21"/>
        </w:rPr>
        <w:t xml:space="preserve">Background: White or very subtle warm tint, never Ivory-on-Ivory (needs contrast from the page background).</w:t>
      </w:r>
    </w:p>
    <w:p>
      <w:pPr>
        <w:pStyle w:val="ListParagraph"/>
        <w:numPr>
          <w:ilvl w:val="0"/>
          <w:numId w:val="2"/>
        </w:numPr>
        <w:spacing w:after="80" w:line="320"/>
      </w:pPr>
      <w:r>
        <w:rPr>
          <w:rFonts w:ascii="Georgia" w:cs="Georgia" w:eastAsia="Georgia" w:hAnsi="Georgia"/>
          <w:color w:val="4A4845"/>
          <w:sz w:val="21"/>
          <w:szCs w:val="21"/>
        </w:rPr>
        <w:t xml:space="preserve">Border: 1px solid, Silver at 20–30% opacity. Barely visible, just enough to define the edge.</w:t>
      </w:r>
    </w:p>
    <w:p>
      <w:pPr>
        <w:pStyle w:val="ListParagraph"/>
        <w:numPr>
          <w:ilvl w:val="0"/>
          <w:numId w:val="2"/>
        </w:numPr>
        <w:spacing w:after="80" w:line="320"/>
      </w:pPr>
      <w:r>
        <w:rPr>
          <w:rFonts w:ascii="Georgia" w:cs="Georgia" w:eastAsia="Georgia" w:hAnsi="Georgia"/>
          <w:color w:val="4A4845"/>
          <w:sz w:val="21"/>
          <w:szCs w:val="21"/>
        </w:rPr>
        <w:t xml:space="preserve">Border radius: 6–8px. Soft but not bubbly. This is a members’ club, not a playground.</w:t>
      </w:r>
    </w:p>
    <w:p>
      <w:pPr>
        <w:pStyle w:val="ListParagraph"/>
        <w:numPr>
          <w:ilvl w:val="0"/>
          <w:numId w:val="2"/>
        </w:numPr>
        <w:spacing w:after="80" w:line="320"/>
      </w:pPr>
      <w:r>
        <w:rPr>
          <w:rFonts w:ascii="Georgia" w:cs="Georgia" w:eastAsia="Georgia" w:hAnsi="Georgia"/>
          <w:color w:val="4A4845"/>
          <w:sz w:val="21"/>
          <w:szCs w:val="21"/>
        </w:rPr>
        <w:t xml:space="preserve">Padding: 24–32px internal. Generous. Room to breathe says ‘we respect your attention.’</w:t>
      </w:r>
    </w:p>
    <w:p>
      <w:pPr>
        <w:pStyle w:val="ListParagraph"/>
        <w:numPr>
          <w:ilvl w:val="0"/>
          <w:numId w:val="2"/>
        </w:numPr>
        <w:spacing w:after="80" w:line="320"/>
      </w:pPr>
      <w:r>
        <w:rPr>
          <w:rFonts w:ascii="Georgia" w:cs="Georgia" w:eastAsia="Georgia" w:hAnsi="Georgia"/>
          <w:color w:val="4A4845"/>
          <w:sz w:val="21"/>
          <w:szCs w:val="21"/>
        </w:rPr>
        <w:t xml:space="preserve">Shadow: None. Flat design. Depth comes from colour contrast and spacing, not elevation.</w:t>
      </w:r>
    </w:p>
    <w:p>
      <w:pPr>
        <w:pStyle w:val="Heading2"/>
        <w:spacing w:before="360" w:after="160"/>
      </w:pPr>
      <w:r>
        <w:rPr>
          <w:rFonts w:ascii="Georgia" w:cs="Georgia" w:eastAsia="Georgia" w:hAnsi="Georgia"/>
          <w:b/>
          <w:bCs/>
          <w:color w:val="2E2D2B"/>
          <w:sz w:val="28"/>
          <w:szCs w:val="28"/>
        </w:rPr>
        <w:t xml:space="preserve">5.2 Buttons</w:t>
      </w:r>
    </w:p>
    <w:p>
      <w:pPr>
        <w:pStyle w:val="ListParagraph"/>
        <w:numPr>
          <w:ilvl w:val="0"/>
          <w:numId w:val="2"/>
        </w:numPr>
        <w:spacing w:after="80" w:line="320"/>
      </w:pPr>
      <w:r>
        <w:rPr>
          <w:rFonts w:ascii="Georgia" w:cs="Georgia" w:eastAsia="Georgia" w:hAnsi="Georgia"/>
          <w:color w:val="4A4845"/>
          <w:sz w:val="21"/>
          <w:szCs w:val="21"/>
        </w:rPr>
        <w:t xml:space="preserve">Primary: Ink background, Ivory text, IBM Plex Mono 12px uppercase. Cyan bottom-border on hover.</w:t>
      </w:r>
    </w:p>
    <w:p>
      <w:pPr>
        <w:pStyle w:val="ListParagraph"/>
        <w:numPr>
          <w:ilvl w:val="0"/>
          <w:numId w:val="2"/>
        </w:numPr>
        <w:spacing w:after="80" w:line="320"/>
      </w:pPr>
      <w:r>
        <w:rPr>
          <w:rFonts w:ascii="Georgia" w:cs="Georgia" w:eastAsia="Georgia" w:hAnsi="Georgia"/>
          <w:color w:val="4A4845"/>
          <w:sz w:val="21"/>
          <w:szCs w:val="21"/>
        </w:rPr>
        <w:t xml:space="preserve">Secondary: Transparent background, 1px Silver border, Graphite text. Magenta border on hover.</w:t>
      </w:r>
    </w:p>
    <w:p>
      <w:pPr>
        <w:pStyle w:val="ListParagraph"/>
        <w:numPr>
          <w:ilvl w:val="0"/>
          <w:numId w:val="2"/>
        </w:numPr>
        <w:spacing w:after="80" w:line="320"/>
      </w:pPr>
      <w:r>
        <w:rPr>
          <w:rFonts w:ascii="Georgia" w:cs="Georgia" w:eastAsia="Georgia" w:hAnsi="Georgia"/>
          <w:color w:val="4A4845"/>
          <w:sz w:val="21"/>
          <w:szCs w:val="21"/>
        </w:rPr>
        <w:t xml:space="preserve">Accent CTA: Cyan background, Ink text. Used sparingly — maximum once per screen.</w:t>
      </w:r>
    </w:p>
    <w:p>
      <w:pPr>
        <w:pStyle w:val="ListParagraph"/>
        <w:numPr>
          <w:ilvl w:val="0"/>
          <w:numId w:val="2"/>
        </w:numPr>
        <w:spacing w:after="80" w:line="320"/>
      </w:pPr>
      <w:r>
        <w:rPr>
          <w:rFonts w:ascii="Georgia" w:cs="Georgia" w:eastAsia="Georgia" w:hAnsi="Georgia"/>
          <w:color w:val="4A4845"/>
          <w:sz w:val="21"/>
          <w:szCs w:val="21"/>
        </w:rPr>
        <w:t xml:space="preserve">Border radius: 4px. Slightly sharper than cards — buttons are tools, not containers.</w:t>
      </w:r>
    </w:p>
    <w:p>
      <w:pPr>
        <w:pStyle w:val="Heading2"/>
        <w:spacing w:before="360" w:after="160"/>
      </w:pPr>
      <w:r>
        <w:rPr>
          <w:rFonts w:ascii="Georgia" w:cs="Georgia" w:eastAsia="Georgia" w:hAnsi="Georgia"/>
          <w:b/>
          <w:bCs/>
          <w:color w:val="2E2D2B"/>
          <w:sz w:val="28"/>
          <w:szCs w:val="28"/>
        </w:rPr>
        <w:t xml:space="preserve">5.3 Form Inputs</w:t>
      </w:r>
    </w:p>
    <w:p>
      <w:pPr>
        <w:pStyle w:val="ListParagraph"/>
        <w:numPr>
          <w:ilvl w:val="0"/>
          <w:numId w:val="2"/>
        </w:numPr>
        <w:spacing w:after="80" w:line="320"/>
      </w:pPr>
      <w:r>
        <w:rPr>
          <w:rFonts w:ascii="Georgia" w:cs="Georgia" w:eastAsia="Georgia" w:hAnsi="Georgia"/>
          <w:color w:val="4A4845"/>
          <w:sz w:val="21"/>
          <w:szCs w:val="21"/>
        </w:rPr>
        <w:t xml:space="preserve">Border: 1px Ash, transitions to Cyan Muted on focus.</w:t>
      </w:r>
    </w:p>
    <w:p>
      <w:pPr>
        <w:pStyle w:val="ListParagraph"/>
        <w:numPr>
          <w:ilvl w:val="0"/>
          <w:numId w:val="2"/>
        </w:numPr>
        <w:spacing w:after="80" w:line="320"/>
      </w:pPr>
      <w:r>
        <w:rPr>
          <w:rFonts w:ascii="Georgia" w:cs="Georgia" w:eastAsia="Georgia" w:hAnsi="Georgia"/>
          <w:color w:val="4A4845"/>
          <w:sz w:val="21"/>
          <w:szCs w:val="21"/>
        </w:rPr>
        <w:t xml:space="preserve">Background: Semi-transparent white (rgba 255,255,255,0.5).</w:t>
      </w:r>
    </w:p>
    <w:p>
      <w:pPr>
        <w:pStyle w:val="ListParagraph"/>
        <w:numPr>
          <w:ilvl w:val="0"/>
          <w:numId w:val="2"/>
        </w:numPr>
        <w:spacing w:after="80" w:line="320"/>
      </w:pPr>
      <w:r>
        <w:rPr>
          <w:rFonts w:ascii="Georgia" w:cs="Georgia" w:eastAsia="Georgia" w:hAnsi="Georgia"/>
          <w:color w:val="4A4845"/>
          <w:sz w:val="21"/>
          <w:szCs w:val="21"/>
        </w:rPr>
        <w:t xml:space="preserve">Label: DM Sans 13px, Stone colour, above the input.</w:t>
      </w:r>
    </w:p>
    <w:p>
      <w:pPr>
        <w:pStyle w:val="ListParagraph"/>
        <w:numPr>
          <w:ilvl w:val="0"/>
          <w:numId w:val="2"/>
        </w:numPr>
        <w:spacing w:after="80" w:line="320"/>
      </w:pPr>
      <w:r>
        <w:rPr>
          <w:rFonts w:ascii="Georgia" w:cs="Georgia" w:eastAsia="Georgia" w:hAnsi="Georgia"/>
          <w:color w:val="4A4845"/>
          <w:sz w:val="21"/>
          <w:szCs w:val="21"/>
        </w:rPr>
        <w:t xml:space="preserve">Placeholder: Silver, DM Sans 14px.</w:t>
      </w:r>
    </w:p>
    <w:p>
      <w:pPr>
        <w:pStyle w:val="ListParagraph"/>
        <w:numPr>
          <w:ilvl w:val="0"/>
          <w:numId w:val="2"/>
        </w:numPr>
        <w:spacing w:after="80" w:line="320"/>
      </w:pPr>
      <w:r>
        <w:rPr>
          <w:rFonts w:ascii="Georgia" w:cs="Georgia" w:eastAsia="Georgia" w:hAnsi="Georgia"/>
          <w:color w:val="4A4845"/>
          <w:sz w:val="21"/>
          <w:szCs w:val="21"/>
        </w:rPr>
        <w:t xml:space="preserve">Error state: Magenta border, Magenta subtle background, Magenta text for error message.</w:t>
      </w:r>
    </w:p>
    <w:p>
      <w:pPr>
        <w:pStyle w:val="Heading2"/>
        <w:spacing w:before="360" w:after="160"/>
      </w:pPr>
      <w:r>
        <w:rPr>
          <w:rFonts w:ascii="Georgia" w:cs="Georgia" w:eastAsia="Georgia" w:hAnsi="Georgia"/>
          <w:b/>
          <w:bCs/>
          <w:color w:val="2E2D2B"/>
          <w:sz w:val="28"/>
          <w:szCs w:val="28"/>
        </w:rPr>
        <w:t xml:space="preserve">5.4 Tables</w:t>
      </w:r>
    </w:p>
    <w:p>
      <w:pPr>
        <w:pStyle w:val="ListParagraph"/>
        <w:numPr>
          <w:ilvl w:val="0"/>
          <w:numId w:val="2"/>
        </w:numPr>
        <w:spacing w:after="80" w:line="320"/>
      </w:pPr>
      <w:r>
        <w:rPr>
          <w:rFonts w:ascii="Georgia" w:cs="Georgia" w:eastAsia="Georgia" w:hAnsi="Georgia"/>
          <w:color w:val="4A4845"/>
          <w:sz w:val="21"/>
          <w:szCs w:val="21"/>
        </w:rPr>
        <w:t xml:space="preserve">Header row: IBM Plex Mono 10px, uppercase, Stone colour on Ivory background. The monospace header is a kicker moment.</w:t>
      </w:r>
    </w:p>
    <w:p>
      <w:pPr>
        <w:pStyle w:val="ListParagraph"/>
        <w:numPr>
          <w:ilvl w:val="0"/>
          <w:numId w:val="2"/>
        </w:numPr>
        <w:spacing w:after="80" w:line="320"/>
      </w:pPr>
      <w:r>
        <w:rPr>
          <w:rFonts w:ascii="Georgia" w:cs="Georgia" w:eastAsia="Georgia" w:hAnsi="Georgia"/>
          <w:color w:val="4A4845"/>
          <w:sz w:val="21"/>
          <w:szCs w:val="21"/>
        </w:rPr>
        <w:t xml:space="preserve">Body rows: DM Sans 13px, Silver text, alternating backgrounds not needed — use thin border lines (6–8% opacity).</w:t>
      </w:r>
    </w:p>
    <w:p>
      <w:pPr>
        <w:pStyle w:val="ListParagraph"/>
        <w:numPr>
          <w:ilvl w:val="0"/>
          <w:numId w:val="2"/>
        </w:numPr>
        <w:spacing w:after="80" w:line="320"/>
      </w:pPr>
      <w:r>
        <w:rPr>
          <w:rFonts w:ascii="Georgia" w:cs="Georgia" w:eastAsia="Georgia" w:hAnsi="Georgia"/>
          <w:color w:val="4A4845"/>
          <w:sz w:val="21"/>
          <w:szCs w:val="21"/>
        </w:rPr>
        <w:t xml:space="preserve">Hover row: Text brightens to Ash. Subtle, no background change.</w:t>
      </w:r>
    </w:p>
    <w:p>
      <w:pPr>
        <w:pStyle w:val="ListParagraph"/>
        <w:numPr>
          <w:ilvl w:val="0"/>
          <w:numId w:val="2"/>
        </w:numPr>
        <w:spacing w:after="80" w:line="320"/>
      </w:pPr>
      <w:r>
        <w:rPr>
          <w:rFonts w:ascii="Georgia" w:cs="Georgia" w:eastAsia="Georgia" w:hAnsi="Georgia"/>
          <w:color w:val="4A4845"/>
          <w:sz w:val="21"/>
          <w:szCs w:val="21"/>
        </w:rPr>
        <w:t xml:space="preserve">Key data: Cyan Muted colour for the most important column (values, scores, amounts).</w:t>
      </w:r>
    </w:p>
    <w:p>
      <w:pPr>
        <w:pStyle w:val="Heading2"/>
        <w:spacing w:before="360" w:after="160"/>
      </w:pPr>
      <w:r>
        <w:rPr>
          <w:rFonts w:ascii="Georgia" w:cs="Georgia" w:eastAsia="Georgia" w:hAnsi="Georgia"/>
          <w:b/>
          <w:bCs/>
          <w:color w:val="2E2D2B"/>
          <w:sz w:val="28"/>
          <w:szCs w:val="28"/>
        </w:rPr>
        <w:t xml:space="preserve">5.5 Navigation</w:t>
      </w:r>
    </w:p>
    <w:p>
      <w:pPr>
        <w:pStyle w:val="ListParagraph"/>
        <w:numPr>
          <w:ilvl w:val="0"/>
          <w:numId w:val="2"/>
        </w:numPr>
        <w:spacing w:after="80" w:line="320"/>
      </w:pPr>
      <w:r>
        <w:rPr>
          <w:rFonts w:ascii="Georgia" w:cs="Georgia" w:eastAsia="Georgia" w:hAnsi="Georgia"/>
          <w:color w:val="4A4845"/>
          <w:sz w:val="21"/>
          <w:szCs w:val="21"/>
        </w:rPr>
        <w:t xml:space="preserve">Active item: Cyan left border (2px), Cyan text, Cyan-subtle background (6% opacity).</w:t>
      </w:r>
    </w:p>
    <w:p>
      <w:pPr>
        <w:pStyle w:val="ListParagraph"/>
        <w:numPr>
          <w:ilvl w:val="0"/>
          <w:numId w:val="2"/>
        </w:numPr>
        <w:spacing w:after="80" w:line="320"/>
      </w:pPr>
      <w:r>
        <w:rPr>
          <w:rFonts w:ascii="Georgia" w:cs="Georgia" w:eastAsia="Georgia" w:hAnsi="Georgia"/>
          <w:color w:val="4A4845"/>
          <w:sz w:val="21"/>
          <w:szCs w:val="21"/>
        </w:rPr>
        <w:t xml:space="preserve">Inactive: Stone text, no background.</w:t>
      </w:r>
    </w:p>
    <w:p>
      <w:pPr>
        <w:pStyle w:val="ListParagraph"/>
        <w:numPr>
          <w:ilvl w:val="0"/>
          <w:numId w:val="2"/>
        </w:numPr>
        <w:spacing w:after="80" w:line="320"/>
      </w:pPr>
      <w:r>
        <w:rPr>
          <w:rFonts w:ascii="Georgia" w:cs="Georgia" w:eastAsia="Georgia" w:hAnsi="Georgia"/>
          <w:color w:val="4A4845"/>
          <w:sz w:val="21"/>
          <w:szCs w:val="21"/>
        </w:rPr>
        <w:t xml:space="preserve">Hover: Text lightens to Ash, no background change.</w:t>
      </w:r>
    </w:p>
    <w:p>
      <w:pPr>
        <w:pStyle w:val="ListParagraph"/>
        <w:numPr>
          <w:ilvl w:val="0"/>
          <w:numId w:val="2"/>
        </w:numPr>
        <w:spacing w:after="80" w:line="320"/>
      </w:pPr>
      <w:r>
        <w:rPr>
          <w:rFonts w:ascii="Georgia" w:cs="Georgia" w:eastAsia="Georgia" w:hAnsi="Georgia"/>
          <w:color w:val="4A4845"/>
          <w:sz w:val="21"/>
          <w:szCs w:val="21"/>
        </w:rPr>
        <w:t xml:space="preserve">Group labels: IBM Plex Mono 9px, uppercase, wide letter-spacing. The system voice.</w:t>
      </w:r>
    </w:p>
    <w:p>
      <w:r>
        <w:br/>
      </w:r>
      <w:r>
        <w:br w:type="page"/>
      </w:r>
    </w:p>
    <w:p>
      <w:pPr>
        <w:pStyle w:val="Heading1"/>
        <w:spacing w:before="480" w:after="200"/>
      </w:pPr>
      <w:r>
        <w:rPr>
          <w:rFonts w:ascii="Georgia" w:cs="Georgia" w:eastAsia="Georgia" w:hAnsi="Georgia"/>
          <w:b/>
          <w:bCs/>
          <w:color w:val="1C1B1A"/>
          <w:sz w:val="36"/>
          <w:szCs w:val="36"/>
        </w:rPr>
        <w:t xml:space="preserve">6. Spacing &amp; Layout</w:t>
      </w:r>
    </w:p>
    <w:p>
      <w:pPr>
        <w:pStyle w:val="Heading2"/>
        <w:spacing w:before="360" w:after="160"/>
      </w:pPr>
      <w:r>
        <w:rPr>
          <w:rFonts w:ascii="Georgia" w:cs="Georgia" w:eastAsia="Georgia" w:hAnsi="Georgia"/>
          <w:b/>
          <w:bCs/>
          <w:color w:val="2E2D2B"/>
          <w:sz w:val="28"/>
          <w:szCs w:val="28"/>
        </w:rPr>
        <w:t xml:space="preserve">6.1 Spacing Scale</w:t>
      </w:r>
    </w:p>
    <w:p>
      <w:pPr>
        <w:spacing w:after="160" w:line="340"/>
      </w:pPr>
      <w:r>
        <w:rPr>
          <w:rFonts w:ascii="Georgia" w:cs="Georgia" w:eastAsia="Georgia" w:hAnsi="Georgia"/>
          <w:color w:val="4A4845"/>
          <w:sz w:val="21"/>
          <w:szCs w:val="21"/>
        </w:rPr>
        <w:t xml:space="preserve">Use a base-4 scale for consistency: 4, 8, 12, 16, 20, 24, 32, 40, 48, 64, 80, 100px. Prefer the larger values. Generous whitespace is a core part of the ‘welcome home’ feeling — a cramped interface cannot feel warm.</w:t>
      </w:r>
    </w:p>
    <w:p>
      <w:pPr>
        <w:pStyle w:val="Heading2"/>
        <w:spacing w:before="360" w:after="160"/>
      </w:pPr>
      <w:r>
        <w:rPr>
          <w:rFonts w:ascii="Georgia" w:cs="Georgia" w:eastAsia="Georgia" w:hAnsi="Georgia"/>
          <w:b/>
          <w:bCs/>
          <w:color w:val="2E2D2B"/>
          <w:sz w:val="28"/>
          <w:szCs w:val="28"/>
        </w:rPr>
        <w:t xml:space="preserve">6.2 Layout Principles</w:t>
      </w:r>
    </w:p>
    <w:p>
      <w:pPr>
        <w:pStyle w:val="ListParagraph"/>
        <w:numPr>
          <w:ilvl w:val="0"/>
          <w:numId w:val="2"/>
        </w:numPr>
        <w:spacing w:after="80" w:line="320"/>
      </w:pPr>
      <w:r>
        <w:rPr>
          <w:rFonts w:ascii="Georgia" w:cs="Georgia" w:eastAsia="Georgia" w:hAnsi="Georgia"/>
          <w:color w:val="4A4845"/>
          <w:sz w:val="21"/>
          <w:szCs w:val="21"/>
        </w:rPr>
        <w:t xml:space="preserve">Maximum content width: 720px for reading content, 1200px for dashboards.</w:t>
      </w:r>
    </w:p>
    <w:p>
      <w:pPr>
        <w:pStyle w:val="ListParagraph"/>
        <w:numPr>
          <w:ilvl w:val="0"/>
          <w:numId w:val="2"/>
        </w:numPr>
        <w:spacing w:after="80" w:line="320"/>
      </w:pPr>
      <w:r>
        <w:rPr>
          <w:rFonts w:ascii="Georgia" w:cs="Georgia" w:eastAsia="Georgia" w:hAnsi="Georgia"/>
          <w:color w:val="4A4845"/>
          <w:sz w:val="21"/>
          <w:szCs w:val="21"/>
        </w:rPr>
        <w:t xml:space="preserve">Page padding: 40–48px on desktop, 20–24px on mobile.</w:t>
      </w:r>
    </w:p>
    <w:p>
      <w:pPr>
        <w:pStyle w:val="ListParagraph"/>
        <w:numPr>
          <w:ilvl w:val="0"/>
          <w:numId w:val="2"/>
        </w:numPr>
        <w:spacing w:after="80" w:line="320"/>
      </w:pPr>
      <w:r>
        <w:rPr>
          <w:rFonts w:ascii="Georgia" w:cs="Georgia" w:eastAsia="Georgia" w:hAnsi="Georgia"/>
          <w:color w:val="4A4845"/>
          <w:sz w:val="21"/>
          <w:szCs w:val="21"/>
        </w:rPr>
        <w:t xml:space="preserve">Card gaps: 12–16px between peer cards.</w:t>
      </w:r>
    </w:p>
    <w:p>
      <w:pPr>
        <w:pStyle w:val="ListParagraph"/>
        <w:numPr>
          <w:ilvl w:val="0"/>
          <w:numId w:val="2"/>
        </w:numPr>
        <w:spacing w:after="80" w:line="320"/>
      </w:pPr>
      <w:r>
        <w:rPr>
          <w:rFonts w:ascii="Georgia" w:cs="Georgia" w:eastAsia="Georgia" w:hAnsi="Georgia"/>
          <w:color w:val="4A4845"/>
          <w:sz w:val="21"/>
          <w:szCs w:val="21"/>
        </w:rPr>
        <w:t xml:space="preserve">Section spacing: 80–100px between major sections. Let the page breathe.</w:t>
      </w:r>
    </w:p>
    <w:p>
      <w:pPr>
        <w:pStyle w:val="ListParagraph"/>
        <w:numPr>
          <w:ilvl w:val="0"/>
          <w:numId w:val="2"/>
        </w:numPr>
        <w:spacing w:after="80" w:line="320"/>
      </w:pPr>
      <w:r>
        <w:rPr>
          <w:rFonts w:ascii="Georgia" w:cs="Georgia" w:eastAsia="Georgia" w:hAnsi="Georgia"/>
          <w:color w:val="4A4845"/>
          <w:sz w:val="21"/>
          <w:szCs w:val="21"/>
        </w:rPr>
        <w:t xml:space="preserve">Asymmetry is encouraged in hero and landing layouts. Grid-breaking creates visual interest without sacrificing professionalism.</w:t>
      </w:r>
    </w:p>
    <w:p>
      <w:r>
        <w:br/>
      </w:r>
      <w:r>
        <w:br w:type="page"/>
      </w:r>
    </w:p>
    <w:p>
      <w:pPr>
        <w:pStyle w:val="Heading1"/>
        <w:spacing w:before="480" w:after="200"/>
      </w:pPr>
      <w:r>
        <w:rPr>
          <w:rFonts w:ascii="Georgia" w:cs="Georgia" w:eastAsia="Georgia" w:hAnsi="Georgia"/>
          <w:b/>
          <w:bCs/>
          <w:color w:val="1C1B1A"/>
          <w:sz w:val="36"/>
          <w:szCs w:val="36"/>
        </w:rPr>
        <w:t xml:space="preserve">7. CSS Variables Reference</w:t>
      </w:r>
    </w:p>
    <w:p>
      <w:pPr>
        <w:spacing w:after="160" w:line="340"/>
      </w:pPr>
      <w:r>
        <w:rPr>
          <w:rFonts w:ascii="Georgia" w:cs="Georgia" w:eastAsia="Georgia" w:hAnsi="Georgia"/>
          <w:color w:val="4A4845"/>
          <w:sz w:val="21"/>
          <w:szCs w:val="21"/>
        </w:rPr>
        <w:t xml:space="preserve">Copy this block into your root stylesheet. All components should reference these variables, never hardcoded hex values.</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8D6D0" w:sz="1"/>
              <w:left w:val="single" w:color="00B8CC" w:sz="6"/>
              <w:bottom w:val="single" w:color="D8D6D0" w:sz="1"/>
              <w:right w:val="single" w:color="D8D6D0" w:sz="1"/>
            </w:tcBorders>
            <w:shd w:fill="F0EDE8" w:val="clear"/>
            <w:tcMar>
              <w:top w:type="dxa" w:w="120"/>
              <w:left w:type="dxa" w:w="200"/>
              <w:bottom w:type="dxa" w:w="120"/>
              <w:right w:type="dxa" w:w="200"/>
            </w:tcMar>
          </w:tcPr>
          <w:p>
            <w:pPr>
              <w:spacing w:after="40"/>
            </w:pPr>
            <w:r>
              <w:rPr>
                <w:rFonts w:ascii="IBM Plex Mono" w:cs="IBM Plex Mono" w:eastAsia="IBM Plex Mono" w:hAnsi="IBM Plex Mono"/>
                <w:color w:val="1C1B1A"/>
                <w:sz w:val="17"/>
                <w:szCs w:val="17"/>
              </w:rPr>
              <w:t xml:space="preserve">:root {</w:t>
            </w:r>
          </w:p>
          <w:p>
            <w:pPr>
              <w:spacing w:after="20"/>
            </w:pPr>
            <w:r>
              <w:rPr>
                <w:rFonts w:ascii="IBM Plex Mono" w:cs="IBM Plex Mono" w:eastAsia="IBM Plex Mono" w:hAnsi="IBM Plex Mono"/>
                <w:color w:val="B0AEA8"/>
                <w:sz w:val="17"/>
                <w:szCs w:val="17"/>
              </w:rPr>
              <w:t xml:space="preserve">  /* Gallery base */</w:t>
            </w:r>
          </w:p>
          <w:p>
            <w:pPr>
              <w:spacing w:after="20"/>
            </w:pPr>
            <w:r>
              <w:rPr>
                <w:rFonts w:ascii="IBM Plex Mono" w:cs="IBM Plex Mono" w:eastAsia="IBM Plex Mono" w:hAnsi="IBM Plex Mono"/>
                <w:color w:val="7A7872"/>
                <w:sz w:val="17"/>
                <w:szCs w:val="17"/>
              </w:rPr>
              <w:t xml:space="preserve">  --ink: #1C1B1A;</w:t>
            </w:r>
          </w:p>
          <w:p>
            <w:pPr>
              <w:spacing w:after="20"/>
            </w:pPr>
            <w:r>
              <w:rPr>
                <w:rFonts w:ascii="IBM Plex Mono" w:cs="IBM Plex Mono" w:eastAsia="IBM Plex Mono" w:hAnsi="IBM Plex Mono"/>
                <w:color w:val="7A7872"/>
                <w:sz w:val="17"/>
                <w:szCs w:val="17"/>
              </w:rPr>
              <w:t xml:space="preserve">  --charcoal: #2E2D2B;</w:t>
            </w:r>
          </w:p>
          <w:p>
            <w:pPr>
              <w:spacing w:after="20"/>
            </w:pPr>
            <w:r>
              <w:rPr>
                <w:rFonts w:ascii="IBM Plex Mono" w:cs="IBM Plex Mono" w:eastAsia="IBM Plex Mono" w:hAnsi="IBM Plex Mono"/>
                <w:color w:val="7A7872"/>
                <w:sz w:val="17"/>
                <w:szCs w:val="17"/>
              </w:rPr>
              <w:t xml:space="preserve">  --graphite: #4A4845;</w:t>
            </w:r>
          </w:p>
          <w:p>
            <w:pPr>
              <w:spacing w:after="20"/>
            </w:pPr>
            <w:r>
              <w:rPr>
                <w:rFonts w:ascii="IBM Plex Mono" w:cs="IBM Plex Mono" w:eastAsia="IBM Plex Mono" w:hAnsi="IBM Plex Mono"/>
                <w:color w:val="7A7872"/>
                <w:sz w:val="17"/>
                <w:szCs w:val="17"/>
              </w:rPr>
              <w:t xml:space="preserve">  --stone: #7A7872;</w:t>
            </w:r>
          </w:p>
          <w:p>
            <w:pPr>
              <w:spacing w:after="20"/>
            </w:pPr>
            <w:r>
              <w:rPr>
                <w:rFonts w:ascii="IBM Plex Mono" w:cs="IBM Plex Mono" w:eastAsia="IBM Plex Mono" w:hAnsi="IBM Plex Mono"/>
                <w:color w:val="7A7872"/>
                <w:sz w:val="17"/>
                <w:szCs w:val="17"/>
              </w:rPr>
              <w:t xml:space="preserve">  --silver: #B0AEA8;</w:t>
            </w:r>
          </w:p>
          <w:p>
            <w:pPr>
              <w:spacing w:after="20"/>
            </w:pPr>
            <w:r>
              <w:rPr>
                <w:rFonts w:ascii="IBM Plex Mono" w:cs="IBM Plex Mono" w:eastAsia="IBM Plex Mono" w:hAnsi="IBM Plex Mono"/>
                <w:color w:val="7A7872"/>
                <w:sz w:val="17"/>
                <w:szCs w:val="17"/>
              </w:rPr>
              <w:t xml:space="preserve">  --ash: #D8D6D0;</w:t>
            </w:r>
          </w:p>
          <w:p>
            <w:pPr>
              <w:spacing w:after="40"/>
            </w:pPr>
            <w:r>
              <w:rPr>
                <w:rFonts w:ascii="IBM Plex Mono" w:cs="IBM Plex Mono" w:eastAsia="IBM Plex Mono" w:hAnsi="IBM Plex Mono"/>
                <w:color w:val="7A7872"/>
                <w:sz w:val="17"/>
                <w:szCs w:val="17"/>
              </w:rPr>
              <w:t xml:space="preserve">  --ivory: #F0EDE8;</w:t>
            </w:r>
          </w:p>
          <w:p>
            <w:pPr>
              <w:spacing w:after="20"/>
            </w:pPr>
            <w:r>
              <w:rPr>
                <w:rFonts w:ascii="IBM Plex Mono" w:cs="IBM Plex Mono" w:eastAsia="IBM Plex Mono" w:hAnsi="IBM Plex Mono"/>
                <w:color w:val="B0AEA8"/>
                <w:sz w:val="17"/>
                <w:szCs w:val="17"/>
              </w:rPr>
              <w:t xml:space="preserve">  /* Cyberpunk accents */</w:t>
            </w:r>
          </w:p>
          <w:p>
            <w:pPr>
              <w:spacing w:after="20"/>
            </w:pPr>
            <w:r>
              <w:rPr>
                <w:rFonts w:ascii="IBM Plex Mono" w:cs="IBM Plex Mono" w:eastAsia="IBM Plex Mono" w:hAnsi="IBM Plex Mono"/>
                <w:color w:val="7A7872"/>
                <w:sz w:val="17"/>
                <w:szCs w:val="17"/>
              </w:rPr>
              <w:t xml:space="preserve">  --cyan: #00E5FF;</w:t>
            </w:r>
          </w:p>
          <w:p>
            <w:pPr>
              <w:spacing w:after="20"/>
            </w:pPr>
            <w:r>
              <w:rPr>
                <w:rFonts w:ascii="IBM Plex Mono" w:cs="IBM Plex Mono" w:eastAsia="IBM Plex Mono" w:hAnsi="IBM Plex Mono"/>
                <w:color w:val="7A7872"/>
                <w:sz w:val="17"/>
                <w:szCs w:val="17"/>
              </w:rPr>
              <w:t xml:space="preserve">  --cyan-muted: #00B8CC;</w:t>
            </w:r>
          </w:p>
          <w:p>
            <w:pPr>
              <w:spacing w:after="20"/>
            </w:pPr>
            <w:r>
              <w:rPr>
                <w:rFonts w:ascii="IBM Plex Mono" w:cs="IBM Plex Mono" w:eastAsia="IBM Plex Mono" w:hAnsi="IBM Plex Mono"/>
                <w:color w:val="7A7872"/>
                <w:sz w:val="17"/>
                <w:szCs w:val="17"/>
              </w:rPr>
              <w:t xml:space="preserve">  --magenta: #FF2D78;</w:t>
            </w:r>
          </w:p>
          <w:p>
            <w:pPr>
              <w:spacing w:after="20"/>
            </w:pPr>
            <w:r>
              <w:rPr>
                <w:rFonts w:ascii="IBM Plex Mono" w:cs="IBM Plex Mono" w:eastAsia="IBM Plex Mono" w:hAnsi="IBM Plex Mono"/>
                <w:color w:val="7A7872"/>
                <w:sz w:val="17"/>
                <w:szCs w:val="17"/>
              </w:rPr>
              <w:t xml:space="preserve">  --lime: #BFFF00;</w:t>
            </w:r>
          </w:p>
          <w:p>
            <w:pPr>
              <w:spacing w:after="20"/>
            </w:pPr>
            <w:r>
              <w:rPr>
                <w:rFonts w:ascii="IBM Plex Mono" w:cs="IBM Plex Mono" w:eastAsia="IBM Plex Mono" w:hAnsi="IBM Plex Mono"/>
                <w:color w:val="7A7872"/>
                <w:sz w:val="17"/>
                <w:szCs w:val="17"/>
              </w:rPr>
              <w:t xml:space="preserve">  --violet: #A855F7;</w:t>
            </w:r>
          </w:p>
          <w:p>
            <w:pPr>
              <w:spacing w:after="40"/>
            </w:pPr>
            <w:r>
              <w:rPr>
                <w:rFonts w:ascii="IBM Plex Mono" w:cs="IBM Plex Mono" w:eastAsia="IBM Plex Mono" w:hAnsi="IBM Plex Mono"/>
                <w:color w:val="7A7872"/>
                <w:sz w:val="17"/>
                <w:szCs w:val="17"/>
              </w:rPr>
              <w:t xml:space="preserve">  --amber: #F5A623;</w:t>
            </w:r>
          </w:p>
          <w:p>
            <w:pPr>
              <w:spacing w:after="20"/>
            </w:pPr>
            <w:r>
              <w:rPr>
                <w:rFonts w:ascii="IBM Plex Mono" w:cs="IBM Plex Mono" w:eastAsia="IBM Plex Mono" w:hAnsi="IBM Plex Mono"/>
                <w:color w:val="B0AEA8"/>
                <w:sz w:val="17"/>
                <w:szCs w:val="17"/>
              </w:rPr>
              <w:t xml:space="preserve">  /* Subtle backgrounds (6-8% opacity) */</w:t>
            </w:r>
          </w:p>
          <w:p>
            <w:pPr>
              <w:spacing w:after="20"/>
            </w:pPr>
            <w:r>
              <w:rPr>
                <w:rFonts w:ascii="IBM Plex Mono" w:cs="IBM Plex Mono" w:eastAsia="IBM Plex Mono" w:hAnsi="IBM Plex Mono"/>
                <w:color w:val="7A7872"/>
                <w:sz w:val="17"/>
                <w:szCs w:val="17"/>
              </w:rPr>
              <w:t xml:space="preserve">  --cyan-subtle: rgba(0,184,204,0.08);</w:t>
            </w:r>
          </w:p>
          <w:p>
            <w:pPr>
              <w:spacing w:after="20"/>
            </w:pPr>
            <w:r>
              <w:rPr>
                <w:rFonts w:ascii="IBM Plex Mono" w:cs="IBM Plex Mono" w:eastAsia="IBM Plex Mono" w:hAnsi="IBM Plex Mono"/>
                <w:color w:val="7A7872"/>
                <w:sz w:val="17"/>
                <w:szCs w:val="17"/>
              </w:rPr>
              <w:t xml:space="preserve">  --magenta-subtle: rgba(255,45,120,0.06);</w:t>
            </w:r>
          </w:p>
          <w:p>
            <w:pPr>
              <w:spacing w:after="20"/>
            </w:pPr>
            <w:r>
              <w:rPr>
                <w:rFonts w:ascii="IBM Plex Mono" w:cs="IBM Plex Mono" w:eastAsia="IBM Plex Mono" w:hAnsi="IBM Plex Mono"/>
                <w:color w:val="7A7872"/>
                <w:sz w:val="17"/>
                <w:szCs w:val="17"/>
              </w:rPr>
              <w:t xml:space="preserve">  --lime-subtle: rgba(191,255,0,0.08);</w:t>
            </w:r>
          </w:p>
          <w:p>
            <w:pPr>
              <w:spacing w:after="20"/>
            </w:pPr>
            <w:r>
              <w:rPr>
                <w:rFonts w:ascii="IBM Plex Mono" w:cs="IBM Plex Mono" w:eastAsia="IBM Plex Mono" w:hAnsi="IBM Plex Mono"/>
                <w:color w:val="7A7872"/>
                <w:sz w:val="17"/>
                <w:szCs w:val="17"/>
              </w:rPr>
              <w:t xml:space="preserve">  --violet-subtle: rgba(168,85,247,0.06);</w:t>
            </w:r>
          </w:p>
          <w:p>
            <w:pPr>
              <w:spacing w:after="40"/>
            </w:pPr>
            <w:r>
              <w:rPr>
                <w:rFonts w:ascii="IBM Plex Mono" w:cs="IBM Plex Mono" w:eastAsia="IBM Plex Mono" w:hAnsi="IBM Plex Mono"/>
                <w:color w:val="7A7872"/>
                <w:sz w:val="17"/>
                <w:szCs w:val="17"/>
              </w:rPr>
              <w:t xml:space="preserve">  --amber-subtle: rgba(245,166,35,0.08);</w:t>
            </w:r>
          </w:p>
          <w:p>
            <w:pPr>
              <w:spacing w:after="20"/>
            </w:pPr>
            <w:r>
              <w:rPr>
                <w:rFonts w:ascii="IBM Plex Mono" w:cs="IBM Plex Mono" w:eastAsia="IBM Plex Mono" w:hAnsi="IBM Plex Mono"/>
                <w:color w:val="B0AEA8"/>
                <w:sz w:val="17"/>
                <w:szCs w:val="17"/>
              </w:rPr>
              <w:t xml:space="preserve">  /* Typography */</w:t>
            </w:r>
          </w:p>
          <w:p>
            <w:pPr>
              <w:spacing w:after="20"/>
            </w:pPr>
            <w:r>
              <w:rPr>
                <w:rFonts w:ascii="IBM Plex Mono" w:cs="IBM Plex Mono" w:eastAsia="IBM Plex Mono" w:hAnsi="IBM Plex Mono"/>
                <w:color w:val="7A7872"/>
                <w:sz w:val="17"/>
                <w:szCs w:val="17"/>
              </w:rPr>
              <w:t xml:space="preserve">  --font-display: 'Cormorant Garamond', serif;</w:t>
            </w:r>
          </w:p>
          <w:p>
            <w:pPr>
              <w:spacing w:after="20"/>
            </w:pPr>
            <w:r>
              <w:rPr>
                <w:rFonts w:ascii="IBM Plex Mono" w:cs="IBM Plex Mono" w:eastAsia="IBM Plex Mono" w:hAnsi="IBM Plex Mono"/>
                <w:color w:val="7A7872"/>
                <w:sz w:val="17"/>
                <w:szCs w:val="17"/>
              </w:rPr>
              <w:t xml:space="preserve">  --font-body: 'DM Sans', sans-serif;</w:t>
            </w:r>
          </w:p>
          <w:p>
            <w:pPr>
              <w:spacing w:after="40"/>
            </w:pPr>
            <w:r>
              <w:rPr>
                <w:rFonts w:ascii="IBM Plex Mono" w:cs="IBM Plex Mono" w:eastAsia="IBM Plex Mono" w:hAnsi="IBM Plex Mono"/>
                <w:color w:val="7A7872"/>
                <w:sz w:val="17"/>
                <w:szCs w:val="17"/>
              </w:rPr>
              <w:t xml:space="preserve">  --font-mono: 'IBM Plex Mono', monospace;</w:t>
            </w:r>
          </w:p>
          <w:p>
            <w:pPr>
              <w:spacing w:after="0"/>
            </w:pPr>
            <w:r>
              <w:rPr>
                <w:rFonts w:ascii="IBM Plex Mono" w:cs="IBM Plex Mono" w:eastAsia="IBM Plex Mono" w:hAnsi="IBM Plex Mono"/>
                <w:color w:val="1C1B1A"/>
                <w:sz w:val="17"/>
                <w:szCs w:val="17"/>
              </w:rPr>
              <w:t xml:space="preserve">}</w:t>
            </w:r>
          </w:p>
        </w:tc>
      </w:tr>
    </w:tbl>
    <w:p>
      <w:r>
        <w:br/>
      </w:r>
      <w:r>
        <w:br w:type="page"/>
      </w:r>
    </w:p>
    <w:p>
      <w:pPr>
        <w:pStyle w:val="Heading1"/>
        <w:spacing w:before="480" w:after="200"/>
      </w:pPr>
      <w:r>
        <w:rPr>
          <w:rFonts w:ascii="Georgia" w:cs="Georgia" w:eastAsia="Georgia" w:hAnsi="Georgia"/>
          <w:b/>
          <w:bCs/>
          <w:color w:val="1C1B1A"/>
          <w:sz w:val="36"/>
          <w:szCs w:val="36"/>
        </w:rPr>
        <w:t xml:space="preserve">8. Do / Don’t</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8D6D0" w:sz="1"/>
              <w:left w:val="single" w:color="D8D6D0" w:sz="1"/>
              <w:bottom w:val="single" w:color="D8D6D0" w:sz="1"/>
              <w:right w:val="single" w:color="D8D6D0" w:sz="1"/>
            </w:tcBorders>
            <w:shd w:fill="E0F7FA" w:val="clear"/>
            <w:tcMar>
              <w:top w:type="dxa" w:w="100"/>
              <w:left w:type="dxa" w:w="140"/>
              <w:bottom w:type="dxa" w:w="100"/>
              <w:right w:type="dxa" w:w="140"/>
            </w:tcMar>
          </w:tcPr>
          <w:p>
            <w:r>
              <w:rPr>
                <w:rFonts w:ascii="IBM Plex Mono" w:cs="IBM Plex Mono" w:eastAsia="IBM Plex Mono" w:hAnsi="IBM Plex Mono"/>
                <w:b/>
                <w:bCs/>
                <w:color w:val="00B8CC"/>
                <w:sz w:val="20"/>
                <w:szCs w:val="20"/>
              </w:rPr>
              <w:t xml:space="preserve">DO</w:t>
            </w:r>
          </w:p>
        </w:tc>
        <w:tc>
          <w:tcPr>
            <w:tcW w:type="dxa" w:w="4513"/>
            <w:tcBorders>
              <w:top w:val="single" w:color="D8D6D0" w:sz="1"/>
              <w:left w:val="single" w:color="D8D6D0" w:sz="1"/>
              <w:bottom w:val="single" w:color="D8D6D0" w:sz="1"/>
              <w:right w:val="single" w:color="D8D6D0" w:sz="1"/>
            </w:tcBorders>
            <w:shd w:fill="FDE8EF" w:val="clear"/>
            <w:tcMar>
              <w:top w:type="dxa" w:w="100"/>
              <w:left w:type="dxa" w:w="140"/>
              <w:bottom w:type="dxa" w:w="100"/>
              <w:right w:type="dxa" w:w="140"/>
            </w:tcMar>
          </w:tcPr>
          <w:p>
            <w:r>
              <w:rPr>
                <w:rFonts w:ascii="IBM Plex Mono" w:cs="IBM Plex Mono" w:eastAsia="IBM Plex Mono" w:hAnsi="IBM Plex Mono"/>
                <w:b/>
                <w:bCs/>
                <w:color w:val="FF2D78"/>
                <w:sz w:val="20"/>
                <w:szCs w:val="20"/>
              </w:rPr>
              <w:t xml:space="preserve">DON’T</w:t>
            </w:r>
          </w:p>
        </w:tc>
      </w:tr>
      <w:tr>
        <w:tc>
          <w:tcPr>
            <w:tcW w:type="dxa" w:w="4513"/>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4A4845"/>
                <w:sz w:val="20"/>
                <w:szCs w:val="20"/>
              </w:rPr>
              <w:t xml:space="preserve">Use Ivory #F0EDE8 as page background</w:t>
            </w:r>
          </w:p>
        </w:tc>
        <w:tc>
          <w:tcPr>
            <w:tcW w:type="dxa" w:w="4513"/>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4A4845"/>
                <w:sz w:val="20"/>
                <w:szCs w:val="20"/>
              </w:rPr>
              <w:t xml:space="preserve">Use pure white #FFFFFF — it’s clinical and harsh</w:t>
            </w:r>
          </w:p>
        </w:tc>
      </w:tr>
      <w:tr>
        <w:tc>
          <w:tcPr>
            <w:tcW w:type="dxa" w:w="4513"/>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4A4845"/>
                <w:sz w:val="20"/>
                <w:szCs w:val="20"/>
              </w:rPr>
              <w:t xml:space="preserve">Keep accent colours to 10–15% of screen</w:t>
            </w:r>
          </w:p>
        </w:tc>
        <w:tc>
          <w:tcPr>
            <w:tcW w:type="dxa" w:w="4513"/>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4A4845"/>
                <w:sz w:val="20"/>
                <w:szCs w:val="20"/>
              </w:rPr>
              <w:t xml:space="preserve">Use accent colours as large background fills</w:t>
            </w:r>
          </w:p>
        </w:tc>
      </w:tr>
      <w:tr>
        <w:tc>
          <w:tcPr>
            <w:tcW w:type="dxa" w:w="4513"/>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4A4845"/>
                <w:sz w:val="20"/>
                <w:szCs w:val="20"/>
              </w:rPr>
              <w:t xml:space="preserve">Use Cormorant Garamond at light weights (300–400)</w:t>
            </w:r>
          </w:p>
        </w:tc>
        <w:tc>
          <w:tcPr>
            <w:tcW w:type="dxa" w:w="4513"/>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4A4845"/>
                <w:sz w:val="20"/>
                <w:szCs w:val="20"/>
              </w:rPr>
              <w:t xml:space="preserve">Use heavy/bold serif headings — they feel clunky</w:t>
            </w:r>
          </w:p>
        </w:tc>
      </w:tr>
      <w:tr>
        <w:tc>
          <w:tcPr>
            <w:tcW w:type="dxa" w:w="4513"/>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4A4845"/>
                <w:sz w:val="20"/>
                <w:szCs w:val="20"/>
              </w:rPr>
              <w:t xml:space="preserve">Let the monospace typeface do the ‘tech’ work</w:t>
            </w:r>
          </w:p>
        </w:tc>
        <w:tc>
          <w:tcPr>
            <w:tcW w:type="dxa" w:w="4513"/>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4A4845"/>
                <w:sz w:val="20"/>
                <w:szCs w:val="20"/>
              </w:rPr>
              <w:t xml:space="preserve">Add tech-looking decorations (grid overlays, scan lines)</w:t>
            </w:r>
          </w:p>
        </w:tc>
      </w:tr>
      <w:tr>
        <w:tc>
          <w:tcPr>
            <w:tcW w:type="dxa" w:w="4513"/>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4A4845"/>
                <w:sz w:val="20"/>
                <w:szCs w:val="20"/>
              </w:rPr>
              <w:t xml:space="preserve">Use sentence case everywhere</w:t>
            </w:r>
          </w:p>
        </w:tc>
        <w:tc>
          <w:tcPr>
            <w:tcW w:type="dxa" w:w="4513"/>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4A4845"/>
                <w:sz w:val="20"/>
                <w:szCs w:val="20"/>
              </w:rPr>
              <w:t xml:space="preserve">Use Title Case or ALL CAPS on body text</w:t>
            </w:r>
          </w:p>
        </w:tc>
      </w:tr>
      <w:tr>
        <w:tc>
          <w:tcPr>
            <w:tcW w:type="dxa" w:w="4513"/>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4A4845"/>
                <w:sz w:val="20"/>
                <w:szCs w:val="20"/>
              </w:rPr>
              <w:t xml:space="preserve">Give generous padding and whitespace</w:t>
            </w:r>
          </w:p>
        </w:tc>
        <w:tc>
          <w:tcPr>
            <w:tcW w:type="dxa" w:w="4513"/>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4A4845"/>
                <w:sz w:val="20"/>
                <w:szCs w:val="20"/>
              </w:rPr>
              <w:t xml:space="preserve">Cram elements together — it kills the warmth</w:t>
            </w:r>
          </w:p>
        </w:tc>
      </w:tr>
      <w:tr>
        <w:tc>
          <w:tcPr>
            <w:tcW w:type="dxa" w:w="4513"/>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4A4845"/>
                <w:sz w:val="20"/>
                <w:szCs w:val="20"/>
              </w:rPr>
              <w:t xml:space="preserve">Let kicker moments be discovered</w:t>
            </w:r>
          </w:p>
        </w:tc>
        <w:tc>
          <w:tcPr>
            <w:tcW w:type="dxa" w:w="4513"/>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4A4845"/>
                <w:sz w:val="20"/>
                <w:szCs w:val="20"/>
              </w:rPr>
              <w:t xml:space="preserve">Animate everything or add gratuitous motion</w:t>
            </w:r>
          </w:p>
        </w:tc>
      </w:tr>
      <w:tr>
        <w:tc>
          <w:tcPr>
            <w:tcW w:type="dxa" w:w="4513"/>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4A4845"/>
                <w:sz w:val="20"/>
                <w:szCs w:val="20"/>
              </w:rPr>
              <w:t xml:space="preserve">Use thin strokes (1–2px) for accent borders</w:t>
            </w:r>
          </w:p>
        </w:tc>
        <w:tc>
          <w:tcPr>
            <w:tcW w:type="dxa" w:w="4513"/>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4A4845"/>
                <w:sz w:val="20"/>
                <w:szCs w:val="20"/>
              </w:rPr>
              <w:t xml:space="preserve">Use thick neon glowing borders or box shadows</w:t>
            </w:r>
          </w:p>
        </w:tc>
      </w:tr>
      <w:tr>
        <w:tc>
          <w:tcPr>
            <w:tcW w:type="dxa" w:w="4513"/>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4A4845"/>
                <w:sz w:val="20"/>
                <w:szCs w:val="20"/>
              </w:rPr>
              <w:t xml:space="preserve">Use the subtle background tints for callouts</w:t>
            </w:r>
          </w:p>
        </w:tc>
        <w:tc>
          <w:tcPr>
            <w:tcW w:type="dxa" w:w="4513"/>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4A4845"/>
                <w:sz w:val="20"/>
                <w:szCs w:val="20"/>
              </w:rPr>
              <w:t xml:space="preserve">Put bright text on bright accent backgrounds</w:t>
            </w:r>
          </w:p>
        </w:tc>
      </w:tr>
      <w:tr>
        <w:tc>
          <w:tcPr>
            <w:tcW w:type="dxa" w:w="4513"/>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4A4845"/>
                <w:sz w:val="20"/>
                <w:szCs w:val="20"/>
              </w:rPr>
              <w:t xml:space="preserve">Trust the restraint — less accent = more impact</w:t>
            </w:r>
          </w:p>
        </w:tc>
        <w:tc>
          <w:tcPr>
            <w:tcW w:type="dxa" w:w="4513"/>
            <w:tcBorders>
              <w:top w:val="single" w:color="D8D6D0" w:sz="1"/>
              <w:left w:val="single" w:color="D8D6D0" w:sz="1"/>
              <w:bottom w:val="single" w:color="D8D6D0" w:sz="1"/>
              <w:right w:val="single" w:color="D8D6D0" w:sz="1"/>
            </w:tcBorders>
            <w:tcMar>
              <w:top w:type="dxa" w:w="100"/>
              <w:left w:type="dxa" w:w="140"/>
              <w:bottom w:type="dxa" w:w="100"/>
              <w:right w:type="dxa" w:w="140"/>
            </w:tcMar>
          </w:tcPr>
          <w:p>
            <w:r>
              <w:rPr>
                <w:rFonts w:ascii="Georgia" w:cs="Georgia" w:eastAsia="Georgia" w:hAnsi="Georgia"/>
                <w:color w:val="4A4845"/>
                <w:sz w:val="20"/>
                <w:szCs w:val="20"/>
              </w:rPr>
              <w:t xml:space="preserve">Overcompensate with colour when the page feels ‘too quiet’</w:t>
            </w:r>
          </w:p>
        </w:tc>
      </w:tr>
    </w:tbl>
    <w:p>
      <w:pPr>
        <w:spacing w:after="400"/>
      </w:pPr>
    </w:p>
    <w:p>
      <w:pPr>
        <w:pBdr>
          <w:top w:val="single" w:color="00B8CC" w:sz="4" w:space="16"/>
        </w:pBdr>
        <w:spacing w:after="120"/>
      </w:pPr>
      <w:r>
        <w:rPr>
          <w:rFonts w:ascii="Georgia" w:cs="Georgia" w:eastAsia="Georgia" w:hAnsi="Georgia"/>
          <w:i/>
          <w:iCs/>
          <w:color w:val="7A7872"/>
          <w:sz w:val="24"/>
          <w:szCs w:val="24"/>
        </w:rPr>
        <w:t xml:space="preserve">Remember: the gallery never shouts, but the pulse never stops.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6D0" w:sz="4" w:space="8"/>
      </w:pBdr>
    </w:pPr>
    <w:r>
      <w:rPr>
        <w:rFonts w:ascii="IBM Plex Mono" w:cs="IBM Plex Mono" w:eastAsia="IBM Plex Mono" w:hAnsi="IBM Plex Mono"/>
        <w:color w:val="B0AEA8"/>
        <w:sz w:val="14"/>
        <w:szCs w:val="14"/>
      </w:rPr>
      <w:t xml:space="preserve">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6D0" w:sz="4" w:space="8"/>
      </w:pBdr>
      <w:tabs>
        <w:tab w:val="right" w:pos="9026"/>
      </w:tabs>
    </w:pPr>
    <w:r>
      <w:rPr>
        <w:rFonts w:ascii="IBM Plex Mono" w:cs="IBM Plex Mono" w:eastAsia="IBM Plex Mono" w:hAnsi="IBM Plex Mono"/>
        <w:b/>
        <w:bCs/>
        <w:color w:val="7A7872"/>
        <w:sz w:val="16"/>
        <w:szCs w:val="16"/>
      </w:rPr>
      <w:t xml:space="preserve">DESIGN SYSTEM</w:t>
    </w:r>
    <w:r>
      <w:t xml:space="preserve">	</w:t>
    </w:r>
    <w:r>
      <w:rPr>
        <w:rFonts w:ascii="IBM Plex Mono" w:cs="IBM Plex Mono" w:eastAsia="IBM Plex Mono" w:hAnsi="IBM Plex Mono"/>
        <w:color w:val="B0AEA8"/>
        <w:sz w:val="16"/>
        <w:szCs w:val="16"/>
      </w:rPr>
      <w:t xml:space="preserve">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Georgia" w:cs="Georgia" w:eastAsia="Georgia" w:hAnsi="Georgia"/>
      <w:b/>
      <w:bCs/>
      <w:color w:val="1C1B1A"/>
      <w:sz w:val="36"/>
      <w:szCs w:val="36"/>
    </w:rPr>
  </w:style>
  <w:style w:type="paragraph" w:styleId="Heading2">
    <w:name w:val="Heading 2"/>
    <w:basedOn w:val="Normal"/>
    <w:next w:val="Normal"/>
    <w:qFormat/>
    <w:pPr>
      <w:spacing w:before="360" w:after="160"/>
      <w:outlineLvl w:val="1"/>
    </w:pPr>
    <w:rPr>
      <w:rFonts w:ascii="Georgia" w:cs="Georgia" w:eastAsia="Georgia" w:hAnsi="Georgia"/>
      <w:b/>
      <w:bCs/>
      <w:color w:val="2E2D2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2026-03-26T08:13:42.326Z</dcterms:created>
  <dcterms:modified xsi:type="dcterms:W3CDTF">2026-03-26T08:13:42.327Z</dcterms:modified>
</cp:coreProperties>
</file>

<file path=docProps/custom.xml><?xml version="1.0" encoding="utf-8"?>
<Properties xmlns="http://schemas.openxmlformats.org/officeDocument/2006/custom-properties" xmlns:vt="http://schemas.openxmlformats.org/officeDocument/2006/docPropsVTypes"/>
</file>