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PropVal Complete Database Inventory</w:t>
      </w:r>
    </w:p>
    <w:p>
      <w:pPr>
        <w:pStyle w:val="Subtitle"/>
        <w:jc w:val="center"/>
      </w:pPr>
      <w:r>
        <w:t>Generated: 22 March 2026</w:t>
      </w:r>
    </w:p>
    <w:p/>
    <w:p>
      <w:pPr>
        <w:pStyle w:val="Heading1"/>
      </w:pPr>
      <w:r>
        <w:t>Overview: 3 Database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DuckDB</w:t>
            </w:r>
          </w:p>
        </w:tc>
        <w:tc>
          <w:tcPr>
            <w:tcW w:type="dxa" w:w="1728"/>
          </w:tcPr>
          <w:p>
            <w:r>
              <w:t>Research/EPC PPD merge project/db/propval.duckdb</w:t>
            </w:r>
          </w:p>
        </w:tc>
        <w:tc>
          <w:tcPr>
            <w:tcW w:type="dxa" w:w="1728"/>
          </w:tcPr>
          <w:p>
            <w:r>
              <w:t>1.9 GB</w:t>
            </w:r>
          </w:p>
        </w:tc>
        <w:tc>
          <w:tcPr>
            <w:tcW w:type="dxa" w:w="1728"/>
          </w:tcPr>
          <w:p>
            <w:r>
              <w:t>PPD+EPC merged London data (1.1M matched)</w:t>
            </w:r>
          </w:p>
        </w:tc>
      </w:tr>
      <w:tr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SQLite x3</w:t>
            </w:r>
          </w:p>
        </w:tc>
        <w:tc>
          <w:tcPr>
            <w:tcW w:type="dxa" w:w="1728"/>
          </w:tcPr>
          <w:p>
            <w:r>
              <w:t>backend/data/</w:t>
            </w:r>
          </w:p>
        </w:tc>
        <w:tc>
          <w:tcPr>
            <w:tcW w:type="dxa" w:w="1728"/>
          </w:tcPr>
          <w:p>
            <w:r>
              <w:t>3.5 GB</w:t>
            </w:r>
          </w:p>
        </w:tc>
        <w:tc>
          <w:tcPr>
            <w:tcW w:type="dxa" w:w="1728"/>
          </w:tcPr>
          <w:p>
            <w:r>
              <w:t>UPRN coords (41.5M), INSPIRE polygons (2M), Leases (4.3M)</w:t>
            </w:r>
          </w:p>
        </w:tc>
      </w:tr>
      <w:tr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Supabase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Cases, cache tables, firm/user data, reports (27 tables)</w:t>
            </w:r>
          </w:p>
        </w:tc>
      </w:tr>
    </w:tbl>
    <w:p>
      <w:pPr>
        <w:pStyle w:val="Heading1"/>
      </w:pPr>
      <w:r>
        <w:t>A. LOCAL: DuckDB (propval.duckdb)</w:t>
      </w:r>
    </w:p>
    <w:p>
      <w:pPr>
        <w:pStyle w:val="Heading2"/>
      </w:pPr>
      <w:r>
        <w:t>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matched</w:t>
            </w:r>
          </w:p>
        </w:tc>
        <w:tc>
          <w:tcPr>
            <w:tcW w:type="dxa" w:w="2880"/>
          </w:tcPr>
          <w:p>
            <w:r>
              <w:t>1,136,116</w:t>
            </w:r>
          </w:p>
        </w:tc>
        <w:tc>
          <w:tcPr>
            <w:tcW w:type="dxa" w:w="2880"/>
          </w:tcPr>
          <w:p>
            <w:r>
              <w:t>PPD+EPC successfully linked transactions</w:t>
            </w:r>
          </w:p>
        </w:tc>
      </w:tr>
      <w:tr>
        <w:tc>
          <w:tcPr>
            <w:tcW w:type="dxa" w:w="2880"/>
          </w:tcPr>
          <w:p>
            <w:r>
              <w:t>unmatched</w:t>
            </w:r>
          </w:p>
        </w:tc>
        <w:tc>
          <w:tcPr>
            <w:tcW w:type="dxa" w:w="2880"/>
          </w:tcPr>
          <w:p>
            <w:r>
              <w:t>101,721</w:t>
            </w:r>
          </w:p>
        </w:tc>
        <w:tc>
          <w:tcPr>
            <w:tcW w:type="dxa" w:w="2880"/>
          </w:tcPr>
          <w:p>
            <w:r>
              <w:t>PPD records without EPC match</w:t>
            </w:r>
          </w:p>
        </w:tc>
      </w:tr>
      <w:tr>
        <w:tc>
          <w:tcPr>
            <w:tcW w:type="dxa" w:w="2880"/>
          </w:tcPr>
          <w:p>
            <w:r>
              <w:t>epc</w:t>
            </w:r>
          </w:p>
        </w:tc>
        <w:tc>
          <w:tcPr>
            <w:tcW w:type="dxa" w:w="2880"/>
          </w:tcPr>
          <w:p>
            <w:r>
              <w:t>4,436,405</w:t>
            </w:r>
          </w:p>
        </w:tc>
        <w:tc>
          <w:tcPr>
            <w:tcW w:type="dxa" w:w="2880"/>
          </w:tcPr>
          <w:p>
            <w:r>
              <w:t>Raw EPC certificates (all London)</w:t>
            </w:r>
          </w:p>
        </w:tc>
      </w:tr>
      <w:tr>
        <w:tc>
          <w:tcPr>
            <w:tcW w:type="dxa" w:w="2880"/>
          </w:tcPr>
          <w:p>
            <w:r>
              <w:t>construction_age</w:t>
            </w:r>
          </w:p>
        </w:tc>
        <w:tc>
          <w:tcPr>
            <w:tcW w:type="dxa" w:w="2880"/>
          </w:tcPr>
          <w:p>
            <w:r>
              <w:t>4,436,405</w:t>
            </w:r>
          </w:p>
        </w:tc>
        <w:tc>
          <w:tcPr>
            <w:tcW w:type="dxa" w:w="2880"/>
          </w:tcPr>
          <w:p>
            <w:r>
              <w:t>Derived building age estimates</w:t>
            </w:r>
          </w:p>
        </w:tc>
      </w:tr>
    </w:tbl>
    <w:p>
      <w:pPr>
        <w:pStyle w:val="Heading2"/>
      </w:pPr>
      <w:r>
        <w:t>matched table (key columns)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transaction_id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Unique sale identifier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Sale price</w:t>
            </w:r>
          </w:p>
        </w:tc>
      </w:tr>
      <w:tr>
        <w:tc>
          <w:tcPr>
            <w:tcW w:type="dxa" w:w="2160"/>
          </w:tcPr>
          <w:p>
            <w:r>
              <w:t>date_of_transfer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Sale date</w:t>
            </w:r>
          </w:p>
        </w:tc>
      </w:tr>
      <w:tr>
        <w:tc>
          <w:tcPr>
            <w:tcW w:type="dxa" w:w="2160"/>
          </w:tcPr>
          <w:p>
            <w:r>
              <w:t>postcode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outward_code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First half of postcode</w:t>
            </w:r>
          </w:p>
        </w:tc>
      </w:tr>
      <w:tr>
        <w:tc>
          <w:tcPr>
            <w:tcW w:type="dxa" w:w="2160"/>
          </w:tcPr>
          <w:p>
            <w:r>
              <w:t>saon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Flat number (e.g. FLAT 25)</w:t>
            </w:r>
          </w:p>
        </w:tc>
      </w:tr>
      <w:tr>
        <w:tc>
          <w:tcPr>
            <w:tcW w:type="dxa" w:w="2160"/>
          </w:tcPr>
          <w:p>
            <w:r>
              <w:t>paon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House number/building name</w:t>
            </w:r>
          </w:p>
        </w:tc>
      </w:tr>
      <w:tr>
        <w:tc>
          <w:tcPr>
            <w:tcW w:type="dxa" w:w="2160"/>
          </w:tcPr>
          <w:p>
            <w:r>
              <w:t>street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ppd_type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D/S/T/F/O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F=freehold, L=leasehold</w:t>
            </w:r>
          </w:p>
        </w:tc>
      </w:tr>
      <w:tr>
        <w:tc>
          <w:tcPr>
            <w:tcW w:type="dxa" w:w="2160"/>
          </w:tcPr>
          <w:p>
            <w:r>
              <w:t>old_new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Y=new build</w:t>
            </w:r>
          </w:p>
        </w:tc>
      </w:tr>
      <w:tr>
        <w:tc>
          <w:tcPr>
            <w:tcW w:type="dxa" w:w="2160"/>
          </w:tcPr>
          <w:p>
            <w:r>
              <w:t>ppd_category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PPD</w:t>
            </w:r>
          </w:p>
        </w:tc>
        <w:tc>
          <w:tcPr>
            <w:tcW w:type="dxa" w:w="2160"/>
          </w:tcPr>
          <w:p>
            <w:r>
              <w:t>A=standard, B=non-standard</w:t>
            </w:r>
          </w:p>
        </w:tc>
      </w:tr>
      <w:tr>
        <w:tc>
          <w:tcPr>
            <w:tcW w:type="dxa" w:w="2160"/>
          </w:tcPr>
          <w:p>
            <w:r>
              <w:t>UPRN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WARNING: Can be building-level</w:t>
            </w:r>
          </w:p>
        </w:tc>
      </w:tr>
      <w:tr>
        <w:tc>
          <w:tcPr>
            <w:tcW w:type="dxa" w:w="2160"/>
          </w:tcPr>
          <w:p>
            <w:r>
              <w:t>LMK_KEY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EPC certificate key</w:t>
            </w:r>
          </w:p>
        </w:tc>
      </w:tr>
      <w:tr>
        <w:tc>
          <w:tcPr>
            <w:tcW w:type="dxa" w:w="2160"/>
          </w:tcPr>
          <w:p>
            <w:r>
              <w:t>ADDRESS1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Free-text address line</w:t>
            </w:r>
          </w:p>
        </w:tc>
      </w:tr>
      <w:tr>
        <w:tc>
          <w:tcPr>
            <w:tcW w:type="dxa" w:w="2160"/>
          </w:tcPr>
          <w:p>
            <w:r>
              <w:t>epc_type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Property type from EPC</w:t>
            </w:r>
          </w:p>
        </w:tc>
      </w:tr>
      <w:tr>
        <w:tc>
          <w:tcPr>
            <w:tcW w:type="dxa" w:w="2160"/>
          </w:tcPr>
          <w:p>
            <w:r>
              <w:t>TOTAL_FLOOR_AREA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Floor area sqm</w:t>
            </w:r>
          </w:p>
        </w:tc>
      </w:tr>
      <w:tr>
        <w:tc>
          <w:tcPr>
            <w:tcW w:type="dxa" w:w="2160"/>
          </w:tcPr>
          <w:p>
            <w:r>
              <w:t>CURRENT_ENERGY_RATING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A-G</w:t>
            </w:r>
          </w:p>
        </w:tc>
      </w:tr>
      <w:tr>
        <w:tc>
          <w:tcPr>
            <w:tcW w:type="dxa" w:w="2160"/>
          </w:tcPr>
          <w:p>
            <w:r>
              <w:t>CONSTRUCTION_AGE_BAND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OS Open UPRN</w:t>
            </w:r>
          </w:p>
        </w:tc>
        <w:tc>
          <w:tcPr>
            <w:tcW w:type="dxa" w:w="2160"/>
          </w:tcPr>
          <w:p>
            <w:r>
              <w:t>WGS84</w:t>
            </w:r>
          </w:p>
        </w:tc>
      </w:tr>
      <w:tr>
        <w:tc>
          <w:tcPr>
            <w:tcW w:type="dxa" w:w="2160"/>
          </w:tcPr>
          <w:p>
            <w:r>
              <w:t>lon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OS Open UPRN</w:t>
            </w:r>
          </w:p>
        </w:tc>
        <w:tc>
          <w:tcPr>
            <w:tcW w:type="dxa" w:w="2160"/>
          </w:tcPr>
          <w:p>
            <w:r>
              <w:t>WGS84</w:t>
            </w:r>
          </w:p>
        </w:tc>
      </w:tr>
      <w:tr>
        <w:tc>
          <w:tcPr>
            <w:tcW w:type="dxa" w:w="2160"/>
          </w:tcPr>
          <w:p>
            <w:r>
              <w:t>match_tier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Which matching tier succeeded</w:t>
            </w:r>
          </w:p>
        </w:tc>
      </w:tr>
      <w:tr>
        <w:tc>
          <w:tcPr>
            <w:tcW w:type="dxa" w:w="2160"/>
          </w:tcPr>
          <w:p>
            <w:r>
              <w:t>match_confidence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</w:tr>
    </w:tbl>
    <w:p>
      <w:pPr>
        <w:pStyle w:val="Heading2"/>
      </w:pPr>
      <w:r>
        <w:t>The UPRN Problem</w:t>
      </w:r>
    </w:p>
    <w:p>
      <w:r>
        <w:t>~11,430 transactions (1%) have building-level UPRNs shared across multiple flats.</w:t>
      </w:r>
    </w:p>
    <w:p>
      <w:r>
        <w:t>Worst case: 1 UPRN maps to 28 different flats.</w:t>
      </w:r>
    </w:p>
    <w:p>
      <w:r>
        <w:t>Root cause: EPC/OS assigns one UPRN per building, merge pipeline inherits it.</w:t>
      </w:r>
    </w:p>
    <w:p>
      <w:r>
        <w:rPr>
          <w:b/>
        </w:rPr>
        <w:t>Needs fundamental fix at data layer, not patching each query.</w:t>
      </w:r>
    </w:p>
    <w:p>
      <w:pPr>
        <w:pStyle w:val="Heading1"/>
      </w:pPr>
      <w:r>
        <w:t>B. LOCAL: SQLite Databases</w:t>
      </w:r>
    </w:p>
    <w:p>
      <w:pPr>
        <w:pStyle w:val="Heading2"/>
      </w:pPr>
      <w:r>
        <w:t>uprn_coords.db (1.3 GB)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t>uprn_coords</w:t>
            </w:r>
          </w:p>
        </w:tc>
        <w:tc>
          <w:tcPr>
            <w:tcW w:type="dxa" w:w="2880"/>
          </w:tcPr>
          <w:p>
            <w:r>
              <w:t>41,466,127</w:t>
            </w:r>
          </w:p>
        </w:tc>
        <w:tc>
          <w:tcPr>
            <w:tcW w:type="dxa" w:w="2880"/>
          </w:tcPr>
          <w:p>
            <w:r>
              <w:t>uprn (INTEGER)</w:t>
            </w:r>
          </w:p>
        </w:tc>
      </w:tr>
    </w:tbl>
    <w:p>
      <w:r>
        <w:t>Columns: uprn, lat (REAL), lon (REAL) — OS Open UPRN, ~1-5m accuracy</w:t>
      </w:r>
    </w:p>
    <w:p>
      <w:pPr>
        <w:pStyle w:val="Heading2"/>
      </w:pPr>
      <w:r>
        <w:t>inspire_polygons.db (1.8 GB)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t>polygons</w:t>
            </w:r>
          </w:p>
        </w:tc>
        <w:tc>
          <w:tcPr>
            <w:tcW w:type="dxa" w:w="2880"/>
          </w:tcPr>
          <w:p>
            <w:r>
              <w:t>2,061,222</w:t>
            </w:r>
          </w:p>
        </w:tc>
        <w:tc>
          <w:tcPr>
            <w:tcW w:type="dxa" w:w="2880"/>
          </w:tcPr>
          <w:p>
            <w:r>
              <w:t>inspire_id (INTEGER)</w:t>
            </w:r>
          </w:p>
        </w:tc>
      </w:tr>
    </w:tbl>
    <w:p>
      <w:r>
        <w:t>Columns: inspire_id, geojson (TEXT) — INSPIRE property boundaries</w:t>
      </w:r>
    </w:p>
    <w:p>
      <w:pPr>
        <w:pStyle w:val="Heading2"/>
      </w:pPr>
      <w:r>
        <w:t>leases.db (391 MB)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t>registered_leases</w:t>
            </w:r>
          </w:p>
        </w:tc>
        <w:tc>
          <w:tcPr>
            <w:tcW w:type="dxa" w:w="2880"/>
          </w:tcPr>
          <w:p>
            <w:r>
              <w:t>4,280,569</w:t>
            </w:r>
          </w:p>
        </w:tc>
        <w:tc>
          <w:tcPr>
            <w:tcW w:type="dxa" w:w="2880"/>
          </w:tcPr>
          <w:p>
            <w:r>
              <w:t>uprn (TEXT)</w:t>
            </w:r>
          </w:p>
        </w:tc>
      </w:tr>
    </w:tbl>
    <w:p>
      <w:r>
        <w:t>Columns: uprn, date_of_lease, term_years, expiry_date</w:t>
      </w:r>
    </w:p>
    <w:p>
      <w:pPr>
        <w:pStyle w:val="Heading2"/>
      </w:pPr>
      <w:r>
        <w:t>inspire_centroids_london.json (121 MB)</w:t>
      </w:r>
    </w:p>
    <w:p>
      <w:r>
        <w:t>2.06M INSPIRE centroids loaded to memory at startup. Used for KDTree nearest-centroid lookups.</w:t>
      </w:r>
    </w:p>
    <w:p>
      <w:pPr>
        <w:pStyle w:val="Heading1"/>
      </w:pPr>
      <w:r>
        <w:t>C. CLOUD: Supabase (27 tables)</w:t>
      </w:r>
    </w:p>
    <w:p>
      <w:pPr>
        <w:pStyle w:val="Heading2"/>
      </w:pPr>
      <w:r>
        <w:t>Tier 1: Property Library (shared,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properties</w:t>
            </w:r>
          </w:p>
        </w:tc>
        <w:tc>
          <w:tcPr>
            <w:tcW w:type="dxa" w:w="2160"/>
          </w:tcPr>
          <w:p>
            <w:r>
              <w:t>uprn 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UPRN master record</w:t>
            </w:r>
          </w:p>
        </w:tc>
      </w:tr>
      <w:tr>
        <w:tc>
          <w:tcPr>
            <w:tcW w:type="dxa" w:w="2160"/>
          </w:tcPr>
          <w:p>
            <w:r>
              <w:t>property_enrichment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uprn → properties</w:t>
            </w:r>
          </w:p>
        </w:tc>
        <w:tc>
          <w:tcPr>
            <w:tcW w:type="dxa" w:w="2160"/>
          </w:tcPr>
          <w:p>
            <w:r>
              <w:t>Cached API responses per source</w:t>
            </w:r>
          </w:p>
        </w:tc>
      </w:tr>
      <w:tr>
        <w:tc>
          <w:tcPr>
            <w:tcW w:type="dxa" w:w="2160"/>
          </w:tcPr>
          <w:p>
            <w:r>
              <w:t>property_enrichment_history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Archive of enrichment changes</w:t>
            </w:r>
          </w:p>
        </w:tc>
      </w:tr>
      <w:tr>
        <w:tc>
          <w:tcPr>
            <w:tcW w:type="dxa" w:w="2160"/>
          </w:tcPr>
          <w:p>
            <w:r>
              <w:t>comparable_transactions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Comparable transaction cache</w:t>
            </w:r>
          </w:p>
        </w:tc>
      </w:tr>
      <w:tr>
        <w:tc>
          <w:tcPr>
            <w:tcW w:type="dxa" w:w="2160"/>
          </w:tcPr>
          <w:p>
            <w:r>
              <w:t>outward_code_adjacency</w:t>
            </w:r>
          </w:p>
        </w:tc>
        <w:tc>
          <w:tcPr>
            <w:tcW w:type="dxa" w:w="2160"/>
          </w:tcPr>
          <w:p>
            <w:r>
              <w:t>(outward, adjacent)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Adjacent postcode lookup</w:t>
            </w:r>
          </w:p>
        </w:tc>
      </w:tr>
    </w:tbl>
    <w:p>
      <w:pPr>
        <w:pStyle w:val="Heading2"/>
      </w:pPr>
      <w:r>
        <w:t>Tier 2: Cache (backend service-role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price_paid_cache</w:t>
            </w:r>
          </w:p>
        </w:tc>
        <w:tc>
          <w:tcPr>
            <w:tcW w:type="dxa" w:w="2160"/>
          </w:tcPr>
          <w:p>
            <w:r>
              <w:t>transaction_id 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Bulk PPD data per outward code</w:t>
            </w:r>
          </w:p>
        </w:tc>
      </w:tr>
      <w:tr>
        <w:tc>
          <w:tcPr>
            <w:tcW w:type="dxa" w:w="2160"/>
          </w:tcPr>
          <w:p>
            <w:r>
              <w:t>ppd_cache_status</w:t>
            </w:r>
          </w:p>
        </w:tc>
        <w:tc>
          <w:tcPr>
            <w:tcW w:type="dxa" w:w="2160"/>
          </w:tcPr>
          <w:p>
            <w:r>
              <w:t>outward_code 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PPD cache freshness tracker</w:t>
            </w:r>
          </w:p>
        </w:tc>
      </w:tr>
      <w:tr>
        <w:tc>
          <w:tcPr>
            <w:tcW w:type="dxa" w:w="2160"/>
          </w:tcPr>
          <w:p>
            <w:r>
              <w:t>epc_cache</w:t>
            </w:r>
          </w:p>
        </w:tc>
        <w:tc>
          <w:tcPr>
            <w:tcW w:type="dxa" w:w="2160"/>
          </w:tcPr>
          <w:p>
            <w:r>
              <w:t>lmk_key 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Bulk EPC data per outward code</w:t>
            </w:r>
          </w:p>
        </w:tc>
      </w:tr>
      <w:tr>
        <w:tc>
          <w:tcPr>
            <w:tcW w:type="dxa" w:w="2160"/>
          </w:tcPr>
          <w:p>
            <w:r>
              <w:t>epc_cache_status</w:t>
            </w:r>
          </w:p>
        </w:tc>
        <w:tc>
          <w:tcPr>
            <w:tcW w:type="dxa" w:w="2160"/>
          </w:tcPr>
          <w:p>
            <w:r>
              <w:t>outward_code 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EPC cache freshness tracker</w:t>
            </w:r>
          </w:p>
        </w:tc>
      </w:tr>
    </w:tbl>
    <w:p>
      <w:pPr>
        <w:pStyle w:val="Heading2"/>
      </w:pPr>
      <w:r>
        <w:t>Tier 3: Cases (firm-private, RLS)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surveyor_id, firm_id → firms</w:t>
            </w:r>
          </w:p>
        </w:tc>
        <w:tc>
          <w:tcPr>
            <w:tcW w:type="dxa" w:w="2160"/>
          </w:tcPr>
          <w:p>
            <w:r>
              <w:t>Surveyor working files</w:t>
            </w:r>
          </w:p>
        </w:tc>
      </w:tr>
      <w:tr>
        <w:tc>
          <w:tcPr>
            <w:tcW w:type="dxa" w:w="2160"/>
          </w:tcPr>
          <w:p>
            <w:r>
              <w:t>property_snapshots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based_on_id → self, firm_id → firms</w:t>
            </w:r>
          </w:p>
        </w:tc>
        <w:tc>
          <w:tcPr>
            <w:tcW w:type="dxa" w:w="2160"/>
          </w:tcPr>
          <w:p>
            <w:r>
              <w:t>Immutable property data snapshots</w:t>
            </w:r>
          </w:p>
        </w:tc>
      </w:tr>
      <w:tr>
        <w:tc>
          <w:tcPr>
            <w:tcW w:type="dxa" w:w="2160"/>
          </w:tcPr>
          <w:p>
            <w:r>
              <w:t>case_comps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case_id → cases, snapshot_id → snapshots</w:t>
            </w:r>
          </w:p>
        </w:tc>
        <w:tc>
          <w:tcPr>
            <w:tcW w:type="dxa" w:w="2160"/>
          </w:tcPr>
          <w:p>
            <w:r>
              <w:t>Adopted comparables junction</w:t>
            </w:r>
          </w:p>
        </w:tc>
      </w:tr>
      <w:tr>
        <w:tc>
          <w:tcPr>
            <w:tcW w:type="dxa" w:w="2160"/>
          </w:tcPr>
          <w:p>
            <w:r>
              <w:t>case_comparables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transaction_id → comparable_transactions</w:t>
            </w:r>
          </w:p>
        </w:tc>
        <w:tc>
          <w:tcPr>
            <w:tcW w:type="dxa" w:w="2160"/>
          </w:tcPr>
          <w:p>
            <w:r>
              <w:t>Legacy comps (deprecated)</w:t>
            </w:r>
          </w:p>
        </w:tc>
      </w:tr>
    </w:tbl>
    <w:p>
      <w:pPr>
        <w:pStyle w:val="Heading2"/>
      </w:pPr>
      <w:r>
        <w:t>Tier 4: Firm &amp; Organization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firms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Multi-tenancy firm records</w:t>
            </w:r>
          </w:p>
        </w:tc>
      </w:tr>
      <w:tr>
        <w:tc>
          <w:tcPr>
            <w:tcW w:type="dxa" w:w="2160"/>
          </w:tcPr>
          <w:p>
            <w:r>
              <w:t>firm_members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firm_id → firms</w:t>
            </w:r>
          </w:p>
        </w:tc>
        <w:tc>
          <w:tcPr>
            <w:tcW w:type="dxa" w:w="2160"/>
          </w:tcPr>
          <w:p>
            <w:r>
              <w:t>Membership junction</w:t>
            </w:r>
          </w:p>
        </w:tc>
      </w:tr>
      <w:tr>
        <w:tc>
          <w:tcPr>
            <w:tcW w:type="dxa" w:w="2160"/>
          </w:tcPr>
          <w:p>
            <w:r>
              <w:t>firm_templates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firm_id → firms</w:t>
            </w:r>
          </w:p>
        </w:tc>
        <w:tc>
          <w:tcPr>
            <w:tcW w:type="dxa" w:w="2160"/>
          </w:tcPr>
          <w:p>
            <w:r>
              <w:t>Report boilerplate + AI prompts</w:t>
            </w:r>
          </w:p>
        </w:tc>
      </w:tr>
      <w:tr>
        <w:tc>
          <w:tcPr>
            <w:tcW w:type="dxa" w:w="2160"/>
          </w:tcPr>
          <w:p>
            <w:r>
              <w:t>firm_signatories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Staff details for report signing</w:t>
            </w:r>
          </w:p>
        </w:tc>
      </w:tr>
    </w:tbl>
    <w:p>
      <w:pPr>
        <w:pStyle w:val="Heading2"/>
      </w:pPr>
      <w:r>
        <w:t>Tier 5: Reports &amp;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report_templates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created_by → auth.users</w:t>
            </w:r>
          </w:p>
        </w:tc>
        <w:tc>
          <w:tcPr>
            <w:tcW w:type="dxa" w:w="2160"/>
          </w:tcPr>
          <w:p>
            <w:r>
              <w:t>ARTG template definitions</w:t>
            </w:r>
          </w:p>
        </w:tc>
      </w:tr>
      <w:tr>
        <w:tc>
          <w:tcPr>
            <w:tcW w:type="dxa" w:w="2160"/>
          </w:tcPr>
          <w:p>
            <w:r>
              <w:t>report_copies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case_id → cases</w:t>
            </w:r>
          </w:p>
        </w:tc>
        <w:tc>
          <w:tcPr>
            <w:tcW w:type="dxa" w:w="2160"/>
          </w:tcPr>
          <w:p>
            <w:r>
              <w:t>Immutable versioned report snapshots</w:t>
            </w:r>
          </w:p>
        </w:tc>
      </w:tr>
      <w:tr>
        <w:tc>
          <w:tcPr>
            <w:tcW w:type="dxa" w:w="2160"/>
          </w:tcPr>
          <w:p>
            <w:r>
              <w:t>qa_results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copy_id → report_copies</w:t>
            </w:r>
          </w:p>
        </w:tc>
        <w:tc>
          <w:tcPr>
            <w:tcW w:type="dxa" w:w="2160"/>
          </w:tcPr>
          <w:p>
            <w:r>
              <w:t>AI QA findings</w:t>
            </w:r>
          </w:p>
        </w:tc>
      </w:tr>
      <w:tr>
        <w:tc>
          <w:tcPr>
            <w:tcW w:type="dxa" w:w="2160"/>
          </w:tcPr>
          <w:p>
            <w:r>
              <w:t>review_requests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copy_id → report_copies</w:t>
            </w:r>
          </w:p>
        </w:tc>
        <w:tc>
          <w:tcPr>
            <w:tcW w:type="dxa" w:w="2160"/>
          </w:tcPr>
          <w:p>
            <w:r>
              <w:t>Review assignments</w:t>
            </w:r>
          </w:p>
        </w:tc>
      </w:tr>
      <w:tr>
        <w:tc>
          <w:tcPr>
            <w:tcW w:type="dxa" w:w="2160"/>
          </w:tcPr>
          <w:p>
            <w:r>
              <w:t>review_events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review_id → review_requests</w:t>
            </w:r>
          </w:p>
        </w:tc>
        <w:tc>
          <w:tcPr>
            <w:tcW w:type="dxa" w:w="2160"/>
          </w:tcPr>
          <w:p>
            <w:r>
              <w:t>Audit log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user_id → auth.users</w:t>
            </w:r>
          </w:p>
        </w:tc>
        <w:tc>
          <w:tcPr>
            <w:tcW w:type="dxa" w:w="2160"/>
          </w:tcPr>
          <w:p>
            <w:r>
              <w:t>In-app notifications</w:t>
            </w:r>
          </w:p>
        </w:tc>
      </w:tr>
    </w:tbl>
    <w:p>
      <w:pPr>
        <w:pStyle w:val="Heading2"/>
      </w:pPr>
      <w:r>
        <w:t>Tier 6: Market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news_articles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RSS feed articles</w:t>
            </w:r>
          </w:p>
        </w:tc>
      </w:tr>
      <w:tr>
        <w:tc>
          <w:tcPr>
            <w:tcW w:type="dxa" w:w="2160"/>
          </w:tcPr>
          <w:p>
            <w:r>
              <w:t>macro_indicators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Base rate, CPI, HPI, etc.</w:t>
            </w:r>
          </w:p>
        </w:tc>
      </w:tr>
    </w:tbl>
    <w:p>
      <w:pPr>
        <w:pStyle w:val="Heading2"/>
      </w:pPr>
      <w:r>
        <w:t>Supabase RPC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get_user_firm_id()</w:t>
            </w:r>
          </w:p>
        </w:tc>
        <w:tc>
          <w:tcPr>
            <w:tcW w:type="dxa" w:w="4320"/>
          </w:tcPr>
          <w:p>
            <w:r>
              <w:t>Returns user firm_id (prevents RLS recursion)</w:t>
            </w:r>
          </w:p>
        </w:tc>
      </w:tr>
      <w:tr>
        <w:tc>
          <w:tcPr>
            <w:tcW w:type="dxa" w:w="4320"/>
          </w:tcPr>
          <w:p>
            <w:r>
              <w:t>autocomplete_by_postcode(pc)</w:t>
            </w:r>
          </w:p>
        </w:tc>
        <w:tc>
          <w:tcPr>
            <w:tcW w:type="dxa" w:w="4320"/>
          </w:tcPr>
          <w:p>
            <w:r>
              <w:t>Fast EPC address lookup with 5s timeout</w:t>
            </w:r>
          </w:p>
        </w:tc>
      </w:tr>
    </w:tbl>
    <w:p>
      <w:pPr>
        <w:pStyle w:val="Heading1"/>
      </w:pPr>
      <w:r>
        <w:t>D. Data Flow: How UPRN Connects Everything</w:t>
      </w:r>
    </w:p>
    <w:p>
      <w:r>
        <w:rPr>
          <w:rFonts w:ascii="Consolas" w:hAnsi="Consolas"/>
          <w:sz w:val="18"/>
        </w:rPr>
        <w:t>User searches postcode</w:t>
      </w:r>
    </w:p>
    <w:p>
      <w:r>
        <w:rPr>
          <w:rFonts w:ascii="Consolas" w:hAnsi="Consolas"/>
          <w:sz w:val="18"/>
        </w:rPr>
        <w:t xml:space="preserve">  → EPC API / epc_cache / DuckDB autocomplete → address + UPRN</w:t>
      </w:r>
    </w:p>
    <w:p>
      <w:r>
        <w:rPr>
          <w:rFonts w:ascii="Consolas" w:hAnsi="Consolas"/>
          <w:sz w:val="18"/>
        </w:rPr>
        <w:t xml:space="preserve">  → UPRN → uprn_coords.db → lat/lon</w:t>
      </w:r>
    </w:p>
    <w:p>
      <w:r>
        <w:rPr>
          <w:rFonts w:ascii="Consolas" w:hAnsi="Consolas"/>
          <w:sz w:val="18"/>
        </w:rPr>
        <w:t xml:space="preserve">  → UPRN → inspire_polygons.db → boundary polygon</w:t>
      </w:r>
    </w:p>
    <w:p>
      <w:r>
        <w:rPr>
          <w:rFonts w:ascii="Consolas" w:hAnsi="Consolas"/>
          <w:sz w:val="18"/>
        </w:rPr>
        <w:t xml:space="preserve">  → UPRN → DuckDB matched → sale history + EPC data</w:t>
      </w:r>
    </w:p>
    <w:p>
      <w:r>
        <w:rPr>
          <w:rFonts w:ascii="Consolas" w:hAnsi="Consolas"/>
          <w:sz w:val="18"/>
        </w:rPr>
        <w:t xml:space="preserve">  → UPRN → price_paid_cache → additional sale history</w:t>
      </w:r>
    </w:p>
    <w:p>
      <w:r>
        <w:rPr>
          <w:rFonts w:ascii="Consolas" w:hAnsi="Consolas"/>
          <w:sz w:val="18"/>
        </w:rPr>
        <w:t xml:space="preserve">  → UPRN → leases.db → lease details</w:t>
      </w:r>
    </w:p>
    <w:p>
      <w:r>
        <w:rPr>
          <w:rFonts w:ascii="Consolas" w:hAnsi="Consolas"/>
          <w:sz w:val="18"/>
        </w:rPr>
        <w:t xml:space="preserve">  → UPRN → property_enrichment → cached API responses</w:t>
      </w:r>
    </w:p>
    <w:p>
      <w:r>
        <w:rPr>
          <w:rFonts w:ascii="Consolas" w:hAnsi="Consolas"/>
          <w:sz w:val="18"/>
        </w:rPr>
        <w:t xml:space="preserve">  → lat/lon → Environment Agency, planning.data.gov, etc.</w:t>
      </w:r>
    </w:p>
    <w:p/>
    <w:p>
      <w:r>
        <w:rPr>
          <w:b/>
          <w:color w:val="CC0000"/>
        </w:rPr>
        <w:t>UPRN is the universal spine. If UPRN is wrong (building-level), every downstream lookup is contaminated.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