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jc w:val="center"/>
      </w:pPr>
      <w:r>
        <w:rPr>
          <w:rFonts w:ascii="Arial" w:cs="Arial" w:eastAsia="Arial" w:hAnsi="Arial"/>
          <w:b/>
          <w:bCs/>
          <w:color w:val="00F0FF"/>
          <w:sz w:val="72"/>
          <w:szCs w:val="72"/>
        </w:rPr>
        <w:t xml:space="preserve">PROPVAL</w:t>
      </w:r>
    </w:p>
    <w:p>
      <w:pPr>
        <w:spacing w:before="100"/>
        <w:jc w:val="center"/>
      </w:pPr>
      <w:r>
        <w:rPr>
          <w:rFonts w:ascii="Arial" w:cs="Arial" w:eastAsia="Arial" w:hAnsi="Arial"/>
          <w:color w:val="FF2E97"/>
          <w:sz w:val="36"/>
          <w:szCs w:val="36"/>
        </w:rPr>
        <w:t xml:space="preserve">PLATFORM ARCHITECTURE</w:t>
      </w:r>
    </w:p>
    <w:p>
      <w:pPr>
        <w:spacing w:before="200"/>
        <w:jc w:val="center"/>
      </w:pPr>
      <w:r>
        <w:rPr>
          <w:rFonts w:ascii="Arial" w:cs="Arial" w:eastAsia="Arial" w:hAnsi="Arial"/>
          <w:color w:val="808090"/>
          <w:sz w:val="22"/>
          <w:szCs w:val="22"/>
        </w:rPr>
        <w:t xml:space="preserve">UPRN-Anchored Property Intelligence &amp; Valuation Infrastructure</w:t>
      </w:r>
    </w:p>
    <w:p>
      <w:pPr>
        <w:pBdr>
          <w:bottom w:val="single" w:color="2A2A4A" w:sz="2" w:space="1"/>
        </w:pBdr>
        <w:spacing w:before="200" w:after="200"/>
      </w:pPr>
      <w:r>
        <w:rPr>
          <w:sz w:val="4"/>
          <w:szCs w:val="4"/>
        </w:rPr>
        <w:t xml:space="preserve"/>
      </w:r>
    </w:p>
    <w:p>
      <w:pPr>
        <w:spacing w:before="400"/>
        <w:jc w:val="center"/>
      </w:pPr>
      <w:r>
        <w:rPr>
          <w:rFonts w:ascii="Arial" w:cs="Arial" w:eastAsia="Arial" w:hAnsi="Arial"/>
          <w:color w:val="E0E0E0"/>
          <w:sz w:val="24"/>
          <w:szCs w:val="24"/>
        </w:rPr>
        <w:t xml:space="preserve">Filing System Design &amp; Data Architecture</w:t>
      </w:r>
    </w:p>
    <w:p>
      <w:pPr>
        <w:spacing w:before="100"/>
        <w:jc w:val="center"/>
      </w:pPr>
      <w:r>
        <w:rPr>
          <w:rFonts w:ascii="Arial" w:cs="Arial" w:eastAsia="Arial" w:hAnsi="Arial"/>
          <w:color w:val="808090"/>
          <w:sz w:val="20"/>
          <w:szCs w:val="20"/>
        </w:rPr>
        <w:t xml:space="preserve">Version 1.0  |  March 2026</w:t>
      </w:r>
    </w:p>
    <w:p>
      <w:pPr>
        <w:spacing w:before="60"/>
        <w:jc w:val="center"/>
      </w:pPr>
      <w:r>
        <w:rPr>
          <w:rFonts w:ascii="Arial" w:cs="Arial" w:eastAsia="Arial" w:hAnsi="Arial"/>
          <w:b/>
          <w:bCs/>
          <w:color w:val="FF2E97"/>
          <w:sz w:val="18"/>
          <w:szCs w:val="18"/>
        </w:rPr>
        <w:t xml:space="preserve">CONFIDENTIAL — INTERNAL USE ONLY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before="400" w:after="200"/>
      </w:pPr>
      <w:r>
        <w:rPr>
          <w:rFonts w:ascii="Arial" w:cs="Arial" w:eastAsia="Arial" w:hAnsi="Arial"/>
          <w:b/>
          <w:bCs/>
          <w:color w:val="00F0FF"/>
          <w:sz w:val="32"/>
          <w:szCs w:val="32"/>
        </w:rPr>
        <w:t xml:space="preserve">1. VISION &amp; FOUNDING PRINCIPLES</w:t>
      </w:r>
    </w:p>
    <w:p>
      <w:pPr>
        <w:spacing w:before="60" w:after="6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0E0E0"/>
          <w:sz w:val="20"/>
          <w:szCs w:val="20"/>
        </w:rPr>
        <w:t xml:space="preserve">PropVal is not a valuation tool — it is property intelligence infrastructure. Every interaction with the platform deposits data into a UPRN-anchored library that grows richer with every case, every API call, and every surveyor's professional input. The platform's value compounds over time.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FF2E97"/>
          <w:sz w:val="26"/>
          <w:szCs w:val="26"/>
        </w:rPr>
        <w:t xml:space="preserve">1.1 The Infrastructure Mindset</w:t>
      </w:r>
    </w:p>
    <w:p>
      <w:pPr>
        <w:spacing w:before="60" w:after="6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0E0E0"/>
          <w:sz w:val="20"/>
          <w:szCs w:val="20"/>
        </w:rPr>
        <w:t xml:space="preserve">The platform serves three time horizons simultaneously: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color w:val="E0E0E0"/>
          <w:sz w:val="20"/>
          <w:szCs w:val="20"/>
        </w:rPr>
        <w:t xml:space="preserve">Today: A working surveyor completing a single valuation case efficiently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color w:val="E0E0E0"/>
          <w:sz w:val="20"/>
          <w:szCs w:val="20"/>
        </w:rPr>
        <w:t xml:space="preserve">Tomorrow: A surveyor re-valuing the same property with full institutional history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color w:val="E0E0E0"/>
          <w:sz w:val="20"/>
          <w:szCs w:val="20"/>
        </w:rPr>
        <w:t xml:space="preserve">Long-term: An aggregated property intelligence dataset built from thousands of RICS-qualified professional interactions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FF2E97"/>
          <w:sz w:val="26"/>
          <w:szCs w:val="26"/>
        </w:rPr>
        <w:t xml:space="preserve">1.2 Core Design Principles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FFB800"/>
          <w:sz w:val="22"/>
          <w:szCs w:val="22"/>
        </w:rPr>
        <w:t xml:space="preserve">Principle 1 — UPRN Is the Universal Anchor</w:t>
      </w:r>
    </w:p>
    <w:p>
      <w:pPr>
        <w:spacing w:before="60" w:after="6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0E0E0"/>
          <w:sz w:val="20"/>
          <w:szCs w:val="20"/>
        </w:rPr>
        <w:t xml:space="preserve">Every piece of data in the platform relates to a Unique Property Reference Number. The UPRN is the spine of the filing system. Properties exist independently of valuations. A UPRN enters the system the moment any surveyor looks it up, and it never leaves. Data accumulates against it permanently.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FFB800"/>
          <w:sz w:val="22"/>
          <w:szCs w:val="22"/>
        </w:rPr>
        <w:t xml:space="preserve">Principle 2 — The Platform Controls the Structure</w:t>
      </w:r>
    </w:p>
    <w:p>
      <w:pPr>
        <w:spacing w:before="60" w:after="6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0E0E0"/>
          <w:sz w:val="20"/>
          <w:szCs w:val="20"/>
        </w:rPr>
        <w:t xml:space="preserve">Case names, file references, folder structures, and workflow statuses are system-generated from structured data fields. Surveyors do not type case names or create ad-hoc filing. This ensures consistency across firms, enables reliable search and aggregation, and prevents the data entropy that plagues manual filing systems.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FFB800"/>
          <w:sz w:val="22"/>
          <w:szCs w:val="22"/>
        </w:rPr>
        <w:t xml:space="preserve">Principle 3 — Cases Stack, Never Overwrite</w:t>
      </w:r>
    </w:p>
    <w:p>
      <w:pPr>
        <w:spacing w:before="60" w:after="6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0E0E0"/>
          <w:sz w:val="20"/>
          <w:szCs w:val="20"/>
        </w:rPr>
        <w:t xml:space="preserve">Multiple valuations of the same property create sequential case records under the same UPRN. Each case is a point-in-time snapshot that becomes immutable once finalised. The valuation history for any property is the stack of all its cases, ordered by date. Nothing is deleted or overwritten.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FFB800"/>
          <w:sz w:val="22"/>
          <w:szCs w:val="22"/>
        </w:rPr>
        <w:t xml:space="preserve">Principle 4 — Every Interaction Enriches the Library</w:t>
      </w:r>
    </w:p>
    <w:p>
      <w:pPr>
        <w:spacing w:before="60" w:after="6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0E0E0"/>
          <w:sz w:val="20"/>
          <w:szCs w:val="20"/>
        </w:rPr>
        <w:t xml:space="preserve">A Research lookup that goes nowhere still creates a property record with API enrichment data. A comparable entered for one case becomes available evidence for future cases. The platform's intelligence grows passively through normal use.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FFB800"/>
          <w:sz w:val="22"/>
          <w:szCs w:val="22"/>
        </w:rPr>
        <w:t xml:space="preserve">Principle 5 — Regulatory Compliance by Design</w:t>
      </w:r>
    </w:p>
    <w:p>
      <w:pPr>
        <w:spacing w:before="60" w:after="6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0E0E0"/>
          <w:sz w:val="20"/>
          <w:szCs w:val="20"/>
        </w:rPr>
        <w:t xml:space="preserve">RICS requires surveyors to retain working files for a minimum of six years (longer for some instruction types). PI insurers require complete audit trails. The immutable case record, the enforced workflow, and the UPRN-anchored filing system satisfy these requirements structurally — compliance is not an afterthought bolted onto the workflow, it is the workflow.</w:t>
      </w:r>
    </w:p>
    <w:p>
      <w:r>
        <w:br w:type="page"/>
      </w:r>
    </w:p>
    <w:p>
      <w:pPr>
        <w:spacing w:before="400" w:after="200"/>
      </w:pPr>
      <w:r>
        <w:rPr>
          <w:rFonts w:ascii="Arial" w:cs="Arial" w:eastAsia="Arial" w:hAnsi="Arial"/>
          <w:b/>
          <w:bCs/>
          <w:color w:val="00F0FF"/>
          <w:sz w:val="32"/>
          <w:szCs w:val="32"/>
        </w:rPr>
        <w:t xml:space="preserve">2. THREE-TIER DATA ARCHITECTURE</w:t>
      </w:r>
    </w:p>
    <w:p>
      <w:pPr>
        <w:spacing w:before="60" w:after="6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0E0E0"/>
          <w:sz w:val="20"/>
          <w:szCs w:val="20"/>
        </w:rPr>
        <w:t xml:space="preserve">The platform's data is organised into three distinct tiers, each with a clear purpose, ownership model, and lifecycle.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FF2E97"/>
          <w:sz w:val="26"/>
          <w:szCs w:val="26"/>
        </w:rPr>
        <w:t xml:space="preserve">2.1 Tier 1 — The Property Library (UPRN Level)</w:t>
      </w:r>
    </w:p>
    <w:p>
      <w:pPr>
        <w:spacing w:before="60" w:after="6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0E0E0"/>
          <w:sz w:val="20"/>
          <w:szCs w:val="20"/>
        </w:rPr>
        <w:t xml:space="preserve">The permanent, accumulating record of a physical property. Exists independently of any valuation case. Once a UPRN enters the system, it persists indefinitely.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FFB800"/>
          <w:sz w:val="22"/>
          <w:szCs w:val="22"/>
        </w:rPr>
        <w:t xml:space="preserve">What Tier 1 Holds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800"/>
        <w:gridCol w:w="3726"/>
      </w:tblGrid>
      <w:tr>
        <w:trPr>
          <w:tblHeader/>
        </w:trPr>
        <w:tc>
          <w:tcPr>
            <w:tcW w:type="dxa" w:w="2500"/>
            <w:tcBorders>
              <w:top w:val="single" w:color="2A2A4A" w:sz="1"/>
              <w:left w:val="single" w:color="2A2A4A" w:sz="1"/>
              <w:bottom w:val="single" w:color="2A2A4A" w:sz="1"/>
              <w:right w:val="single" w:color="2A2A4A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F0FF"/>
                <w:sz w:val="18"/>
                <w:szCs w:val="18"/>
              </w:rPr>
              <w:t xml:space="preserve">Data Category</w:t>
            </w:r>
          </w:p>
        </w:tc>
        <w:tc>
          <w:tcPr>
            <w:tcW w:type="dxa" w:w="2800"/>
            <w:tcBorders>
              <w:top w:val="single" w:color="2A2A4A" w:sz="1"/>
              <w:left w:val="single" w:color="2A2A4A" w:sz="1"/>
              <w:bottom w:val="single" w:color="2A2A4A" w:sz="1"/>
              <w:right w:val="single" w:color="2A2A4A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F0FF"/>
                <w:sz w:val="18"/>
                <w:szCs w:val="18"/>
              </w:rPr>
              <w:t xml:space="preserve">Source</w:t>
            </w:r>
          </w:p>
        </w:tc>
        <w:tc>
          <w:tcPr>
            <w:tcW w:type="dxa" w:w="3726"/>
            <w:tcBorders>
              <w:top w:val="single" w:color="2A2A4A" w:sz="1"/>
              <w:left w:val="single" w:color="2A2A4A" w:sz="1"/>
              <w:bottom w:val="single" w:color="2A2A4A" w:sz="1"/>
              <w:right w:val="single" w:color="2A2A4A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F0FF"/>
                <w:sz w:val="18"/>
                <w:szCs w:val="18"/>
              </w:rPr>
              <w:t xml:space="preserve">Refresh Cycle</w:t>
            </w:r>
          </w:p>
        </w:tc>
      </w:tr>
      <w:tr>
        <w:tc>
          <w:tcPr>
            <w:tcW w:type="dxa" w:w="2500"/>
            <w:tcBorders>
              <w:top w:val="single" w:color="2A2A4A" w:sz="1"/>
              <w:left w:val="single" w:color="2A2A4A" w:sz="1"/>
              <w:bottom w:val="single" w:color="2A2A4A" w:sz="1"/>
              <w:right w:val="single" w:color="2A2A4A" w:sz="1"/>
            </w:tcBorders>
            <w:shd w:fill="0D0D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E0E0E0"/>
                <w:sz w:val="18"/>
                <w:szCs w:val="18"/>
              </w:rPr>
              <w:t xml:space="preserve">Canonical address, postcode, coordinates</w:t>
            </w:r>
          </w:p>
        </w:tc>
        <w:tc>
          <w:tcPr>
            <w:tcW w:type="dxa" w:w="2800"/>
            <w:tcBorders>
              <w:top w:val="single" w:color="2A2A4A" w:sz="1"/>
              <w:left w:val="single" w:color="2A2A4A" w:sz="1"/>
              <w:bottom w:val="single" w:color="2A2A4A" w:sz="1"/>
              <w:right w:val="single" w:color="2A2A4A" w:sz="1"/>
            </w:tcBorders>
            <w:shd w:fill="0D0D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E0E0E0"/>
                <w:sz w:val="18"/>
                <w:szCs w:val="18"/>
              </w:rPr>
              <w:t xml:space="preserve">EPC API / postcodes.io / Nominatim</w:t>
            </w:r>
          </w:p>
        </w:tc>
        <w:tc>
          <w:tcPr>
            <w:tcW w:type="dxa" w:w="3726"/>
            <w:tcBorders>
              <w:top w:val="single" w:color="2A2A4A" w:sz="1"/>
              <w:left w:val="single" w:color="2A2A4A" w:sz="1"/>
              <w:bottom w:val="single" w:color="2A2A4A" w:sz="1"/>
              <w:right w:val="single" w:color="2A2A4A" w:sz="1"/>
            </w:tcBorders>
            <w:shd w:fill="0D0D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E0E0E0"/>
                <w:sz w:val="18"/>
                <w:szCs w:val="18"/>
              </w:rPr>
              <w:t xml:space="preserve">On first lookup; updated if EPC changes</w:t>
            </w:r>
          </w:p>
        </w:tc>
      </w:tr>
      <w:tr>
        <w:tc>
          <w:tcPr>
            <w:tcW w:type="dxa" w:w="2500"/>
            <w:tcBorders>
              <w:top w:val="single" w:color="2A2A4A" w:sz="1"/>
              <w:left w:val="single" w:color="2A2A4A" w:sz="1"/>
              <w:bottom w:val="single" w:color="2A2A4A" w:sz="1"/>
              <w:right w:val="single" w:color="2A2A4A" w:sz="1"/>
            </w:tcBorders>
            <w:shd w:fill="0F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E0E0E0"/>
                <w:sz w:val="18"/>
                <w:szCs w:val="18"/>
              </w:rPr>
              <w:t xml:space="preserve">Property type, built form, construction era</w:t>
            </w:r>
          </w:p>
        </w:tc>
        <w:tc>
          <w:tcPr>
            <w:tcW w:type="dxa" w:w="2800"/>
            <w:tcBorders>
              <w:top w:val="single" w:color="2A2A4A" w:sz="1"/>
              <w:left w:val="single" w:color="2A2A4A" w:sz="1"/>
              <w:bottom w:val="single" w:color="2A2A4A" w:sz="1"/>
              <w:right w:val="single" w:color="2A2A4A" w:sz="1"/>
            </w:tcBorders>
            <w:shd w:fill="0F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E0E0E0"/>
                <w:sz w:val="18"/>
                <w:szCs w:val="18"/>
              </w:rPr>
              <w:t xml:space="preserve">EPC Open Data</w:t>
            </w:r>
          </w:p>
        </w:tc>
        <w:tc>
          <w:tcPr>
            <w:tcW w:type="dxa" w:w="3726"/>
            <w:tcBorders>
              <w:top w:val="single" w:color="2A2A4A" w:sz="1"/>
              <w:left w:val="single" w:color="2A2A4A" w:sz="1"/>
              <w:bottom w:val="single" w:color="2A2A4A" w:sz="1"/>
              <w:right w:val="single" w:color="2A2A4A" w:sz="1"/>
            </w:tcBorders>
            <w:shd w:fill="0F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E0E0E0"/>
                <w:sz w:val="18"/>
                <w:szCs w:val="18"/>
              </w:rPr>
              <w:t xml:space="preserve">On EPC refresh</w:t>
            </w:r>
          </w:p>
        </w:tc>
      </w:tr>
      <w:tr>
        <w:tc>
          <w:tcPr>
            <w:tcW w:type="dxa" w:w="2500"/>
            <w:tcBorders>
              <w:top w:val="single" w:color="2A2A4A" w:sz="1"/>
              <w:left w:val="single" w:color="2A2A4A" w:sz="1"/>
              <w:bottom w:val="single" w:color="2A2A4A" w:sz="1"/>
              <w:right w:val="single" w:color="2A2A4A" w:sz="1"/>
            </w:tcBorders>
            <w:shd w:fill="0D0D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E0E0E0"/>
                <w:sz w:val="18"/>
                <w:szCs w:val="18"/>
              </w:rPr>
              <w:t xml:space="preserve">Floor area (latest known)</w:t>
            </w:r>
          </w:p>
        </w:tc>
        <w:tc>
          <w:tcPr>
            <w:tcW w:type="dxa" w:w="2800"/>
            <w:tcBorders>
              <w:top w:val="single" w:color="2A2A4A" w:sz="1"/>
              <w:left w:val="single" w:color="2A2A4A" w:sz="1"/>
              <w:bottom w:val="single" w:color="2A2A4A" w:sz="1"/>
              <w:right w:val="single" w:color="2A2A4A" w:sz="1"/>
            </w:tcBorders>
            <w:shd w:fill="0D0D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E0E0E0"/>
                <w:sz w:val="18"/>
                <w:szCs w:val="18"/>
              </w:rPr>
              <w:t xml:space="preserve">EPC Open Data</w:t>
            </w:r>
          </w:p>
        </w:tc>
        <w:tc>
          <w:tcPr>
            <w:tcW w:type="dxa" w:w="3726"/>
            <w:tcBorders>
              <w:top w:val="single" w:color="2A2A4A" w:sz="1"/>
              <w:left w:val="single" w:color="2A2A4A" w:sz="1"/>
              <w:bottom w:val="single" w:color="2A2A4A" w:sz="1"/>
              <w:right w:val="single" w:color="2A2A4A" w:sz="1"/>
            </w:tcBorders>
            <w:shd w:fill="0D0D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E0E0E0"/>
                <w:sz w:val="18"/>
                <w:szCs w:val="18"/>
              </w:rPr>
              <w:t xml:space="preserve">On EPC refresh; overridable by surveyor</w:t>
            </w:r>
          </w:p>
        </w:tc>
      </w:tr>
      <w:tr>
        <w:tc>
          <w:tcPr>
            <w:tcW w:type="dxa" w:w="2500"/>
            <w:tcBorders>
              <w:top w:val="single" w:color="2A2A4A" w:sz="1"/>
              <w:left w:val="single" w:color="2A2A4A" w:sz="1"/>
              <w:bottom w:val="single" w:color="2A2A4A" w:sz="1"/>
              <w:right w:val="single" w:color="2A2A4A" w:sz="1"/>
            </w:tcBorders>
            <w:shd w:fill="0F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E0E0E0"/>
                <w:sz w:val="18"/>
                <w:szCs w:val="18"/>
              </w:rPr>
              <w:t xml:space="preserve">EPC history (all certificates)</w:t>
            </w:r>
          </w:p>
        </w:tc>
        <w:tc>
          <w:tcPr>
            <w:tcW w:type="dxa" w:w="2800"/>
            <w:tcBorders>
              <w:top w:val="single" w:color="2A2A4A" w:sz="1"/>
              <w:left w:val="single" w:color="2A2A4A" w:sz="1"/>
              <w:bottom w:val="single" w:color="2A2A4A" w:sz="1"/>
              <w:right w:val="single" w:color="2A2A4A" w:sz="1"/>
            </w:tcBorders>
            <w:shd w:fill="0F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E0E0E0"/>
                <w:sz w:val="18"/>
                <w:szCs w:val="18"/>
              </w:rPr>
              <w:t xml:space="preserve">EPC API</w:t>
            </w:r>
          </w:p>
        </w:tc>
        <w:tc>
          <w:tcPr>
            <w:tcW w:type="dxa" w:w="3726"/>
            <w:tcBorders>
              <w:top w:val="single" w:color="2A2A4A" w:sz="1"/>
              <w:left w:val="single" w:color="2A2A4A" w:sz="1"/>
              <w:bottom w:val="single" w:color="2A2A4A" w:sz="1"/>
              <w:right w:val="single" w:color="2A2A4A" w:sz="1"/>
            </w:tcBorders>
            <w:shd w:fill="0F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E0E0E0"/>
                <w:sz w:val="18"/>
                <w:szCs w:val="18"/>
              </w:rPr>
              <w:t xml:space="preserve">Quarterly or on case creation</w:t>
            </w:r>
          </w:p>
        </w:tc>
      </w:tr>
      <w:tr>
        <w:tc>
          <w:tcPr>
            <w:tcW w:type="dxa" w:w="2500"/>
            <w:tcBorders>
              <w:top w:val="single" w:color="2A2A4A" w:sz="1"/>
              <w:left w:val="single" w:color="2A2A4A" w:sz="1"/>
              <w:bottom w:val="single" w:color="2A2A4A" w:sz="1"/>
              <w:right w:val="single" w:color="2A2A4A" w:sz="1"/>
            </w:tcBorders>
            <w:shd w:fill="0D0D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E0E0E0"/>
                <w:sz w:val="18"/>
                <w:szCs w:val="18"/>
              </w:rPr>
              <w:t xml:space="preserve">Land Registry transaction history</w:t>
            </w:r>
          </w:p>
        </w:tc>
        <w:tc>
          <w:tcPr>
            <w:tcW w:type="dxa" w:w="2800"/>
            <w:tcBorders>
              <w:top w:val="single" w:color="2A2A4A" w:sz="1"/>
              <w:left w:val="single" w:color="2A2A4A" w:sz="1"/>
              <w:bottom w:val="single" w:color="2A2A4A" w:sz="1"/>
              <w:right w:val="single" w:color="2A2A4A" w:sz="1"/>
            </w:tcBorders>
            <w:shd w:fill="0D0D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E0E0E0"/>
                <w:sz w:val="18"/>
                <w:szCs w:val="18"/>
              </w:rPr>
              <w:t xml:space="preserve">LR Price Paid SPARQL</w:t>
            </w:r>
          </w:p>
        </w:tc>
        <w:tc>
          <w:tcPr>
            <w:tcW w:type="dxa" w:w="3726"/>
            <w:tcBorders>
              <w:top w:val="single" w:color="2A2A4A" w:sz="1"/>
              <w:left w:val="single" w:color="2A2A4A" w:sz="1"/>
              <w:bottom w:val="single" w:color="2A2A4A" w:sz="1"/>
              <w:right w:val="single" w:color="2A2A4A" w:sz="1"/>
            </w:tcBorders>
            <w:shd w:fill="0D0D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E0E0E0"/>
                <w:sz w:val="18"/>
                <w:szCs w:val="18"/>
              </w:rPr>
              <w:t xml:space="preserve">Quarterly or on case creation</w:t>
            </w:r>
          </w:p>
        </w:tc>
      </w:tr>
      <w:tr>
        <w:tc>
          <w:tcPr>
            <w:tcW w:type="dxa" w:w="2500"/>
            <w:tcBorders>
              <w:top w:val="single" w:color="2A2A4A" w:sz="1"/>
              <w:left w:val="single" w:color="2A2A4A" w:sz="1"/>
              <w:bottom w:val="single" w:color="2A2A4A" w:sz="1"/>
              <w:right w:val="single" w:color="2A2A4A" w:sz="1"/>
            </w:tcBorders>
            <w:shd w:fill="0F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E0E0E0"/>
                <w:sz w:val="18"/>
                <w:szCs w:val="18"/>
              </w:rPr>
              <w:t xml:space="preserve">Flood zone classification</w:t>
            </w:r>
          </w:p>
        </w:tc>
        <w:tc>
          <w:tcPr>
            <w:tcW w:type="dxa" w:w="2800"/>
            <w:tcBorders>
              <w:top w:val="single" w:color="2A2A4A" w:sz="1"/>
              <w:left w:val="single" w:color="2A2A4A" w:sz="1"/>
              <w:bottom w:val="single" w:color="2A2A4A" w:sz="1"/>
              <w:right w:val="single" w:color="2A2A4A" w:sz="1"/>
            </w:tcBorders>
            <w:shd w:fill="0F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E0E0E0"/>
                <w:sz w:val="18"/>
                <w:szCs w:val="18"/>
              </w:rPr>
              <w:t xml:space="preserve">EA Flood Monitoring API</w:t>
            </w:r>
          </w:p>
        </w:tc>
        <w:tc>
          <w:tcPr>
            <w:tcW w:type="dxa" w:w="3726"/>
            <w:tcBorders>
              <w:top w:val="single" w:color="2A2A4A" w:sz="1"/>
              <w:left w:val="single" w:color="2A2A4A" w:sz="1"/>
              <w:bottom w:val="single" w:color="2A2A4A" w:sz="1"/>
              <w:right w:val="single" w:color="2A2A4A" w:sz="1"/>
            </w:tcBorders>
            <w:shd w:fill="0F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E0E0E0"/>
                <w:sz w:val="18"/>
                <w:szCs w:val="18"/>
              </w:rPr>
              <w:t xml:space="preserve">Annually or on case creation</w:t>
            </w:r>
          </w:p>
        </w:tc>
      </w:tr>
      <w:tr>
        <w:tc>
          <w:tcPr>
            <w:tcW w:type="dxa" w:w="2500"/>
            <w:tcBorders>
              <w:top w:val="single" w:color="2A2A4A" w:sz="1"/>
              <w:left w:val="single" w:color="2A2A4A" w:sz="1"/>
              <w:bottom w:val="single" w:color="2A2A4A" w:sz="1"/>
              <w:right w:val="single" w:color="2A2A4A" w:sz="1"/>
            </w:tcBorders>
            <w:shd w:fill="0D0D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E0E0E0"/>
                <w:sz w:val="18"/>
                <w:szCs w:val="18"/>
              </w:rPr>
              <w:t xml:space="preserve">Noise mapping (road/rail dB)</w:t>
            </w:r>
          </w:p>
        </w:tc>
        <w:tc>
          <w:tcPr>
            <w:tcW w:type="dxa" w:w="2800"/>
            <w:tcBorders>
              <w:top w:val="single" w:color="2A2A4A" w:sz="1"/>
              <w:left w:val="single" w:color="2A2A4A" w:sz="1"/>
              <w:bottom w:val="single" w:color="2A2A4A" w:sz="1"/>
              <w:right w:val="single" w:color="2A2A4A" w:sz="1"/>
            </w:tcBorders>
            <w:shd w:fill="0D0D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E0E0E0"/>
                <w:sz w:val="18"/>
                <w:szCs w:val="18"/>
              </w:rPr>
              <w:t xml:space="preserve">DEFRA ArcGIS</w:t>
            </w:r>
          </w:p>
        </w:tc>
        <w:tc>
          <w:tcPr>
            <w:tcW w:type="dxa" w:w="3726"/>
            <w:tcBorders>
              <w:top w:val="single" w:color="2A2A4A" w:sz="1"/>
              <w:left w:val="single" w:color="2A2A4A" w:sz="1"/>
              <w:bottom w:val="single" w:color="2A2A4A" w:sz="1"/>
              <w:right w:val="single" w:color="2A2A4A" w:sz="1"/>
            </w:tcBorders>
            <w:shd w:fill="0D0D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E0E0E0"/>
                <w:sz w:val="18"/>
                <w:szCs w:val="18"/>
              </w:rPr>
              <w:t xml:space="preserve">Annually</w:t>
            </w:r>
          </w:p>
        </w:tc>
      </w:tr>
      <w:tr>
        <w:tc>
          <w:tcPr>
            <w:tcW w:type="dxa" w:w="2500"/>
            <w:tcBorders>
              <w:top w:val="single" w:color="2A2A4A" w:sz="1"/>
              <w:left w:val="single" w:color="2A2A4A" w:sz="1"/>
              <w:bottom w:val="single" w:color="2A2A4A" w:sz="1"/>
              <w:right w:val="single" w:color="2A2A4A" w:sz="1"/>
            </w:tcBorders>
            <w:shd w:fill="0F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E0E0E0"/>
                <w:sz w:val="18"/>
                <w:szCs w:val="18"/>
              </w:rPr>
              <w:t xml:space="preserve">Broadband/mobile speeds</w:t>
            </w:r>
          </w:p>
        </w:tc>
        <w:tc>
          <w:tcPr>
            <w:tcW w:type="dxa" w:w="2800"/>
            <w:tcBorders>
              <w:top w:val="single" w:color="2A2A4A" w:sz="1"/>
              <w:left w:val="single" w:color="2A2A4A" w:sz="1"/>
              <w:bottom w:val="single" w:color="2A2A4A" w:sz="1"/>
              <w:right w:val="single" w:color="2A2A4A" w:sz="1"/>
            </w:tcBorders>
            <w:shd w:fill="0F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E0E0E0"/>
                <w:sz w:val="18"/>
                <w:szCs w:val="18"/>
              </w:rPr>
              <w:t xml:space="preserve">Ofcom Connected Nations</w:t>
            </w:r>
          </w:p>
        </w:tc>
        <w:tc>
          <w:tcPr>
            <w:tcW w:type="dxa" w:w="3726"/>
            <w:tcBorders>
              <w:top w:val="single" w:color="2A2A4A" w:sz="1"/>
              <w:left w:val="single" w:color="2A2A4A" w:sz="1"/>
              <w:bottom w:val="single" w:color="2A2A4A" w:sz="1"/>
              <w:right w:val="single" w:color="2A2A4A" w:sz="1"/>
            </w:tcBorders>
            <w:shd w:fill="0F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E0E0E0"/>
                <w:sz w:val="18"/>
                <w:szCs w:val="18"/>
              </w:rPr>
              <w:t xml:space="preserve">Annually</w:t>
            </w:r>
          </w:p>
        </w:tc>
      </w:tr>
      <w:tr>
        <w:tc>
          <w:tcPr>
            <w:tcW w:type="dxa" w:w="2500"/>
            <w:tcBorders>
              <w:top w:val="single" w:color="2A2A4A" w:sz="1"/>
              <w:left w:val="single" w:color="2A2A4A" w:sz="1"/>
              <w:bottom w:val="single" w:color="2A2A4A" w:sz="1"/>
              <w:right w:val="single" w:color="2A2A4A" w:sz="1"/>
            </w:tcBorders>
            <w:shd w:fill="0D0D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E0E0E0"/>
                <w:sz w:val="18"/>
                <w:szCs w:val="18"/>
              </w:rPr>
              <w:t xml:space="preserve">IMD deprivation score</w:t>
            </w:r>
          </w:p>
        </w:tc>
        <w:tc>
          <w:tcPr>
            <w:tcW w:type="dxa" w:w="2800"/>
            <w:tcBorders>
              <w:top w:val="single" w:color="2A2A4A" w:sz="1"/>
              <w:left w:val="single" w:color="2A2A4A" w:sz="1"/>
              <w:bottom w:val="single" w:color="2A2A4A" w:sz="1"/>
              <w:right w:val="single" w:color="2A2A4A" w:sz="1"/>
            </w:tcBorders>
            <w:shd w:fill="0D0D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E0E0E0"/>
                <w:sz w:val="18"/>
                <w:szCs w:val="18"/>
              </w:rPr>
              <w:t xml:space="preserve">ONS ArcGIS (LSOA level)</w:t>
            </w:r>
          </w:p>
        </w:tc>
        <w:tc>
          <w:tcPr>
            <w:tcW w:type="dxa" w:w="3726"/>
            <w:tcBorders>
              <w:top w:val="single" w:color="2A2A4A" w:sz="1"/>
              <w:left w:val="single" w:color="2A2A4A" w:sz="1"/>
              <w:bottom w:val="single" w:color="2A2A4A" w:sz="1"/>
              <w:right w:val="single" w:color="2A2A4A" w:sz="1"/>
            </w:tcBorders>
            <w:shd w:fill="0D0D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E0E0E0"/>
                <w:sz w:val="18"/>
                <w:szCs w:val="18"/>
              </w:rPr>
              <w:t xml:space="preserve">On IMD release cycle</w:t>
            </w:r>
          </w:p>
        </w:tc>
      </w:tr>
      <w:tr>
        <w:tc>
          <w:tcPr>
            <w:tcW w:type="dxa" w:w="2500"/>
            <w:tcBorders>
              <w:top w:val="single" w:color="2A2A4A" w:sz="1"/>
              <w:left w:val="single" w:color="2A2A4A" w:sz="1"/>
              <w:bottom w:val="single" w:color="2A2A4A" w:sz="1"/>
              <w:right w:val="single" w:color="2A2A4A" w:sz="1"/>
            </w:tcBorders>
            <w:shd w:fill="0F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E0E0E0"/>
                <w:sz w:val="18"/>
                <w:szCs w:val="18"/>
              </w:rPr>
              <w:t xml:space="preserve">Planning history</w:t>
            </w:r>
          </w:p>
        </w:tc>
        <w:tc>
          <w:tcPr>
            <w:tcW w:type="dxa" w:w="2800"/>
            <w:tcBorders>
              <w:top w:val="single" w:color="2A2A4A" w:sz="1"/>
              <w:left w:val="single" w:color="2A2A4A" w:sz="1"/>
              <w:bottom w:val="single" w:color="2A2A4A" w:sz="1"/>
              <w:right w:val="single" w:color="2A2A4A" w:sz="1"/>
            </w:tcBorders>
            <w:shd w:fill="0F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E0E0E0"/>
                <w:sz w:val="18"/>
                <w:szCs w:val="18"/>
              </w:rPr>
              <w:t xml:space="preserve">planning.data.gov.uk</w:t>
            </w:r>
          </w:p>
        </w:tc>
        <w:tc>
          <w:tcPr>
            <w:tcW w:type="dxa" w:w="3726"/>
            <w:tcBorders>
              <w:top w:val="single" w:color="2A2A4A" w:sz="1"/>
              <w:left w:val="single" w:color="2A2A4A" w:sz="1"/>
              <w:bottom w:val="single" w:color="2A2A4A" w:sz="1"/>
              <w:right w:val="single" w:color="2A2A4A" w:sz="1"/>
            </w:tcBorders>
            <w:shd w:fill="0F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E0E0E0"/>
                <w:sz w:val="18"/>
                <w:szCs w:val="18"/>
              </w:rPr>
              <w:t xml:space="preserve">Quarterly</w:t>
            </w:r>
          </w:p>
        </w:tc>
      </w:tr>
      <w:tr>
        <w:tc>
          <w:tcPr>
            <w:tcW w:type="dxa" w:w="2500"/>
            <w:tcBorders>
              <w:top w:val="single" w:color="2A2A4A" w:sz="1"/>
              <w:left w:val="single" w:color="2A2A4A" w:sz="1"/>
              <w:bottom w:val="single" w:color="2A2A4A" w:sz="1"/>
              <w:right w:val="single" w:color="2A2A4A" w:sz="1"/>
            </w:tcBorders>
            <w:shd w:fill="0D0D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E0E0E0"/>
                <w:sz w:val="18"/>
                <w:szCs w:val="18"/>
              </w:rPr>
              <w:t xml:space="preserve">Listed building / conservation area</w:t>
            </w:r>
          </w:p>
        </w:tc>
        <w:tc>
          <w:tcPr>
            <w:tcW w:type="dxa" w:w="2800"/>
            <w:tcBorders>
              <w:top w:val="single" w:color="2A2A4A" w:sz="1"/>
              <w:left w:val="single" w:color="2A2A4A" w:sz="1"/>
              <w:bottom w:val="single" w:color="2A2A4A" w:sz="1"/>
              <w:right w:val="single" w:color="2A2A4A" w:sz="1"/>
            </w:tcBorders>
            <w:shd w:fill="0D0D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E0E0E0"/>
                <w:sz w:val="18"/>
                <w:szCs w:val="18"/>
              </w:rPr>
              <w:t xml:space="preserve">Historic England NHLE</w:t>
            </w:r>
          </w:p>
        </w:tc>
        <w:tc>
          <w:tcPr>
            <w:tcW w:type="dxa" w:w="3726"/>
            <w:tcBorders>
              <w:top w:val="single" w:color="2A2A4A" w:sz="1"/>
              <w:left w:val="single" w:color="2A2A4A" w:sz="1"/>
              <w:bottom w:val="single" w:color="2A2A4A" w:sz="1"/>
              <w:right w:val="single" w:color="2A2A4A" w:sz="1"/>
            </w:tcBorders>
            <w:shd w:fill="0D0D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E0E0E0"/>
                <w:sz w:val="18"/>
                <w:szCs w:val="18"/>
              </w:rPr>
              <w:t xml:space="preserve">On case creation</w:t>
            </w:r>
          </w:p>
        </w:tc>
      </w:tr>
      <w:tr>
        <w:tc>
          <w:tcPr>
            <w:tcW w:type="dxa" w:w="2500"/>
            <w:tcBorders>
              <w:top w:val="single" w:color="2A2A4A" w:sz="1"/>
              <w:left w:val="single" w:color="2A2A4A" w:sz="1"/>
              <w:bottom w:val="single" w:color="2A2A4A" w:sz="1"/>
              <w:right w:val="single" w:color="2A2A4A" w:sz="1"/>
            </w:tcBorders>
            <w:shd w:fill="0F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E0E0E0"/>
                <w:sz w:val="18"/>
                <w:szCs w:val="18"/>
              </w:rPr>
              <w:t xml:space="preserve">Schools proximity</w:t>
            </w:r>
          </w:p>
        </w:tc>
        <w:tc>
          <w:tcPr>
            <w:tcW w:type="dxa" w:w="2800"/>
            <w:tcBorders>
              <w:top w:val="single" w:color="2A2A4A" w:sz="1"/>
              <w:left w:val="single" w:color="2A2A4A" w:sz="1"/>
              <w:bottom w:val="single" w:color="2A2A4A" w:sz="1"/>
              <w:right w:val="single" w:color="2A2A4A" w:sz="1"/>
            </w:tcBorders>
            <w:shd w:fill="0F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E0E0E0"/>
                <w:sz w:val="18"/>
                <w:szCs w:val="18"/>
              </w:rPr>
              <w:t xml:space="preserve">GIAS (DfE)</w:t>
            </w:r>
          </w:p>
        </w:tc>
        <w:tc>
          <w:tcPr>
            <w:tcW w:type="dxa" w:w="3726"/>
            <w:tcBorders>
              <w:top w:val="single" w:color="2A2A4A" w:sz="1"/>
              <w:left w:val="single" w:color="2A2A4A" w:sz="1"/>
              <w:bottom w:val="single" w:color="2A2A4A" w:sz="1"/>
              <w:right w:val="single" w:color="2A2A4A" w:sz="1"/>
            </w:tcBorders>
            <w:shd w:fill="0F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E0E0E0"/>
                <w:sz w:val="18"/>
                <w:szCs w:val="18"/>
              </w:rPr>
              <w:t xml:space="preserve">Annually</w:t>
            </w:r>
          </w:p>
        </w:tc>
      </w:tr>
      <w:tr>
        <w:tc>
          <w:tcPr>
            <w:tcW w:type="dxa" w:w="2500"/>
            <w:tcBorders>
              <w:top w:val="single" w:color="2A2A4A" w:sz="1"/>
              <w:left w:val="single" w:color="2A2A4A" w:sz="1"/>
              <w:bottom w:val="single" w:color="2A2A4A" w:sz="1"/>
              <w:right w:val="single" w:color="2A2A4A" w:sz="1"/>
            </w:tcBorders>
            <w:shd w:fill="0D0D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E0E0E0"/>
                <w:sz w:val="18"/>
                <w:szCs w:val="18"/>
              </w:rPr>
              <w:t xml:space="preserve">Transport accessibility</w:t>
            </w:r>
          </w:p>
        </w:tc>
        <w:tc>
          <w:tcPr>
            <w:tcW w:type="dxa" w:w="2800"/>
            <w:tcBorders>
              <w:top w:val="single" w:color="2A2A4A" w:sz="1"/>
              <w:left w:val="single" w:color="2A2A4A" w:sz="1"/>
              <w:bottom w:val="single" w:color="2A2A4A" w:sz="1"/>
              <w:right w:val="single" w:color="2A2A4A" w:sz="1"/>
            </w:tcBorders>
            <w:shd w:fill="0D0D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E0E0E0"/>
                <w:sz w:val="18"/>
                <w:szCs w:val="18"/>
              </w:rPr>
              <w:t xml:space="preserve">NaPTAN / TfL</w:t>
            </w:r>
          </w:p>
        </w:tc>
        <w:tc>
          <w:tcPr>
            <w:tcW w:type="dxa" w:w="3726"/>
            <w:tcBorders>
              <w:top w:val="single" w:color="2A2A4A" w:sz="1"/>
              <w:left w:val="single" w:color="2A2A4A" w:sz="1"/>
              <w:bottom w:val="single" w:color="2A2A4A" w:sz="1"/>
              <w:right w:val="single" w:color="2A2A4A" w:sz="1"/>
            </w:tcBorders>
            <w:shd w:fill="0D0D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E0E0E0"/>
                <w:sz w:val="18"/>
                <w:szCs w:val="18"/>
              </w:rPr>
              <w:t xml:space="preserve">Annually</w:t>
            </w:r>
          </w:p>
        </w:tc>
      </w:tr>
    </w:tbl>
    <w:p>
      <w:pPr>
        <w:spacing w:before="60" w:after="6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0E0E0"/>
          <w:sz w:val="20"/>
          <w:szCs w:val="20"/>
        </w:rPr>
        <w:t xml:space="preserve">Each enrichment block carries a fetched_at timestamp. The system refreshes stale data automatically or on demand when a new case is opened.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2E97" w:sz="4"/>
              <w:left w:val="single" w:color="2A2A4A" w:sz="1"/>
              <w:bottom w:val="single" w:color="2A2A4A" w:sz="1"/>
              <w:right w:val="single" w:color="2A2A4A" w:sz="1"/>
            </w:tcBorders>
            <w:shd w:fill="1A0A1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2E97"/>
                <w:sz w:val="20"/>
                <w:szCs w:val="20"/>
              </w:rPr>
              <w:t xml:space="preserve">⚠ RISK — Data Staleness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E0E0E0"/>
                <w:sz w:val="18"/>
                <w:szCs w:val="18"/>
              </w:rPr>
              <w:t xml:space="preserve">Enrichment data ages at different rates. EPC data can be 10 years old. Flood zones change after major infrastructure. The platform must surface the fetched_at date to the surveyor and flag data older than configurable thresholds (e.g., EPC &gt; 5 years, flood &gt; 2 years). The surveyor must always be able to override or annotate stale data.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2E97" w:sz="4"/>
              <w:left w:val="single" w:color="2A2A4A" w:sz="1"/>
              <w:bottom w:val="single" w:color="2A2A4A" w:sz="1"/>
              <w:right w:val="single" w:color="2A2A4A" w:sz="1"/>
            </w:tcBorders>
            <w:shd w:fill="1A0A1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2E97"/>
                <w:sz w:val="20"/>
                <w:szCs w:val="20"/>
              </w:rPr>
              <w:t xml:space="preserve">⚠ RISK — UPRN Resolution Failure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E0E0E0"/>
                <w:sz w:val="18"/>
                <w:szCs w:val="18"/>
              </w:rPr>
              <w:t xml:space="preserve">Not all properties can be resolved to a UPRN via free APIs. New-builds, subdivisions, and properties without an EPC may not appear. The platform must allow a case to proceed without a confirmed UPRN, using a provisional/manual address as fallback, with a flag to resolve the UPRN later. Never block a surveyor from working because the UPRN lookup failed.</w:t>
            </w:r>
          </w:p>
        </w:tc>
      </w:tr>
    </w:tbl>
    <w:p>
      <w:r>
        <w:br w:type="page"/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FF2E97"/>
          <w:sz w:val="26"/>
          <w:szCs w:val="26"/>
        </w:rPr>
        <w:t xml:space="preserve">2.2 Tier 2 — The Case Record (Valuation Instruction Level)</w:t>
      </w:r>
    </w:p>
    <w:p>
      <w:pPr>
        <w:spacing w:before="60" w:after="6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0E0E0"/>
          <w:sz w:val="20"/>
          <w:szCs w:val="20"/>
        </w:rPr>
        <w:t xml:space="preserve">The surveyor's working file for a specific instruction. Always linked to a Tier 1 property record via UPRN. Captures everything specific to this particular valuation at this particular moment in time.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FFB800"/>
          <w:sz w:val="22"/>
          <w:szCs w:val="22"/>
        </w:rPr>
        <w:t xml:space="preserve">Case Types</w:t>
      </w:r>
    </w:p>
    <w:p>
      <w:pPr>
        <w:spacing w:before="60" w:after="6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0E0E0"/>
          <w:sz w:val="20"/>
          <w:szCs w:val="20"/>
        </w:rPr>
        <w:t xml:space="preserve">The platform supports five case types, each governing the workflow, mandatory fields, and report template:</w:t>
      </w:r>
    </w:p>
    <w:tbl>
      <w:tblPr>
        <w:tblW w:type="dxa" w:w="8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1200"/>
        <w:gridCol w:w="1800"/>
        <w:gridCol w:w="1826"/>
      </w:tblGrid>
      <w:tr>
        <w:trPr>
          <w:tblHeader/>
        </w:trPr>
        <w:tc>
          <w:tcPr>
            <w:tcW w:type="dxa" w:w="1400"/>
            <w:tcBorders>
              <w:top w:val="single" w:color="2A2A4A" w:sz="1"/>
              <w:left w:val="single" w:color="2A2A4A" w:sz="1"/>
              <w:bottom w:val="single" w:color="2A2A4A" w:sz="1"/>
              <w:right w:val="single" w:color="2A2A4A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F0FF"/>
                <w:sz w:val="18"/>
                <w:szCs w:val="18"/>
              </w:rPr>
              <w:t xml:space="preserve">Case Type</w:t>
            </w:r>
          </w:p>
        </w:tc>
        <w:tc>
          <w:tcPr>
            <w:tcW w:type="dxa" w:w="1800"/>
            <w:tcBorders>
              <w:top w:val="single" w:color="2A2A4A" w:sz="1"/>
              <w:left w:val="single" w:color="2A2A4A" w:sz="1"/>
              <w:bottom w:val="single" w:color="2A2A4A" w:sz="1"/>
              <w:right w:val="single" w:color="2A2A4A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F0FF"/>
                <w:sz w:val="18"/>
                <w:szCs w:val="18"/>
              </w:rPr>
              <w:t xml:space="preserve">Purpose</w:t>
            </w:r>
          </w:p>
        </w:tc>
        <w:tc>
          <w:tcPr>
            <w:tcW w:type="dxa" w:w="1200"/>
            <w:tcBorders>
              <w:top w:val="single" w:color="2A2A4A" w:sz="1"/>
              <w:left w:val="single" w:color="2A2A4A" w:sz="1"/>
              <w:bottom w:val="single" w:color="2A2A4A" w:sz="1"/>
              <w:right w:val="single" w:color="2A2A4A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F0FF"/>
                <w:sz w:val="18"/>
                <w:szCs w:val="18"/>
              </w:rPr>
              <w:t xml:space="preserve">Inspection</w:t>
            </w:r>
          </w:p>
        </w:tc>
        <w:tc>
          <w:tcPr>
            <w:tcW w:type="dxa" w:w="1800"/>
            <w:tcBorders>
              <w:top w:val="single" w:color="2A2A4A" w:sz="1"/>
              <w:left w:val="single" w:color="2A2A4A" w:sz="1"/>
              <w:bottom w:val="single" w:color="2A2A4A" w:sz="1"/>
              <w:right w:val="single" w:color="2A2A4A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F0FF"/>
                <w:sz w:val="18"/>
                <w:szCs w:val="18"/>
              </w:rPr>
              <w:t xml:space="preserve">Report Output</w:t>
            </w:r>
          </w:p>
        </w:tc>
        <w:tc>
          <w:tcPr>
            <w:tcW w:type="dxa" w:w="1826"/>
            <w:tcBorders>
              <w:top w:val="single" w:color="2A2A4A" w:sz="1"/>
              <w:left w:val="single" w:color="2A2A4A" w:sz="1"/>
              <w:bottom w:val="single" w:color="2A2A4A" w:sz="1"/>
              <w:right w:val="single" w:color="2A2A4A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F0FF"/>
                <w:sz w:val="18"/>
                <w:szCs w:val="18"/>
              </w:rPr>
              <w:t xml:space="preserve">Mandatory Fields</w:t>
            </w:r>
          </w:p>
        </w:tc>
      </w:tr>
      <w:tr>
        <w:tc>
          <w:tcPr>
            <w:tcW w:type="dxa" w:w="1400"/>
            <w:tcBorders>
              <w:top w:val="single" w:color="2A2A4A" w:sz="1"/>
              <w:left w:val="single" w:color="2A2A4A" w:sz="1"/>
              <w:bottom w:val="single" w:color="2A2A4A" w:sz="1"/>
              <w:right w:val="single" w:color="2A2A4A" w:sz="1"/>
            </w:tcBorders>
            <w:shd w:fill="0D0D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E0E0E0"/>
                <w:sz w:val="18"/>
                <w:szCs w:val="18"/>
              </w:rPr>
              <w:t xml:space="preserve">Research</w:t>
            </w:r>
          </w:p>
        </w:tc>
        <w:tc>
          <w:tcPr>
            <w:tcW w:type="dxa" w:w="1800"/>
            <w:tcBorders>
              <w:top w:val="single" w:color="2A2A4A" w:sz="1"/>
              <w:left w:val="single" w:color="2A2A4A" w:sz="1"/>
              <w:bottom w:val="single" w:color="2A2A4A" w:sz="1"/>
              <w:right w:val="single" w:color="2A2A4A" w:sz="1"/>
            </w:tcBorders>
            <w:shd w:fill="0D0D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E0E0E0"/>
                <w:sz w:val="18"/>
                <w:szCs w:val="18"/>
              </w:rPr>
              <w:t xml:space="preserve">Quick data lookup, no instruction</w:t>
            </w:r>
          </w:p>
        </w:tc>
        <w:tc>
          <w:tcPr>
            <w:tcW w:type="dxa" w:w="1200"/>
            <w:tcBorders>
              <w:top w:val="single" w:color="2A2A4A" w:sz="1"/>
              <w:left w:val="single" w:color="2A2A4A" w:sz="1"/>
              <w:bottom w:val="single" w:color="2A2A4A" w:sz="1"/>
              <w:right w:val="single" w:color="2A2A4A" w:sz="1"/>
            </w:tcBorders>
            <w:shd w:fill="0D0D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E0E0E0"/>
                <w:sz w:val="18"/>
                <w:szCs w:val="18"/>
              </w:rPr>
              <w:t xml:space="preserve">None</w:t>
            </w:r>
          </w:p>
        </w:tc>
        <w:tc>
          <w:tcPr>
            <w:tcW w:type="dxa" w:w="1800"/>
            <w:tcBorders>
              <w:top w:val="single" w:color="2A2A4A" w:sz="1"/>
              <w:left w:val="single" w:color="2A2A4A" w:sz="1"/>
              <w:bottom w:val="single" w:color="2A2A4A" w:sz="1"/>
              <w:right w:val="single" w:color="2A2A4A" w:sz="1"/>
            </w:tcBorders>
            <w:shd w:fill="0D0D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E0E0E0"/>
                <w:sz w:val="18"/>
                <w:szCs w:val="18"/>
              </w:rPr>
              <w:t xml:space="preserve">Optional property snapshot export</w:t>
            </w:r>
          </w:p>
        </w:tc>
        <w:tc>
          <w:tcPr>
            <w:tcW w:type="dxa" w:w="1826"/>
            <w:tcBorders>
              <w:top w:val="single" w:color="2A2A4A" w:sz="1"/>
              <w:left w:val="single" w:color="2A2A4A" w:sz="1"/>
              <w:bottom w:val="single" w:color="2A2A4A" w:sz="1"/>
              <w:right w:val="single" w:color="2A2A4A" w:sz="1"/>
            </w:tcBorders>
            <w:shd w:fill="0D0D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E0E0E0"/>
                <w:sz w:val="18"/>
                <w:szCs w:val="18"/>
              </w:rPr>
              <w:t xml:space="preserve">Address only</w:t>
            </w:r>
          </w:p>
        </w:tc>
      </w:tr>
      <w:tr>
        <w:tc>
          <w:tcPr>
            <w:tcW w:type="dxa" w:w="1400"/>
            <w:tcBorders>
              <w:top w:val="single" w:color="2A2A4A" w:sz="1"/>
              <w:left w:val="single" w:color="2A2A4A" w:sz="1"/>
              <w:bottom w:val="single" w:color="2A2A4A" w:sz="1"/>
              <w:right w:val="single" w:color="2A2A4A" w:sz="1"/>
            </w:tcBorders>
            <w:shd w:fill="0F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E0E0E0"/>
                <w:sz w:val="18"/>
                <w:szCs w:val="18"/>
              </w:rPr>
              <w:t xml:space="preserve">Quotation</w:t>
            </w:r>
          </w:p>
        </w:tc>
        <w:tc>
          <w:tcPr>
            <w:tcW w:type="dxa" w:w="1800"/>
            <w:tcBorders>
              <w:top w:val="single" w:color="2A2A4A" w:sz="1"/>
              <w:left w:val="single" w:color="2A2A4A" w:sz="1"/>
              <w:bottom w:val="single" w:color="2A2A4A" w:sz="1"/>
              <w:right w:val="single" w:color="2A2A4A" w:sz="1"/>
            </w:tcBorders>
            <w:shd w:fill="0F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E0E0E0"/>
                <w:sz w:val="18"/>
                <w:szCs w:val="18"/>
              </w:rPr>
              <w:t xml:space="preserve">Fee proposal before instruction</w:t>
            </w:r>
          </w:p>
        </w:tc>
        <w:tc>
          <w:tcPr>
            <w:tcW w:type="dxa" w:w="1200"/>
            <w:tcBorders>
              <w:top w:val="single" w:color="2A2A4A" w:sz="1"/>
              <w:left w:val="single" w:color="2A2A4A" w:sz="1"/>
              <w:bottom w:val="single" w:color="2A2A4A" w:sz="1"/>
              <w:right w:val="single" w:color="2A2A4A" w:sz="1"/>
            </w:tcBorders>
            <w:shd w:fill="0F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E0E0E0"/>
                <w:sz w:val="18"/>
                <w:szCs w:val="18"/>
              </w:rPr>
              <w:t xml:space="preserve">None</w:t>
            </w:r>
          </w:p>
        </w:tc>
        <w:tc>
          <w:tcPr>
            <w:tcW w:type="dxa" w:w="1800"/>
            <w:tcBorders>
              <w:top w:val="single" w:color="2A2A4A" w:sz="1"/>
              <w:left w:val="single" w:color="2A2A4A" w:sz="1"/>
              <w:bottom w:val="single" w:color="2A2A4A" w:sz="1"/>
              <w:right w:val="single" w:color="2A2A4A" w:sz="1"/>
            </w:tcBorders>
            <w:shd w:fill="0F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E0E0E0"/>
                <w:sz w:val="18"/>
                <w:szCs w:val="18"/>
              </w:rPr>
              <w:t xml:space="preserve">Fee proposal letter</w:t>
            </w:r>
          </w:p>
        </w:tc>
        <w:tc>
          <w:tcPr>
            <w:tcW w:type="dxa" w:w="1826"/>
            <w:tcBorders>
              <w:top w:val="single" w:color="2A2A4A" w:sz="1"/>
              <w:left w:val="single" w:color="2A2A4A" w:sz="1"/>
              <w:bottom w:val="single" w:color="2A2A4A" w:sz="1"/>
              <w:right w:val="single" w:color="2A2A4A" w:sz="1"/>
            </w:tcBorders>
            <w:shd w:fill="0F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E0E0E0"/>
                <w:sz w:val="18"/>
                <w:szCs w:val="18"/>
              </w:rPr>
              <w:t xml:space="preserve">Address, client, proposed fee, scope</w:t>
            </w:r>
          </w:p>
        </w:tc>
      </w:tr>
      <w:tr>
        <w:tc>
          <w:tcPr>
            <w:tcW w:type="dxa" w:w="1400"/>
            <w:tcBorders>
              <w:top w:val="single" w:color="2A2A4A" w:sz="1"/>
              <w:left w:val="single" w:color="2A2A4A" w:sz="1"/>
              <w:bottom w:val="single" w:color="2A2A4A" w:sz="1"/>
              <w:right w:val="single" w:color="2A2A4A" w:sz="1"/>
            </w:tcBorders>
            <w:shd w:fill="0D0D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E0E0E0"/>
                <w:sz w:val="18"/>
                <w:szCs w:val="18"/>
              </w:rPr>
              <w:t xml:space="preserve">Indicative Valuation</w:t>
            </w:r>
          </w:p>
        </w:tc>
        <w:tc>
          <w:tcPr>
            <w:tcW w:type="dxa" w:w="1800"/>
            <w:tcBorders>
              <w:top w:val="single" w:color="2A2A4A" w:sz="1"/>
              <w:left w:val="single" w:color="2A2A4A" w:sz="1"/>
              <w:bottom w:val="single" w:color="2A2A4A" w:sz="1"/>
              <w:right w:val="single" w:color="2A2A4A" w:sz="1"/>
            </w:tcBorders>
            <w:shd w:fill="0D0D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E0E0E0"/>
                <w:sz w:val="18"/>
                <w:szCs w:val="18"/>
              </w:rPr>
              <w:t xml:space="preserve">Informal guidance, lower liability</w:t>
            </w:r>
          </w:p>
        </w:tc>
        <w:tc>
          <w:tcPr>
            <w:tcW w:type="dxa" w:w="1200"/>
            <w:tcBorders>
              <w:top w:val="single" w:color="2A2A4A" w:sz="1"/>
              <w:left w:val="single" w:color="2A2A4A" w:sz="1"/>
              <w:bottom w:val="single" w:color="2A2A4A" w:sz="1"/>
              <w:right w:val="single" w:color="2A2A4A" w:sz="1"/>
            </w:tcBorders>
            <w:shd w:fill="0D0D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E0E0E0"/>
                <w:sz w:val="18"/>
                <w:szCs w:val="18"/>
              </w:rPr>
              <w:t xml:space="preserve">Optional</w:t>
            </w:r>
          </w:p>
        </w:tc>
        <w:tc>
          <w:tcPr>
            <w:tcW w:type="dxa" w:w="1800"/>
            <w:tcBorders>
              <w:top w:val="single" w:color="2A2A4A" w:sz="1"/>
              <w:left w:val="single" w:color="2A2A4A" w:sz="1"/>
              <w:bottom w:val="single" w:color="2A2A4A" w:sz="1"/>
              <w:right w:val="single" w:color="2A2A4A" w:sz="1"/>
            </w:tcBorders>
            <w:shd w:fill="0D0D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E0E0E0"/>
                <w:sz w:val="18"/>
                <w:szCs w:val="18"/>
              </w:rPr>
              <w:t xml:space="preserve">Summary letter (1-2 pages)</w:t>
            </w:r>
          </w:p>
        </w:tc>
        <w:tc>
          <w:tcPr>
            <w:tcW w:type="dxa" w:w="1826"/>
            <w:tcBorders>
              <w:top w:val="single" w:color="2A2A4A" w:sz="1"/>
              <w:left w:val="single" w:color="2A2A4A" w:sz="1"/>
              <w:bottom w:val="single" w:color="2A2A4A" w:sz="1"/>
              <w:right w:val="single" w:color="2A2A4A" w:sz="1"/>
            </w:tcBorders>
            <w:shd w:fill="0D0D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E0E0E0"/>
                <w:sz w:val="18"/>
                <w:szCs w:val="18"/>
              </w:rPr>
              <w:t xml:space="preserve">Address, basis of value, figure or range</w:t>
            </w:r>
          </w:p>
        </w:tc>
      </w:tr>
      <w:tr>
        <w:tc>
          <w:tcPr>
            <w:tcW w:type="dxa" w:w="1400"/>
            <w:tcBorders>
              <w:top w:val="single" w:color="2A2A4A" w:sz="1"/>
              <w:left w:val="single" w:color="2A2A4A" w:sz="1"/>
              <w:bottom w:val="single" w:color="2A2A4A" w:sz="1"/>
              <w:right w:val="single" w:color="2A2A4A" w:sz="1"/>
            </w:tcBorders>
            <w:shd w:fill="0F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E0E0E0"/>
                <w:sz w:val="18"/>
                <w:szCs w:val="18"/>
              </w:rPr>
              <w:t xml:space="preserve">Desktop Valuation</w:t>
            </w:r>
          </w:p>
        </w:tc>
        <w:tc>
          <w:tcPr>
            <w:tcW w:type="dxa" w:w="1800"/>
            <w:tcBorders>
              <w:top w:val="single" w:color="2A2A4A" w:sz="1"/>
              <w:left w:val="single" w:color="2A2A4A" w:sz="1"/>
              <w:bottom w:val="single" w:color="2A2A4A" w:sz="1"/>
              <w:right w:val="single" w:color="2A2A4A" w:sz="1"/>
            </w:tcBorders>
            <w:shd w:fill="0F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E0E0E0"/>
                <w:sz w:val="18"/>
                <w:szCs w:val="18"/>
              </w:rPr>
              <w:t xml:space="preserve">Formal valuation without inspection</w:t>
            </w:r>
          </w:p>
        </w:tc>
        <w:tc>
          <w:tcPr>
            <w:tcW w:type="dxa" w:w="1200"/>
            <w:tcBorders>
              <w:top w:val="single" w:color="2A2A4A" w:sz="1"/>
              <w:left w:val="single" w:color="2A2A4A" w:sz="1"/>
              <w:bottom w:val="single" w:color="2A2A4A" w:sz="1"/>
              <w:right w:val="single" w:color="2A2A4A" w:sz="1"/>
            </w:tcBorders>
            <w:shd w:fill="0F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E0E0E0"/>
                <w:sz w:val="18"/>
                <w:szCs w:val="18"/>
              </w:rPr>
              <w:t xml:space="preserve">None (disclosed)</w:t>
            </w:r>
          </w:p>
        </w:tc>
        <w:tc>
          <w:tcPr>
            <w:tcW w:type="dxa" w:w="1800"/>
            <w:tcBorders>
              <w:top w:val="single" w:color="2A2A4A" w:sz="1"/>
              <w:left w:val="single" w:color="2A2A4A" w:sz="1"/>
              <w:bottom w:val="single" w:color="2A2A4A" w:sz="1"/>
              <w:right w:val="single" w:color="2A2A4A" w:sz="1"/>
            </w:tcBorders>
            <w:shd w:fill="0F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E0E0E0"/>
                <w:sz w:val="18"/>
                <w:szCs w:val="18"/>
              </w:rPr>
              <w:t xml:space="preserve">Formal report with desktop caveats</w:t>
            </w:r>
          </w:p>
        </w:tc>
        <w:tc>
          <w:tcPr>
            <w:tcW w:type="dxa" w:w="1826"/>
            <w:tcBorders>
              <w:top w:val="single" w:color="2A2A4A" w:sz="1"/>
              <w:left w:val="single" w:color="2A2A4A" w:sz="1"/>
              <w:bottom w:val="single" w:color="2A2A4A" w:sz="1"/>
              <w:right w:val="single" w:color="2A2A4A" w:sz="1"/>
            </w:tcBorders>
            <w:shd w:fill="0F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E0E0E0"/>
                <w:sz w:val="18"/>
                <w:szCs w:val="18"/>
              </w:rPr>
              <w:t xml:space="preserve">Full — minus inspection fields</w:t>
            </w:r>
          </w:p>
        </w:tc>
      </w:tr>
      <w:tr>
        <w:tc>
          <w:tcPr>
            <w:tcW w:type="dxa" w:w="1400"/>
            <w:tcBorders>
              <w:top w:val="single" w:color="2A2A4A" w:sz="1"/>
              <w:left w:val="single" w:color="2A2A4A" w:sz="1"/>
              <w:bottom w:val="single" w:color="2A2A4A" w:sz="1"/>
              <w:right w:val="single" w:color="2A2A4A" w:sz="1"/>
            </w:tcBorders>
            <w:shd w:fill="0D0D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E0E0E0"/>
                <w:sz w:val="18"/>
                <w:szCs w:val="18"/>
              </w:rPr>
              <w:t xml:space="preserve">Full Valuation</w:t>
            </w:r>
          </w:p>
        </w:tc>
        <w:tc>
          <w:tcPr>
            <w:tcW w:type="dxa" w:w="1800"/>
            <w:tcBorders>
              <w:top w:val="single" w:color="2A2A4A" w:sz="1"/>
              <w:left w:val="single" w:color="2A2A4A" w:sz="1"/>
              <w:bottom w:val="single" w:color="2A2A4A" w:sz="1"/>
              <w:right w:val="single" w:color="2A2A4A" w:sz="1"/>
            </w:tcBorders>
            <w:shd w:fill="0D0D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E0E0E0"/>
                <w:sz w:val="18"/>
                <w:szCs w:val="18"/>
              </w:rPr>
              <w:t xml:space="preserve">Red Book compliant, full inspection</w:t>
            </w:r>
          </w:p>
        </w:tc>
        <w:tc>
          <w:tcPr>
            <w:tcW w:type="dxa" w:w="1200"/>
            <w:tcBorders>
              <w:top w:val="single" w:color="2A2A4A" w:sz="1"/>
              <w:left w:val="single" w:color="2A2A4A" w:sz="1"/>
              <w:bottom w:val="single" w:color="2A2A4A" w:sz="1"/>
              <w:right w:val="single" w:color="2A2A4A" w:sz="1"/>
            </w:tcBorders>
            <w:shd w:fill="0D0D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E0E0E0"/>
                <w:sz w:val="18"/>
                <w:szCs w:val="18"/>
              </w:rPr>
              <w:t xml:space="preserve">Required</w:t>
            </w:r>
          </w:p>
        </w:tc>
        <w:tc>
          <w:tcPr>
            <w:tcW w:type="dxa" w:w="1800"/>
            <w:tcBorders>
              <w:top w:val="single" w:color="2A2A4A" w:sz="1"/>
              <w:left w:val="single" w:color="2A2A4A" w:sz="1"/>
              <w:bottom w:val="single" w:color="2A2A4A" w:sz="1"/>
              <w:right w:val="single" w:color="2A2A4A" w:sz="1"/>
            </w:tcBorders>
            <w:shd w:fill="0D0D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E0E0E0"/>
                <w:sz w:val="18"/>
                <w:szCs w:val="18"/>
              </w:rPr>
              <w:t xml:space="preserve">Complete Red Book report</w:t>
            </w:r>
          </w:p>
        </w:tc>
        <w:tc>
          <w:tcPr>
            <w:tcW w:type="dxa" w:w="1826"/>
            <w:tcBorders>
              <w:top w:val="single" w:color="2A2A4A" w:sz="1"/>
              <w:left w:val="single" w:color="2A2A4A" w:sz="1"/>
              <w:bottom w:val="single" w:color="2A2A4A" w:sz="1"/>
              <w:right w:val="single" w:color="2A2A4A" w:sz="1"/>
            </w:tcBorders>
            <w:shd w:fill="0D0D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E0E0E0"/>
                <w:sz w:val="18"/>
                <w:szCs w:val="18"/>
              </w:rPr>
              <w:t xml:space="preserve">All fields mandatory</w:t>
            </w:r>
          </w:p>
        </w:tc>
      </w:tr>
    </w:tbl>
    <w:p>
      <w:pPr>
        <w:spacing w:before="200" w:after="100"/>
      </w:pPr>
      <w:r>
        <w:rPr>
          <w:rFonts w:ascii="Arial" w:cs="Arial" w:eastAsia="Arial" w:hAnsi="Arial"/>
          <w:b/>
          <w:bCs/>
          <w:color w:val="FFB800"/>
          <w:sz w:val="22"/>
          <w:szCs w:val="22"/>
        </w:rPr>
        <w:t xml:space="preserve">Case Lifecycle &amp; Status Flow</w:t>
      </w:r>
    </w:p>
    <w:p>
      <w:pPr>
        <w:spacing w:before="60" w:after="6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0E0E0"/>
          <w:sz w:val="20"/>
          <w:szCs w:val="20"/>
        </w:rPr>
        <w:t xml:space="preserve">Each case type follows a defined status progression. The platform enforces the sequence — a case cannot skip statuses or move backwards (except from in_progress back to draft for rework).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2A2A4A" w:sz="1"/>
              <w:left w:val="single" w:color="2A2A4A" w:sz="1"/>
              <w:bottom w:val="single" w:color="2A2A4A" w:sz="1"/>
              <w:right w:val="single" w:color="2A2A4A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F0FF"/>
                <w:sz w:val="18"/>
                <w:szCs w:val="18"/>
              </w:rPr>
              <w:t xml:space="preserve">Case Type</w:t>
            </w:r>
          </w:p>
        </w:tc>
        <w:tc>
          <w:tcPr>
            <w:tcW w:type="dxa" w:w="6526"/>
            <w:tcBorders>
              <w:top w:val="single" w:color="2A2A4A" w:sz="1"/>
              <w:left w:val="single" w:color="2A2A4A" w:sz="1"/>
              <w:bottom w:val="single" w:color="2A2A4A" w:sz="1"/>
              <w:right w:val="single" w:color="2A2A4A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F0FF"/>
                <w:sz w:val="18"/>
                <w:szCs w:val="18"/>
              </w:rPr>
              <w:t xml:space="preserve">Status Progression</w:t>
            </w:r>
          </w:p>
        </w:tc>
      </w:tr>
      <w:tr>
        <w:tc>
          <w:tcPr>
            <w:tcW w:type="dxa" w:w="2500"/>
            <w:tcBorders>
              <w:top w:val="single" w:color="2A2A4A" w:sz="1"/>
              <w:left w:val="single" w:color="2A2A4A" w:sz="1"/>
              <w:bottom w:val="single" w:color="2A2A4A" w:sz="1"/>
              <w:right w:val="single" w:color="2A2A4A" w:sz="1"/>
            </w:tcBorders>
            <w:shd w:fill="0D0D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E0E0E0"/>
                <w:sz w:val="18"/>
                <w:szCs w:val="18"/>
              </w:rPr>
              <w:t xml:space="preserve">Research</w:t>
            </w:r>
          </w:p>
        </w:tc>
        <w:tc>
          <w:tcPr>
            <w:tcW w:type="dxa" w:w="6526"/>
            <w:tcBorders>
              <w:top w:val="single" w:color="2A2A4A" w:sz="1"/>
              <w:left w:val="single" w:color="2A2A4A" w:sz="1"/>
              <w:bottom w:val="single" w:color="2A2A4A" w:sz="1"/>
              <w:right w:val="single" w:color="2A2A4A" w:sz="1"/>
            </w:tcBorders>
            <w:shd w:fill="0D0D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E0E0E0"/>
                <w:sz w:val="18"/>
                <w:szCs w:val="18"/>
              </w:rPr>
              <w:t xml:space="preserve">active → archived</w:t>
            </w:r>
          </w:p>
        </w:tc>
      </w:tr>
      <w:tr>
        <w:tc>
          <w:tcPr>
            <w:tcW w:type="dxa" w:w="2500"/>
            <w:tcBorders>
              <w:top w:val="single" w:color="2A2A4A" w:sz="1"/>
              <w:left w:val="single" w:color="2A2A4A" w:sz="1"/>
              <w:bottom w:val="single" w:color="2A2A4A" w:sz="1"/>
              <w:right w:val="single" w:color="2A2A4A" w:sz="1"/>
            </w:tcBorders>
            <w:shd w:fill="0F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E0E0E0"/>
                <w:sz w:val="18"/>
                <w:szCs w:val="18"/>
              </w:rPr>
              <w:t xml:space="preserve">Quotation</w:t>
            </w:r>
          </w:p>
        </w:tc>
        <w:tc>
          <w:tcPr>
            <w:tcW w:type="dxa" w:w="6526"/>
            <w:tcBorders>
              <w:top w:val="single" w:color="2A2A4A" w:sz="1"/>
              <w:left w:val="single" w:color="2A2A4A" w:sz="1"/>
              <w:bottom w:val="single" w:color="2A2A4A" w:sz="1"/>
              <w:right w:val="single" w:color="2A2A4A" w:sz="1"/>
            </w:tcBorders>
            <w:shd w:fill="0F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E0E0E0"/>
                <w:sz w:val="18"/>
                <w:szCs w:val="18"/>
              </w:rPr>
              <w:t xml:space="preserve">draft → sent → accepted / declined</w:t>
            </w:r>
          </w:p>
        </w:tc>
      </w:tr>
      <w:tr>
        <w:tc>
          <w:tcPr>
            <w:tcW w:type="dxa" w:w="2500"/>
            <w:tcBorders>
              <w:top w:val="single" w:color="2A2A4A" w:sz="1"/>
              <w:left w:val="single" w:color="2A2A4A" w:sz="1"/>
              <w:bottom w:val="single" w:color="2A2A4A" w:sz="1"/>
              <w:right w:val="single" w:color="2A2A4A" w:sz="1"/>
            </w:tcBorders>
            <w:shd w:fill="0D0D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E0E0E0"/>
                <w:sz w:val="18"/>
                <w:szCs w:val="18"/>
              </w:rPr>
              <w:t xml:space="preserve">Indicative</w:t>
            </w:r>
          </w:p>
        </w:tc>
        <w:tc>
          <w:tcPr>
            <w:tcW w:type="dxa" w:w="6526"/>
            <w:tcBorders>
              <w:top w:val="single" w:color="2A2A4A" w:sz="1"/>
              <w:left w:val="single" w:color="2A2A4A" w:sz="1"/>
              <w:bottom w:val="single" w:color="2A2A4A" w:sz="1"/>
              <w:right w:val="single" w:color="2A2A4A" w:sz="1"/>
            </w:tcBorders>
            <w:shd w:fill="0D0D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E0E0E0"/>
                <w:sz w:val="18"/>
                <w:szCs w:val="18"/>
              </w:rPr>
              <w:t xml:space="preserve">draft → in_progress → complete → issued</w:t>
            </w:r>
          </w:p>
        </w:tc>
      </w:tr>
      <w:tr>
        <w:tc>
          <w:tcPr>
            <w:tcW w:type="dxa" w:w="2500"/>
            <w:tcBorders>
              <w:top w:val="single" w:color="2A2A4A" w:sz="1"/>
              <w:left w:val="single" w:color="2A2A4A" w:sz="1"/>
              <w:bottom w:val="single" w:color="2A2A4A" w:sz="1"/>
              <w:right w:val="single" w:color="2A2A4A" w:sz="1"/>
            </w:tcBorders>
            <w:shd w:fill="0F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E0E0E0"/>
                <w:sz w:val="18"/>
                <w:szCs w:val="18"/>
              </w:rPr>
              <w:t xml:space="preserve">Desktop</w:t>
            </w:r>
          </w:p>
        </w:tc>
        <w:tc>
          <w:tcPr>
            <w:tcW w:type="dxa" w:w="6526"/>
            <w:tcBorders>
              <w:top w:val="single" w:color="2A2A4A" w:sz="1"/>
              <w:left w:val="single" w:color="2A2A4A" w:sz="1"/>
              <w:bottom w:val="single" w:color="2A2A4A" w:sz="1"/>
              <w:right w:val="single" w:color="2A2A4A" w:sz="1"/>
            </w:tcBorders>
            <w:shd w:fill="0F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E0E0E0"/>
                <w:sz w:val="18"/>
                <w:szCs w:val="18"/>
              </w:rPr>
              <w:t xml:space="preserve">draft → in_progress → review → complete → issued</w:t>
            </w:r>
          </w:p>
        </w:tc>
      </w:tr>
      <w:tr>
        <w:tc>
          <w:tcPr>
            <w:tcW w:type="dxa" w:w="2500"/>
            <w:tcBorders>
              <w:top w:val="single" w:color="2A2A4A" w:sz="1"/>
              <w:left w:val="single" w:color="2A2A4A" w:sz="1"/>
              <w:bottom w:val="single" w:color="2A2A4A" w:sz="1"/>
              <w:right w:val="single" w:color="2A2A4A" w:sz="1"/>
            </w:tcBorders>
            <w:shd w:fill="0D0D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E0E0E0"/>
                <w:sz w:val="18"/>
                <w:szCs w:val="18"/>
              </w:rPr>
              <w:t xml:space="preserve">Full Valuation</w:t>
            </w:r>
          </w:p>
        </w:tc>
        <w:tc>
          <w:tcPr>
            <w:tcW w:type="dxa" w:w="6526"/>
            <w:tcBorders>
              <w:top w:val="single" w:color="2A2A4A" w:sz="1"/>
              <w:left w:val="single" w:color="2A2A4A" w:sz="1"/>
              <w:bottom w:val="single" w:color="2A2A4A" w:sz="1"/>
              <w:right w:val="single" w:color="2A2A4A" w:sz="1"/>
            </w:tcBorders>
            <w:shd w:fill="0D0D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E0E0E0"/>
                <w:sz w:val="18"/>
                <w:szCs w:val="18"/>
              </w:rPr>
              <w:t xml:space="preserve">draft → in_progress → review → complete → issued</w:t>
            </w:r>
          </w:p>
        </w:tc>
      </w:tr>
    </w:tbl>
    <w:p>
      <w:pPr>
        <w:spacing w:before="200" w:after="100"/>
      </w:pPr>
      <w:r>
        <w:rPr>
          <w:rFonts w:ascii="Arial" w:cs="Arial" w:eastAsia="Arial" w:hAnsi="Arial"/>
          <w:b/>
          <w:bCs/>
          <w:color w:val="FFB800"/>
          <w:sz w:val="22"/>
          <w:szCs w:val="22"/>
        </w:rPr>
        <w:t xml:space="preserve">Case Naming Convention</w:t>
      </w:r>
    </w:p>
    <w:p>
      <w:pPr>
        <w:spacing w:before="60" w:after="6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0E0E0"/>
          <w:sz w:val="20"/>
          <w:szCs w:val="20"/>
        </w:rPr>
        <w:t xml:space="preserve">Case names are system-generated. Surveyors never type a case name. The format is:</w:t>
      </w:r>
    </w:p>
    <w:p>
      <w:pPr>
        <w:shd w:fill="1A1A2E" w:val="clear"/>
        <w:spacing w:before="80" w:after="80"/>
        <w:ind w:left="200" w:right="20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[Address] | [Case Type] | [Valuation Basis] | [Valuation Date]</w:t>
      </w:r>
    </w:p>
    <w:p>
      <w:pPr>
        <w:spacing w:before="60" w:after="6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0E0E0"/>
          <w:sz w:val="20"/>
          <w:szCs w:val="20"/>
        </w:rPr>
        <w:t xml:space="preserve">Example:</w:t>
      </w:r>
    </w:p>
    <w:p>
      <w:pPr>
        <w:shd w:fill="1A1A2E" w:val="clear"/>
        <w:spacing w:before="80" w:after="80"/>
        <w:ind w:left="200" w:right="20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Apt 4908, 10 Marsh Wall, E14 9XZ | Full Valuation | Market Value | 2026-03-05</w:t>
      </w:r>
    </w:p>
    <w:p>
      <w:pPr>
        <w:spacing w:before="60" w:after="6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0E0E0"/>
          <w:sz w:val="20"/>
          <w:szCs w:val="20"/>
        </w:rPr>
        <w:t xml:space="preserve">An additional firm_reference field allows the surveyor to record their firm's internal file number (e.g., "ABC/2026/0347") for cross-referencing, but this does not replace the system-generated name.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FFB800"/>
          <w:sz w:val="22"/>
          <w:szCs w:val="22"/>
        </w:rPr>
        <w:t xml:space="preserve">Case Promotion</w:t>
      </w:r>
    </w:p>
    <w:p>
      <w:pPr>
        <w:spacing w:before="60" w:after="6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0E0E0"/>
          <w:sz w:val="20"/>
          <w:szCs w:val="20"/>
        </w:rPr>
        <w:t xml:space="preserve">Cases can be promoted to a higher case type. Promotion creates a new case record pre-populated with data from the parent, linked via parent_case_id. The original case remains in the stack unchanged.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2A2A4A" w:sz="1"/>
              <w:left w:val="single" w:color="2A2A4A" w:sz="1"/>
              <w:bottom w:val="single" w:color="2A2A4A" w:sz="1"/>
              <w:right w:val="single" w:color="2A2A4A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F0FF"/>
                <w:sz w:val="18"/>
                <w:szCs w:val="18"/>
              </w:rPr>
              <w:t xml:space="preserve">From</w:t>
            </w:r>
          </w:p>
        </w:tc>
        <w:tc>
          <w:tcPr>
            <w:tcW w:type="dxa" w:w="6526"/>
            <w:tcBorders>
              <w:top w:val="single" w:color="2A2A4A" w:sz="1"/>
              <w:left w:val="single" w:color="2A2A4A" w:sz="1"/>
              <w:bottom w:val="single" w:color="2A2A4A" w:sz="1"/>
              <w:right w:val="single" w:color="2A2A4A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F0FF"/>
                <w:sz w:val="18"/>
                <w:szCs w:val="18"/>
              </w:rPr>
              <w:t xml:space="preserve">Can Promote To</w:t>
            </w:r>
          </w:p>
        </w:tc>
      </w:tr>
      <w:tr>
        <w:tc>
          <w:tcPr>
            <w:tcW w:type="dxa" w:w="2500"/>
            <w:tcBorders>
              <w:top w:val="single" w:color="2A2A4A" w:sz="1"/>
              <w:left w:val="single" w:color="2A2A4A" w:sz="1"/>
              <w:bottom w:val="single" w:color="2A2A4A" w:sz="1"/>
              <w:right w:val="single" w:color="2A2A4A" w:sz="1"/>
            </w:tcBorders>
            <w:shd w:fill="0D0D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E0E0E0"/>
                <w:sz w:val="18"/>
                <w:szCs w:val="18"/>
              </w:rPr>
              <w:t xml:space="preserve">Research</w:t>
            </w:r>
          </w:p>
        </w:tc>
        <w:tc>
          <w:tcPr>
            <w:tcW w:type="dxa" w:w="6526"/>
            <w:tcBorders>
              <w:top w:val="single" w:color="2A2A4A" w:sz="1"/>
              <w:left w:val="single" w:color="2A2A4A" w:sz="1"/>
              <w:bottom w:val="single" w:color="2A2A4A" w:sz="1"/>
              <w:right w:val="single" w:color="2A2A4A" w:sz="1"/>
            </w:tcBorders>
            <w:shd w:fill="0D0D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E0E0E0"/>
                <w:sz w:val="18"/>
                <w:szCs w:val="18"/>
              </w:rPr>
              <w:t xml:space="preserve">Quotation, Indicative, Desktop, Full Valuation</w:t>
            </w:r>
          </w:p>
        </w:tc>
      </w:tr>
      <w:tr>
        <w:tc>
          <w:tcPr>
            <w:tcW w:type="dxa" w:w="2500"/>
            <w:tcBorders>
              <w:top w:val="single" w:color="2A2A4A" w:sz="1"/>
              <w:left w:val="single" w:color="2A2A4A" w:sz="1"/>
              <w:bottom w:val="single" w:color="2A2A4A" w:sz="1"/>
              <w:right w:val="single" w:color="2A2A4A" w:sz="1"/>
            </w:tcBorders>
            <w:shd w:fill="0F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E0E0E0"/>
                <w:sz w:val="18"/>
                <w:szCs w:val="18"/>
              </w:rPr>
              <w:t xml:space="preserve">Quotation</w:t>
            </w:r>
          </w:p>
        </w:tc>
        <w:tc>
          <w:tcPr>
            <w:tcW w:type="dxa" w:w="6526"/>
            <w:tcBorders>
              <w:top w:val="single" w:color="2A2A4A" w:sz="1"/>
              <w:left w:val="single" w:color="2A2A4A" w:sz="1"/>
              <w:bottom w:val="single" w:color="2A2A4A" w:sz="1"/>
              <w:right w:val="single" w:color="2A2A4A" w:sz="1"/>
            </w:tcBorders>
            <w:shd w:fill="0F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E0E0E0"/>
                <w:sz w:val="18"/>
                <w:szCs w:val="18"/>
              </w:rPr>
              <w:t xml:space="preserve">Indicative, Desktop, Full Valuation</w:t>
            </w:r>
          </w:p>
        </w:tc>
      </w:tr>
      <w:tr>
        <w:tc>
          <w:tcPr>
            <w:tcW w:type="dxa" w:w="2500"/>
            <w:tcBorders>
              <w:top w:val="single" w:color="2A2A4A" w:sz="1"/>
              <w:left w:val="single" w:color="2A2A4A" w:sz="1"/>
              <w:bottom w:val="single" w:color="2A2A4A" w:sz="1"/>
              <w:right w:val="single" w:color="2A2A4A" w:sz="1"/>
            </w:tcBorders>
            <w:shd w:fill="0D0D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E0E0E0"/>
                <w:sz w:val="18"/>
                <w:szCs w:val="18"/>
              </w:rPr>
              <w:t xml:space="preserve">Indicative</w:t>
            </w:r>
          </w:p>
        </w:tc>
        <w:tc>
          <w:tcPr>
            <w:tcW w:type="dxa" w:w="6526"/>
            <w:tcBorders>
              <w:top w:val="single" w:color="2A2A4A" w:sz="1"/>
              <w:left w:val="single" w:color="2A2A4A" w:sz="1"/>
              <w:bottom w:val="single" w:color="2A2A4A" w:sz="1"/>
              <w:right w:val="single" w:color="2A2A4A" w:sz="1"/>
            </w:tcBorders>
            <w:shd w:fill="0D0D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E0E0E0"/>
                <w:sz w:val="18"/>
                <w:szCs w:val="18"/>
              </w:rPr>
              <w:t xml:space="preserve">Desktop, Full Valuation</w:t>
            </w:r>
          </w:p>
        </w:tc>
      </w:tr>
      <w:tr>
        <w:tc>
          <w:tcPr>
            <w:tcW w:type="dxa" w:w="2500"/>
            <w:tcBorders>
              <w:top w:val="single" w:color="2A2A4A" w:sz="1"/>
              <w:left w:val="single" w:color="2A2A4A" w:sz="1"/>
              <w:bottom w:val="single" w:color="2A2A4A" w:sz="1"/>
              <w:right w:val="single" w:color="2A2A4A" w:sz="1"/>
            </w:tcBorders>
            <w:shd w:fill="0F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E0E0E0"/>
                <w:sz w:val="18"/>
                <w:szCs w:val="18"/>
              </w:rPr>
              <w:t xml:space="preserve">Desktop</w:t>
            </w:r>
          </w:p>
        </w:tc>
        <w:tc>
          <w:tcPr>
            <w:tcW w:type="dxa" w:w="6526"/>
            <w:tcBorders>
              <w:top w:val="single" w:color="2A2A4A" w:sz="1"/>
              <w:left w:val="single" w:color="2A2A4A" w:sz="1"/>
              <w:bottom w:val="single" w:color="2A2A4A" w:sz="1"/>
              <w:right w:val="single" w:color="2A2A4A" w:sz="1"/>
            </w:tcBorders>
            <w:shd w:fill="0F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E0E0E0"/>
                <w:sz w:val="18"/>
                <w:szCs w:val="18"/>
              </w:rPr>
              <w:t xml:space="preserve">Full Valuation</w:t>
            </w:r>
          </w:p>
        </w:tc>
      </w:tr>
      <w:tr>
        <w:tc>
          <w:tcPr>
            <w:tcW w:type="dxa" w:w="2500"/>
            <w:tcBorders>
              <w:top w:val="single" w:color="2A2A4A" w:sz="1"/>
              <w:left w:val="single" w:color="2A2A4A" w:sz="1"/>
              <w:bottom w:val="single" w:color="2A2A4A" w:sz="1"/>
              <w:right w:val="single" w:color="2A2A4A" w:sz="1"/>
            </w:tcBorders>
            <w:shd w:fill="0D0D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E0E0E0"/>
                <w:sz w:val="18"/>
                <w:szCs w:val="18"/>
              </w:rPr>
              <w:t xml:space="preserve">Full Valuation</w:t>
            </w:r>
          </w:p>
        </w:tc>
        <w:tc>
          <w:tcPr>
            <w:tcW w:type="dxa" w:w="6526"/>
            <w:tcBorders>
              <w:top w:val="single" w:color="2A2A4A" w:sz="1"/>
              <w:left w:val="single" w:color="2A2A4A" w:sz="1"/>
              <w:bottom w:val="single" w:color="2A2A4A" w:sz="1"/>
              <w:right w:val="single" w:color="2A2A4A" w:sz="1"/>
            </w:tcBorders>
            <w:shd w:fill="0D0D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E0E0E0"/>
                <w:sz w:val="18"/>
                <w:szCs w:val="18"/>
              </w:rPr>
              <w:t xml:space="preserve">Cannot promote (already highest)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2E97" w:sz="4"/>
              <w:left w:val="single" w:color="2A2A4A" w:sz="1"/>
              <w:bottom w:val="single" w:color="2A2A4A" w:sz="1"/>
              <w:right w:val="single" w:color="2A2A4A" w:sz="1"/>
            </w:tcBorders>
            <w:shd w:fill="1A0A1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2E97"/>
                <w:sz w:val="20"/>
                <w:szCs w:val="20"/>
              </w:rPr>
              <w:t xml:space="preserve">⚠ RISK — Immutability vs. Corrections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E0E0E0"/>
                <w:sz w:val="18"/>
                <w:szCs w:val="18"/>
              </w:rPr>
              <w:t xml:space="preserve">Once a case status reaches 'issued', it must be immutable for audit/PI purposes. But surveyors do make genuine errors. The platform must support a formal amendment workflow: the original case stays locked, a new linked case is created with status 'amendment', referencing the original. This mirrors RICS practice where a revised valuation letter references the original report.</w:t>
            </w:r>
          </w:p>
        </w:tc>
      </w:tr>
    </w:tbl>
    <w:p>
      <w:pPr>
        <w:spacing w:before="200" w:after="100"/>
      </w:pPr>
      <w:r>
        <w:rPr>
          <w:rFonts w:ascii="Arial" w:cs="Arial" w:eastAsia="Arial" w:hAnsi="Arial"/>
          <w:b/>
          <w:bCs/>
          <w:color w:val="FFB800"/>
          <w:sz w:val="22"/>
          <w:szCs w:val="22"/>
        </w:rPr>
        <w:t xml:space="preserve">Case Stacking Under UPRN</w:t>
      </w:r>
    </w:p>
    <w:p>
      <w:pPr>
        <w:spacing w:before="60" w:after="6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0E0E0"/>
          <w:sz w:val="20"/>
          <w:szCs w:val="20"/>
        </w:rPr>
        <w:t xml:space="preserve">All cases for a property stack chronologically under the UPRN, each with a sequential case_sequence number:</w:t>
      </w:r>
    </w:p>
    <w:p>
      <w:pPr>
        <w:shd w:fill="1A1A2E" w:val="clear"/>
        <w:spacing w:before="80" w:after="80"/>
        <w:ind w:left="200" w:right="20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UPRN 6734645 — Apt 4908, 10 Marsh Wall, E14 9XZ</w:t>
      </w:r>
    </w:p>
    <w:p>
      <w:pPr>
        <w:shd w:fill="1A1A2E" w:val="clear"/>
        <w:spacing w:before="80" w:after="80"/>
        <w:ind w:left="200" w:right="20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├─ Case 1: Research           | 2026-02-20 | No value</w:t>
      </w:r>
    </w:p>
    <w:p>
      <w:pPr>
        <w:shd w:fill="1A1A2E" w:val="clear"/>
        <w:spacing w:before="80" w:after="80"/>
        <w:ind w:left="200" w:right="20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├─ Case 2: Quotation          | 2026-02-28 | £750 quoted → promoted from Case 1</w:t>
      </w:r>
    </w:p>
    <w:p>
      <w:pPr>
        <w:shd w:fill="1A1A2E" w:val="clear"/>
        <w:spacing w:before="80" w:after="80"/>
        <w:ind w:left="200" w:right="20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├─ Case 3: Full Valuation     | 2026-03-05 | MV £485,000 → promoted from Case 2</w:t>
      </w:r>
    </w:p>
    <w:p>
      <w:pPr>
        <w:shd w:fill="1A1A2E" w:val="clear"/>
        <w:spacing w:before="80" w:after="80"/>
        <w:ind w:left="200" w:right="20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├─ Case 4: Research           | 2027-05-30 | No value (remortgage enquiry)</w:t>
      </w:r>
    </w:p>
    <w:p>
      <w:pPr>
        <w:shd w:fill="1A1A2E" w:val="clear"/>
        <w:spacing w:before="80" w:after="80"/>
        <w:ind w:left="200" w:right="20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├─ Case 5: Desktop Valuation  | 2027-06-12 | MV £510,000 → promoted from Case 4</w:t>
      </w:r>
    </w:p>
    <w:p>
      <w:pPr>
        <w:shd w:fill="1A1A2E" w:val="clear"/>
        <w:spacing w:before="80" w:after="80"/>
        <w:ind w:left="200" w:right="20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└─ Case 6: Indicative         | 2028-01-10 | MV ~£500k (cold call, no prior)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2E97" w:sz="4"/>
              <w:left w:val="single" w:color="2A2A4A" w:sz="1"/>
              <w:bottom w:val="single" w:color="2A2A4A" w:sz="1"/>
              <w:right w:val="single" w:color="2A2A4A" w:sz="1"/>
            </w:tcBorders>
            <w:shd w:fill="1A0A1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2E97"/>
                <w:sz w:val="20"/>
                <w:szCs w:val="20"/>
              </w:rPr>
              <w:t xml:space="preserve">⚠ RISK — Cross-Firm Visibility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E0E0E0"/>
                <w:sz w:val="18"/>
                <w:szCs w:val="18"/>
              </w:rPr>
              <w:t xml:space="preserve">If Firm A and Firm B both value the same UPRN, should they see each other's case history? No — not at the case level. Tier 2 data is private to the firm (RLS by firm_id). However, Tier 1 property data and Tier 3 anonymised evidence can be shared. The platform must never leak one firm's valuation figures, client names, or working files to another firm.</w:t>
            </w:r>
          </w:p>
        </w:tc>
      </w:tr>
    </w:tbl>
    <w:p>
      <w:r>
        <w:br w:type="page"/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FF2E97"/>
          <w:sz w:val="26"/>
          <w:szCs w:val="26"/>
        </w:rPr>
        <w:t xml:space="preserve">2.3 Tier 3 — The Evidence Library (Shared Comparable Intelligence)</w:t>
      </w:r>
    </w:p>
    <w:p>
      <w:pPr>
        <w:spacing w:before="60" w:after="6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0E0E0"/>
          <w:sz w:val="20"/>
          <w:szCs w:val="20"/>
        </w:rPr>
        <w:t xml:space="preserve">Every comparable that any surveyor enters — regardless of which case it supports — is normalised and stored in a shared evidence library, anchored by UPRN where resolvable.</w:t>
      </w:r>
    </w:p>
    <w:p>
      <w:pPr>
        <w:spacing w:before="60" w:after="6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0E0E0"/>
          <w:sz w:val="20"/>
          <w:szCs w:val="20"/>
        </w:rPr>
        <w:t xml:space="preserve">When Surveyor A values Apt 4908 and enters five comparables from the same building, those transactions enter the evidence library. When Surveyor B later values Apt 3205, the platform surfaces those previously entered comparables alongside Land Registry data — with full provenance.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FFB800"/>
          <w:sz w:val="22"/>
          <w:szCs w:val="22"/>
        </w:rPr>
        <w:t xml:space="preserve">Evidence Provenance &amp; Confidence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526"/>
      </w:tblGrid>
      <w:tr>
        <w:trPr>
          <w:tblHeader/>
        </w:trPr>
        <w:tc>
          <w:tcPr>
            <w:tcW w:type="dxa" w:w="3000"/>
            <w:tcBorders>
              <w:top w:val="single" w:color="2A2A4A" w:sz="1"/>
              <w:left w:val="single" w:color="2A2A4A" w:sz="1"/>
              <w:bottom w:val="single" w:color="2A2A4A" w:sz="1"/>
              <w:right w:val="single" w:color="2A2A4A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F0FF"/>
                <w:sz w:val="18"/>
                <w:szCs w:val="18"/>
              </w:rPr>
              <w:t xml:space="preserve">Source</w:t>
            </w:r>
          </w:p>
        </w:tc>
        <w:tc>
          <w:tcPr>
            <w:tcW w:type="dxa" w:w="2500"/>
            <w:tcBorders>
              <w:top w:val="single" w:color="2A2A4A" w:sz="1"/>
              <w:left w:val="single" w:color="2A2A4A" w:sz="1"/>
              <w:bottom w:val="single" w:color="2A2A4A" w:sz="1"/>
              <w:right w:val="single" w:color="2A2A4A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F0FF"/>
                <w:sz w:val="18"/>
                <w:szCs w:val="18"/>
              </w:rPr>
              <w:t xml:space="preserve">Confidence Level</w:t>
            </w:r>
          </w:p>
        </w:tc>
        <w:tc>
          <w:tcPr>
            <w:tcW w:type="dxa" w:w="3526"/>
            <w:tcBorders>
              <w:top w:val="single" w:color="2A2A4A" w:sz="1"/>
              <w:left w:val="single" w:color="2A2A4A" w:sz="1"/>
              <w:bottom w:val="single" w:color="2A2A4A" w:sz="1"/>
              <w:right w:val="single" w:color="2A2A4A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F0FF"/>
                <w:sz w:val="18"/>
                <w:szCs w:val="18"/>
              </w:rPr>
              <w:t xml:space="preserve">Provenance Stored</w:t>
            </w:r>
          </w:p>
        </w:tc>
      </w:tr>
      <w:tr>
        <w:tc>
          <w:tcPr>
            <w:tcW w:type="dxa" w:w="3000"/>
            <w:tcBorders>
              <w:top w:val="single" w:color="2A2A4A" w:sz="1"/>
              <w:left w:val="single" w:color="2A2A4A" w:sz="1"/>
              <w:bottom w:val="single" w:color="2A2A4A" w:sz="1"/>
              <w:right w:val="single" w:color="2A2A4A" w:sz="1"/>
            </w:tcBorders>
            <w:shd w:fill="0D0D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E0E0E0"/>
                <w:sz w:val="18"/>
                <w:szCs w:val="18"/>
              </w:rPr>
              <w:t xml:space="preserve">Land Registry Price Paid (API)</w:t>
            </w:r>
          </w:p>
        </w:tc>
        <w:tc>
          <w:tcPr>
            <w:tcW w:type="dxa" w:w="2500"/>
            <w:tcBorders>
              <w:top w:val="single" w:color="2A2A4A" w:sz="1"/>
              <w:left w:val="single" w:color="2A2A4A" w:sz="1"/>
              <w:bottom w:val="single" w:color="2A2A4A" w:sz="1"/>
              <w:right w:val="single" w:color="2A2A4A" w:sz="1"/>
            </w:tcBorders>
            <w:shd w:fill="0D0D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E0E0E0"/>
                <w:sz w:val="18"/>
                <w:szCs w:val="18"/>
              </w:rPr>
              <w:t xml:space="preserve">Verified — official record</w:t>
            </w:r>
          </w:p>
        </w:tc>
        <w:tc>
          <w:tcPr>
            <w:tcW w:type="dxa" w:w="3526"/>
            <w:tcBorders>
              <w:top w:val="single" w:color="2A2A4A" w:sz="1"/>
              <w:left w:val="single" w:color="2A2A4A" w:sz="1"/>
              <w:bottom w:val="single" w:color="2A2A4A" w:sz="1"/>
              <w:right w:val="single" w:color="2A2A4A" w:sz="1"/>
            </w:tcBorders>
            <w:shd w:fill="0D0D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E0E0E0"/>
                <w:sz w:val="18"/>
                <w:szCs w:val="18"/>
              </w:rPr>
              <w:t xml:space="preserve">API source, fetch date</w:t>
            </w:r>
          </w:p>
        </w:tc>
      </w:tr>
      <w:tr>
        <w:tc>
          <w:tcPr>
            <w:tcW w:type="dxa" w:w="3000"/>
            <w:tcBorders>
              <w:top w:val="single" w:color="2A2A4A" w:sz="1"/>
              <w:left w:val="single" w:color="2A2A4A" w:sz="1"/>
              <w:bottom w:val="single" w:color="2A2A4A" w:sz="1"/>
              <w:right w:val="single" w:color="2A2A4A" w:sz="1"/>
            </w:tcBorders>
            <w:shd w:fill="0F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E0E0E0"/>
                <w:sz w:val="18"/>
                <w:szCs w:val="18"/>
              </w:rPr>
              <w:t xml:space="preserve">Surveyor entry during Full Valuation</w:t>
            </w:r>
          </w:p>
        </w:tc>
        <w:tc>
          <w:tcPr>
            <w:tcW w:type="dxa" w:w="2500"/>
            <w:tcBorders>
              <w:top w:val="single" w:color="2A2A4A" w:sz="1"/>
              <w:left w:val="single" w:color="2A2A4A" w:sz="1"/>
              <w:bottom w:val="single" w:color="2A2A4A" w:sz="1"/>
              <w:right w:val="single" w:color="2A2A4A" w:sz="1"/>
            </w:tcBorders>
            <w:shd w:fill="0F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E0E0E0"/>
                <w:sz w:val="18"/>
                <w:szCs w:val="18"/>
              </w:rPr>
              <w:t xml:space="preserve">High — professional with inspection context</w:t>
            </w:r>
          </w:p>
        </w:tc>
        <w:tc>
          <w:tcPr>
            <w:tcW w:type="dxa" w:w="3526"/>
            <w:tcBorders>
              <w:top w:val="single" w:color="2A2A4A" w:sz="1"/>
              <w:left w:val="single" w:color="2A2A4A" w:sz="1"/>
              <w:bottom w:val="single" w:color="2A2A4A" w:sz="1"/>
              <w:right w:val="single" w:color="2A2A4A" w:sz="1"/>
            </w:tcBorders>
            <w:shd w:fill="0F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E0E0E0"/>
                <w:sz w:val="18"/>
                <w:szCs w:val="18"/>
              </w:rPr>
              <w:t xml:space="preserve">Surveyor ID, case ID, firm, date</w:t>
            </w:r>
          </w:p>
        </w:tc>
      </w:tr>
      <w:tr>
        <w:tc>
          <w:tcPr>
            <w:tcW w:type="dxa" w:w="3000"/>
            <w:tcBorders>
              <w:top w:val="single" w:color="2A2A4A" w:sz="1"/>
              <w:left w:val="single" w:color="2A2A4A" w:sz="1"/>
              <w:bottom w:val="single" w:color="2A2A4A" w:sz="1"/>
              <w:right w:val="single" w:color="2A2A4A" w:sz="1"/>
            </w:tcBorders>
            <w:shd w:fill="0D0D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E0E0E0"/>
                <w:sz w:val="18"/>
                <w:szCs w:val="18"/>
              </w:rPr>
              <w:t xml:space="preserve">Surveyor entry during Desktop Valuation</w:t>
            </w:r>
          </w:p>
        </w:tc>
        <w:tc>
          <w:tcPr>
            <w:tcW w:type="dxa" w:w="2500"/>
            <w:tcBorders>
              <w:top w:val="single" w:color="2A2A4A" w:sz="1"/>
              <w:left w:val="single" w:color="2A2A4A" w:sz="1"/>
              <w:bottom w:val="single" w:color="2A2A4A" w:sz="1"/>
              <w:right w:val="single" w:color="2A2A4A" w:sz="1"/>
            </w:tcBorders>
            <w:shd w:fill="0D0D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E0E0E0"/>
                <w:sz w:val="18"/>
                <w:szCs w:val="18"/>
              </w:rPr>
              <w:t xml:space="preserve">Medium — professional, no inspection</w:t>
            </w:r>
          </w:p>
        </w:tc>
        <w:tc>
          <w:tcPr>
            <w:tcW w:type="dxa" w:w="3526"/>
            <w:tcBorders>
              <w:top w:val="single" w:color="2A2A4A" w:sz="1"/>
              <w:left w:val="single" w:color="2A2A4A" w:sz="1"/>
              <w:bottom w:val="single" w:color="2A2A4A" w:sz="1"/>
              <w:right w:val="single" w:color="2A2A4A" w:sz="1"/>
            </w:tcBorders>
            <w:shd w:fill="0D0D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E0E0E0"/>
                <w:sz w:val="18"/>
                <w:szCs w:val="18"/>
              </w:rPr>
              <w:t xml:space="preserve">Surveyor ID, case ID, firm, date</w:t>
            </w:r>
          </w:p>
        </w:tc>
      </w:tr>
      <w:tr>
        <w:tc>
          <w:tcPr>
            <w:tcW w:type="dxa" w:w="3000"/>
            <w:tcBorders>
              <w:top w:val="single" w:color="2A2A4A" w:sz="1"/>
              <w:left w:val="single" w:color="2A2A4A" w:sz="1"/>
              <w:bottom w:val="single" w:color="2A2A4A" w:sz="1"/>
              <w:right w:val="single" w:color="2A2A4A" w:sz="1"/>
            </w:tcBorders>
            <w:shd w:fill="0F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E0E0E0"/>
                <w:sz w:val="18"/>
                <w:szCs w:val="18"/>
              </w:rPr>
              <w:t xml:space="preserve">Surveyor entry during Indicative</w:t>
            </w:r>
          </w:p>
        </w:tc>
        <w:tc>
          <w:tcPr>
            <w:tcW w:type="dxa" w:w="2500"/>
            <w:tcBorders>
              <w:top w:val="single" w:color="2A2A4A" w:sz="1"/>
              <w:left w:val="single" w:color="2A2A4A" w:sz="1"/>
              <w:bottom w:val="single" w:color="2A2A4A" w:sz="1"/>
              <w:right w:val="single" w:color="2A2A4A" w:sz="1"/>
            </w:tcBorders>
            <w:shd w:fill="0F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E0E0E0"/>
                <w:sz w:val="18"/>
                <w:szCs w:val="18"/>
              </w:rPr>
              <w:t xml:space="preserve">Lower — informal evidence base</w:t>
            </w:r>
          </w:p>
        </w:tc>
        <w:tc>
          <w:tcPr>
            <w:tcW w:type="dxa" w:w="3526"/>
            <w:tcBorders>
              <w:top w:val="single" w:color="2A2A4A" w:sz="1"/>
              <w:left w:val="single" w:color="2A2A4A" w:sz="1"/>
              <w:bottom w:val="single" w:color="2A2A4A" w:sz="1"/>
              <w:right w:val="single" w:color="2A2A4A" w:sz="1"/>
            </w:tcBorders>
            <w:shd w:fill="0F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E0E0E0"/>
                <w:sz w:val="18"/>
                <w:szCs w:val="18"/>
              </w:rPr>
              <w:t xml:space="preserve">Surveyor ID, case ID, firm, date</w:t>
            </w:r>
          </w:p>
        </w:tc>
      </w:tr>
      <w:tr>
        <w:tc>
          <w:tcPr>
            <w:tcW w:type="dxa" w:w="3000"/>
            <w:tcBorders>
              <w:top w:val="single" w:color="2A2A4A" w:sz="1"/>
              <w:left w:val="single" w:color="2A2A4A" w:sz="1"/>
              <w:bottom w:val="single" w:color="2A2A4A" w:sz="1"/>
              <w:right w:val="single" w:color="2A2A4A" w:sz="1"/>
            </w:tcBorders>
            <w:shd w:fill="0D0D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E0E0E0"/>
                <w:sz w:val="18"/>
                <w:szCs w:val="18"/>
              </w:rPr>
              <w:t xml:space="preserve">Legacy migration (PDF extraction)</w:t>
            </w:r>
          </w:p>
        </w:tc>
        <w:tc>
          <w:tcPr>
            <w:tcW w:type="dxa" w:w="2500"/>
            <w:tcBorders>
              <w:top w:val="single" w:color="2A2A4A" w:sz="1"/>
              <w:left w:val="single" w:color="2A2A4A" w:sz="1"/>
              <w:bottom w:val="single" w:color="2A2A4A" w:sz="1"/>
              <w:right w:val="single" w:color="2A2A4A" w:sz="1"/>
            </w:tcBorders>
            <w:shd w:fill="0D0D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E0E0E0"/>
                <w:sz w:val="18"/>
                <w:szCs w:val="18"/>
              </w:rPr>
              <w:t xml:space="preserve">Variable — depends on extraction quality</w:t>
            </w:r>
          </w:p>
        </w:tc>
        <w:tc>
          <w:tcPr>
            <w:tcW w:type="dxa" w:w="3526"/>
            <w:tcBorders>
              <w:top w:val="single" w:color="2A2A4A" w:sz="1"/>
              <w:left w:val="single" w:color="2A2A4A" w:sz="1"/>
              <w:bottom w:val="single" w:color="2A2A4A" w:sz="1"/>
              <w:right w:val="single" w:color="2A2A4A" w:sz="1"/>
            </w:tcBorders>
            <w:shd w:fill="0D0D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E0E0E0"/>
                <w:sz w:val="18"/>
                <w:szCs w:val="18"/>
              </w:rPr>
              <w:t xml:space="preserve">Migration batch ID, original doc ref, extraction confidence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2E97" w:sz="4"/>
              <w:left w:val="single" w:color="2A2A4A" w:sz="1"/>
              <w:bottom w:val="single" w:color="2A2A4A" w:sz="1"/>
              <w:right w:val="single" w:color="2A2A4A" w:sz="1"/>
            </w:tcBorders>
            <w:shd w:fill="1A0A1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2E97"/>
                <w:sz w:val="20"/>
                <w:szCs w:val="20"/>
              </w:rPr>
              <w:t xml:space="preserve">⚠ RISK — Evidence Contamination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E0E0E0"/>
                <w:sz w:val="18"/>
                <w:szCs w:val="18"/>
              </w:rPr>
              <w:t xml:space="preserve">If a surveyor enters incorrect comparable data (wrong price, wrong address), it could pollute the evidence library and mislead other surveyors. Mitigation: evidence from user input is always tagged with provenance and never presented as 'verified' unless cross-referenced against Land Registry data. The platform should flag discrepancies (e.g., a user-entered price that differs &gt;10% from the LR recorded price for the same transaction).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2E97" w:sz="4"/>
              <w:left w:val="single" w:color="2A2A4A" w:sz="1"/>
              <w:bottom w:val="single" w:color="2A2A4A" w:sz="1"/>
              <w:right w:val="single" w:color="2A2A4A" w:sz="1"/>
            </w:tcBorders>
            <w:shd w:fill="1A0A1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2E97"/>
                <w:sz w:val="20"/>
                <w:szCs w:val="20"/>
              </w:rPr>
              <w:t xml:space="preserve">⚠ RISK — GDPR and Data Sharing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E0E0E0"/>
                <w:sz w:val="18"/>
                <w:szCs w:val="18"/>
              </w:rPr>
              <w:t xml:space="preserve">Comparable evidence may contain personal data (buyer names from LR, tenant details). The evidence library must strip or anonymise personal identifiers. Only property-level data (address, price, date, type, area) enters the shared library. Names, parties, and client details stay in Tier 2 (firm-private).</w:t>
            </w:r>
          </w:p>
        </w:tc>
      </w:tr>
    </w:tbl>
    <w:p>
      <w:r>
        <w:br w:type="page"/>
      </w:r>
    </w:p>
    <w:p>
      <w:pPr>
        <w:spacing w:before="400" w:after="200"/>
      </w:pPr>
      <w:r>
        <w:rPr>
          <w:rFonts w:ascii="Arial" w:cs="Arial" w:eastAsia="Arial" w:hAnsi="Arial"/>
          <w:b/>
          <w:bCs/>
          <w:color w:val="00F0FF"/>
          <w:sz w:val="32"/>
          <w:szCs w:val="32"/>
        </w:rPr>
        <w:t xml:space="preserve">3. ORGANISATIONAL HIERARCHY &amp; FIRM STRUCTURE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FF2E97"/>
          <w:sz w:val="26"/>
          <w:szCs w:val="26"/>
        </w:rPr>
        <w:t xml:space="preserve">3.1 The Firm as the Organisational Unit</w:t>
      </w:r>
    </w:p>
    <w:p>
      <w:pPr>
        <w:spacing w:before="60" w:after="6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0E0E0"/>
          <w:sz w:val="20"/>
          <w:szCs w:val="20"/>
        </w:rPr>
        <w:t xml:space="preserve">The platform sells to firms, not individuals. Every user belongs to a firm. Billing, permissions, and data boundaries operate at the firm level.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FFB800"/>
          <w:sz w:val="22"/>
          <w:szCs w:val="22"/>
        </w:rPr>
        <w:t xml:space="preserve">User Roles Within a Firm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626"/>
      </w:tblGrid>
      <w:tr>
        <w:trPr>
          <w:tblHeader/>
        </w:trPr>
        <w:tc>
          <w:tcPr>
            <w:tcW w:type="dxa" w:w="1800"/>
            <w:tcBorders>
              <w:top w:val="single" w:color="2A2A4A" w:sz="1"/>
              <w:left w:val="single" w:color="2A2A4A" w:sz="1"/>
              <w:bottom w:val="single" w:color="2A2A4A" w:sz="1"/>
              <w:right w:val="single" w:color="2A2A4A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F0FF"/>
                <w:sz w:val="18"/>
                <w:szCs w:val="18"/>
              </w:rPr>
              <w:t xml:space="preserve">Role</w:t>
            </w:r>
          </w:p>
        </w:tc>
        <w:tc>
          <w:tcPr>
            <w:tcW w:type="dxa" w:w="3600"/>
            <w:tcBorders>
              <w:top w:val="single" w:color="2A2A4A" w:sz="1"/>
              <w:left w:val="single" w:color="2A2A4A" w:sz="1"/>
              <w:bottom w:val="single" w:color="2A2A4A" w:sz="1"/>
              <w:right w:val="single" w:color="2A2A4A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F0FF"/>
                <w:sz w:val="18"/>
                <w:szCs w:val="18"/>
              </w:rPr>
              <w:t xml:space="preserve">Platform Permissions</w:t>
            </w:r>
          </w:p>
        </w:tc>
        <w:tc>
          <w:tcPr>
            <w:tcW w:type="dxa" w:w="3626"/>
            <w:tcBorders>
              <w:top w:val="single" w:color="2A2A4A" w:sz="1"/>
              <w:left w:val="single" w:color="2A2A4A" w:sz="1"/>
              <w:bottom w:val="single" w:color="2A2A4A" w:sz="1"/>
              <w:right w:val="single" w:color="2A2A4A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F0FF"/>
                <w:sz w:val="18"/>
                <w:szCs w:val="18"/>
              </w:rPr>
              <w:t xml:space="preserve">RICS Context</w:t>
            </w:r>
          </w:p>
        </w:tc>
      </w:tr>
      <w:tr>
        <w:tc>
          <w:tcPr>
            <w:tcW w:type="dxa" w:w="1800"/>
            <w:tcBorders>
              <w:top w:val="single" w:color="2A2A4A" w:sz="1"/>
              <w:left w:val="single" w:color="2A2A4A" w:sz="1"/>
              <w:bottom w:val="single" w:color="2A2A4A" w:sz="1"/>
              <w:right w:val="single" w:color="2A2A4A" w:sz="1"/>
            </w:tcBorders>
            <w:shd w:fill="0D0D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E0E0E0"/>
                <w:sz w:val="18"/>
                <w:szCs w:val="18"/>
              </w:rPr>
              <w:t xml:space="preserve">Director</w:t>
            </w:r>
          </w:p>
        </w:tc>
        <w:tc>
          <w:tcPr>
            <w:tcW w:type="dxa" w:w="3600"/>
            <w:tcBorders>
              <w:top w:val="single" w:color="2A2A4A" w:sz="1"/>
              <w:left w:val="single" w:color="2A2A4A" w:sz="1"/>
              <w:bottom w:val="single" w:color="2A2A4A" w:sz="1"/>
              <w:right w:val="single" w:color="2A2A4A" w:sz="1"/>
            </w:tcBorders>
            <w:shd w:fill="0D0D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E0E0E0"/>
                <w:sz w:val="18"/>
                <w:szCs w:val="18"/>
              </w:rPr>
              <w:t xml:space="preserve">Full visibility of all firm cases. Can assign, reassign, and review any case. Access to firm analytics and pipeline dashboard. Manages team members.</w:t>
            </w:r>
          </w:p>
        </w:tc>
        <w:tc>
          <w:tcPr>
            <w:tcW w:type="dxa" w:w="3626"/>
            <w:tcBorders>
              <w:top w:val="single" w:color="2A2A4A" w:sz="1"/>
              <w:left w:val="single" w:color="2A2A4A" w:sz="1"/>
              <w:bottom w:val="single" w:color="2A2A4A" w:sz="1"/>
              <w:right w:val="single" w:color="2A2A4A" w:sz="1"/>
            </w:tcBorders>
            <w:shd w:fill="0D0D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E0E0E0"/>
                <w:sz w:val="18"/>
                <w:szCs w:val="18"/>
              </w:rPr>
              <w:t xml:space="preserve">Senior partner or equity holder. Wins instructions, oversees output quality.</w:t>
            </w:r>
          </w:p>
        </w:tc>
      </w:tr>
      <w:tr>
        <w:tc>
          <w:tcPr>
            <w:tcW w:type="dxa" w:w="1800"/>
            <w:tcBorders>
              <w:top w:val="single" w:color="2A2A4A" w:sz="1"/>
              <w:left w:val="single" w:color="2A2A4A" w:sz="1"/>
              <w:bottom w:val="single" w:color="2A2A4A" w:sz="1"/>
              <w:right w:val="single" w:color="2A2A4A" w:sz="1"/>
            </w:tcBorders>
            <w:shd w:fill="0F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E0E0E0"/>
                <w:sz w:val="18"/>
                <w:szCs w:val="18"/>
              </w:rPr>
              <w:t xml:space="preserve">Associate Director</w:t>
            </w:r>
          </w:p>
        </w:tc>
        <w:tc>
          <w:tcPr>
            <w:tcW w:type="dxa" w:w="3600"/>
            <w:tcBorders>
              <w:top w:val="single" w:color="2A2A4A" w:sz="1"/>
              <w:left w:val="single" w:color="2A2A4A" w:sz="1"/>
              <w:bottom w:val="single" w:color="2A2A4A" w:sz="1"/>
              <w:right w:val="single" w:color="2A2A4A" w:sz="1"/>
            </w:tcBorders>
            <w:shd w:fill="0F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E0E0E0"/>
                <w:sz w:val="18"/>
                <w:szCs w:val="18"/>
              </w:rPr>
              <w:t xml:space="preserve">Same as Director but may be scoped to a team/department within larger firms.</w:t>
            </w:r>
          </w:p>
        </w:tc>
        <w:tc>
          <w:tcPr>
            <w:tcW w:type="dxa" w:w="3626"/>
            <w:tcBorders>
              <w:top w:val="single" w:color="2A2A4A" w:sz="1"/>
              <w:left w:val="single" w:color="2A2A4A" w:sz="1"/>
              <w:bottom w:val="single" w:color="2A2A4A" w:sz="1"/>
              <w:right w:val="single" w:color="2A2A4A" w:sz="1"/>
            </w:tcBorders>
            <w:shd w:fill="0F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E0E0E0"/>
                <w:sz w:val="18"/>
                <w:szCs w:val="18"/>
              </w:rPr>
              <w:t xml:space="preserve">Senior surveyor with management responsibility.</w:t>
            </w:r>
          </w:p>
        </w:tc>
      </w:tr>
      <w:tr>
        <w:tc>
          <w:tcPr>
            <w:tcW w:type="dxa" w:w="1800"/>
            <w:tcBorders>
              <w:top w:val="single" w:color="2A2A4A" w:sz="1"/>
              <w:left w:val="single" w:color="2A2A4A" w:sz="1"/>
              <w:bottom w:val="single" w:color="2A2A4A" w:sz="1"/>
              <w:right w:val="single" w:color="2A2A4A" w:sz="1"/>
            </w:tcBorders>
            <w:shd w:fill="0D0D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E0E0E0"/>
                <w:sz w:val="18"/>
                <w:szCs w:val="18"/>
              </w:rPr>
              <w:t xml:space="preserve">Senior Surveyor</w:t>
            </w:r>
          </w:p>
        </w:tc>
        <w:tc>
          <w:tcPr>
            <w:tcW w:type="dxa" w:w="3600"/>
            <w:tcBorders>
              <w:top w:val="single" w:color="2A2A4A" w:sz="1"/>
              <w:left w:val="single" w:color="2A2A4A" w:sz="1"/>
              <w:bottom w:val="single" w:color="2A2A4A" w:sz="1"/>
              <w:right w:val="single" w:color="2A2A4A" w:sz="1"/>
            </w:tcBorders>
            <w:shd w:fill="0D0D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E0E0E0"/>
                <w:sz w:val="18"/>
                <w:szCs w:val="18"/>
              </w:rPr>
              <w:t xml:space="preserve">Manages own cases. Can be assigned as reviewer for junior work. Sees cases assigned to them for review.</w:t>
            </w:r>
          </w:p>
        </w:tc>
        <w:tc>
          <w:tcPr>
            <w:tcW w:type="dxa" w:w="3626"/>
            <w:tcBorders>
              <w:top w:val="single" w:color="2A2A4A" w:sz="1"/>
              <w:left w:val="single" w:color="2A2A4A" w:sz="1"/>
              <w:bottom w:val="single" w:color="2A2A4A" w:sz="1"/>
              <w:right w:val="single" w:color="2A2A4A" w:sz="1"/>
            </w:tcBorders>
            <w:shd w:fill="0D0D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E0E0E0"/>
                <w:sz w:val="18"/>
                <w:szCs w:val="18"/>
              </w:rPr>
              <w:t xml:space="preserve">MRICS or FRICS with 5+ years PQE. Works independently.</w:t>
            </w:r>
          </w:p>
        </w:tc>
      </w:tr>
      <w:tr>
        <w:tc>
          <w:tcPr>
            <w:tcW w:type="dxa" w:w="1800"/>
            <w:tcBorders>
              <w:top w:val="single" w:color="2A2A4A" w:sz="1"/>
              <w:left w:val="single" w:color="2A2A4A" w:sz="1"/>
              <w:bottom w:val="single" w:color="2A2A4A" w:sz="1"/>
              <w:right w:val="single" w:color="2A2A4A" w:sz="1"/>
            </w:tcBorders>
            <w:shd w:fill="0F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E0E0E0"/>
                <w:sz w:val="18"/>
                <w:szCs w:val="18"/>
              </w:rPr>
              <w:t xml:space="preserve">Surveyor</w:t>
            </w:r>
          </w:p>
        </w:tc>
        <w:tc>
          <w:tcPr>
            <w:tcW w:type="dxa" w:w="3600"/>
            <w:tcBorders>
              <w:top w:val="single" w:color="2A2A4A" w:sz="1"/>
              <w:left w:val="single" w:color="2A2A4A" w:sz="1"/>
              <w:bottom w:val="single" w:color="2A2A4A" w:sz="1"/>
              <w:right w:val="single" w:color="2A2A4A" w:sz="1"/>
            </w:tcBorders>
            <w:shd w:fill="0F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E0E0E0"/>
                <w:sz w:val="18"/>
                <w:szCs w:val="18"/>
              </w:rPr>
              <w:t xml:space="preserve">Manages own cases. Work on formal valuations may require reviewer sign-off per firm policy.</w:t>
            </w:r>
          </w:p>
        </w:tc>
        <w:tc>
          <w:tcPr>
            <w:tcW w:type="dxa" w:w="3626"/>
            <w:tcBorders>
              <w:top w:val="single" w:color="2A2A4A" w:sz="1"/>
              <w:left w:val="single" w:color="2A2A4A" w:sz="1"/>
              <w:bottom w:val="single" w:color="2A2A4A" w:sz="1"/>
              <w:right w:val="single" w:color="2A2A4A" w:sz="1"/>
            </w:tcBorders>
            <w:shd w:fill="0F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E0E0E0"/>
                <w:sz w:val="18"/>
                <w:szCs w:val="18"/>
              </w:rPr>
              <w:t xml:space="preserve">MRICS with less experience. May need oversight on complex work.</w:t>
            </w:r>
          </w:p>
        </w:tc>
      </w:tr>
      <w:tr>
        <w:tc>
          <w:tcPr>
            <w:tcW w:type="dxa" w:w="1800"/>
            <w:tcBorders>
              <w:top w:val="single" w:color="2A2A4A" w:sz="1"/>
              <w:left w:val="single" w:color="2A2A4A" w:sz="1"/>
              <w:bottom w:val="single" w:color="2A2A4A" w:sz="1"/>
              <w:right w:val="single" w:color="2A2A4A" w:sz="1"/>
            </w:tcBorders>
            <w:shd w:fill="0D0D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E0E0E0"/>
                <w:sz w:val="18"/>
                <w:szCs w:val="18"/>
              </w:rPr>
              <w:t xml:space="preserve">Graduate / Trainee</w:t>
            </w:r>
          </w:p>
        </w:tc>
        <w:tc>
          <w:tcPr>
            <w:tcW w:type="dxa" w:w="3600"/>
            <w:tcBorders>
              <w:top w:val="single" w:color="2A2A4A" w:sz="1"/>
              <w:left w:val="single" w:color="2A2A4A" w:sz="1"/>
              <w:bottom w:val="single" w:color="2A2A4A" w:sz="1"/>
              <w:right w:val="single" w:color="2A2A4A" w:sz="1"/>
            </w:tcBorders>
            <w:shd w:fill="0D0D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E0E0E0"/>
                <w:sz w:val="18"/>
                <w:szCs w:val="18"/>
              </w:rPr>
              <w:t xml:space="preserve">Can work on assigned cases only. All formal valuations require a reviewer/countersigner before issue.</w:t>
            </w:r>
          </w:p>
        </w:tc>
        <w:tc>
          <w:tcPr>
            <w:tcW w:type="dxa" w:w="3626"/>
            <w:tcBorders>
              <w:top w:val="single" w:color="2A2A4A" w:sz="1"/>
              <w:left w:val="single" w:color="2A2A4A" w:sz="1"/>
              <w:bottom w:val="single" w:color="2A2A4A" w:sz="1"/>
              <w:right w:val="single" w:color="2A2A4A" w:sz="1"/>
            </w:tcBorders>
            <w:shd w:fill="0D0D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E0E0E0"/>
                <w:sz w:val="18"/>
                <w:szCs w:val="18"/>
              </w:rPr>
              <w:t xml:space="preserve">APC candidate. Must be supervised per RICS APC requirements.</w:t>
            </w:r>
          </w:p>
        </w:tc>
      </w:tr>
    </w:tbl>
    <w:p>
      <w:pPr>
        <w:spacing w:before="200" w:after="100"/>
      </w:pPr>
      <w:r>
        <w:rPr>
          <w:rFonts w:ascii="Arial" w:cs="Arial" w:eastAsia="Arial" w:hAnsi="Arial"/>
          <w:b/>
          <w:bCs/>
          <w:color w:val="FFB800"/>
          <w:sz w:val="22"/>
          <w:szCs w:val="22"/>
        </w:rPr>
        <w:t xml:space="preserve">Case Assignment Model</w:t>
      </w:r>
    </w:p>
    <w:p>
      <w:pPr>
        <w:spacing w:before="60" w:after="6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0E0E0"/>
          <w:sz w:val="20"/>
          <w:szCs w:val="20"/>
        </w:rPr>
        <w:t xml:space="preserve">Each case carries up to four assignment roles: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color w:val="E0E0E0"/>
          <w:sz w:val="20"/>
          <w:szCs w:val="20"/>
        </w:rPr>
        <w:t xml:space="preserve">Originator — who brought the instruction in (often the Director or client relationship holder)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color w:val="E0E0E0"/>
          <w:sz w:val="20"/>
          <w:szCs w:val="20"/>
        </w:rPr>
        <w:t xml:space="preserve">Assigned Valuer — who is doing the work (can be same as originator or a junior)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color w:val="E0E0E0"/>
          <w:sz w:val="20"/>
          <w:szCs w:val="20"/>
        </w:rPr>
        <w:t xml:space="preserve">Reviewer / Countersigner — who checks and signs off before issue (mandatory for graduates, firm-policy driven for others)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color w:val="E0E0E0"/>
          <w:sz w:val="20"/>
          <w:szCs w:val="20"/>
        </w:rPr>
        <w:t xml:space="preserve">Case Owner — the person ultimately responsible, typically the Director who assigned it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2E97" w:sz="4"/>
              <w:left w:val="single" w:color="2A2A4A" w:sz="1"/>
              <w:bottom w:val="single" w:color="2A2A4A" w:sz="1"/>
              <w:right w:val="single" w:color="2A2A4A" w:sz="1"/>
            </w:tcBorders>
            <w:shd w:fill="1A0A1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2E97"/>
                <w:sz w:val="20"/>
                <w:szCs w:val="20"/>
              </w:rPr>
              <w:t xml:space="preserve">⚠ RISK — Supervision Compliance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E0E0E0"/>
                <w:sz w:val="18"/>
                <w:szCs w:val="18"/>
              </w:rPr>
              <w:t xml:space="preserve">RICS requires APC candidates to have their work reviewed by a qualified MRICS/FRICS. If the assigned valuer is a graduate, the platform MUST require a reviewer to be nominated before the case can progress past 'review' status. This is a hard enforcement, not a soft prompt. Failure here is a regulatory breach for the firm.</w:t>
            </w:r>
          </w:p>
        </w:tc>
      </w:tr>
    </w:tbl>
    <w:p>
      <w:pPr>
        <w:spacing w:before="300" w:after="150"/>
      </w:pPr>
      <w:r>
        <w:rPr>
          <w:rFonts w:ascii="Arial" w:cs="Arial" w:eastAsia="Arial" w:hAnsi="Arial"/>
          <w:b/>
          <w:bCs/>
          <w:color w:val="FF2E97"/>
          <w:sz w:val="26"/>
          <w:szCs w:val="26"/>
        </w:rPr>
        <w:t xml:space="preserve">3.2 Director's Dashboard</w:t>
      </w:r>
    </w:p>
    <w:p>
      <w:pPr>
        <w:spacing w:before="60" w:after="6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0E0E0"/>
          <w:sz w:val="20"/>
          <w:szCs w:val="20"/>
        </w:rPr>
        <w:t xml:space="preserve">The Director's view is fundamentally different from the surveyor's view. Directors need a pipeline overview across their entire team: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color w:val="E0E0E0"/>
          <w:sz w:val="20"/>
          <w:szCs w:val="20"/>
        </w:rPr>
        <w:t xml:space="preserve">Pipeline Kanban: cases grouped by status columns, filterable by team member, case type, date range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color w:val="E0E0E0"/>
          <w:sz w:val="20"/>
          <w:szCs w:val="20"/>
        </w:rPr>
        <w:t xml:space="preserve">Unassigned queue: new cases awaiting allocation — the Director assesses complexity and assigns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color w:val="E0E0E0"/>
          <w:sz w:val="20"/>
          <w:szCs w:val="20"/>
        </w:rPr>
        <w:t xml:space="preserve">Team workload: cases per surveyor by status, highlighting overloaded or idle team members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color w:val="E0E0E0"/>
          <w:sz w:val="20"/>
          <w:szCs w:val="20"/>
        </w:rPr>
        <w:t xml:space="preserve">Firm metrics: pipeline fee value, conversion rate (quotation → instruction), average days to issue, throughput per week/month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color w:val="E0E0E0"/>
          <w:sz w:val="20"/>
          <w:szCs w:val="20"/>
        </w:rPr>
        <w:t xml:space="preserve">Overdue alerts: cases stuck in a status beyond configurable thresholds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FF2E97"/>
          <w:sz w:val="26"/>
          <w:szCs w:val="26"/>
        </w:rPr>
        <w:t xml:space="preserve">3.3 Case Complexity Classification</w:t>
      </w:r>
    </w:p>
    <w:p>
      <w:pPr>
        <w:spacing w:before="60" w:after="6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0E0E0"/>
          <w:sz w:val="20"/>
          <w:szCs w:val="20"/>
        </w:rPr>
        <w:t xml:space="preserve">To support appropriate assignment, the platform classifies case complexity: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500"/>
        <w:gridCol w:w="3026"/>
      </w:tblGrid>
      <w:tr>
        <w:trPr>
          <w:tblHeader/>
        </w:trPr>
        <w:tc>
          <w:tcPr>
            <w:tcW w:type="dxa" w:w="1500"/>
            <w:tcBorders>
              <w:top w:val="single" w:color="2A2A4A" w:sz="1"/>
              <w:left w:val="single" w:color="2A2A4A" w:sz="1"/>
              <w:bottom w:val="single" w:color="2A2A4A" w:sz="1"/>
              <w:right w:val="single" w:color="2A2A4A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F0FF"/>
                <w:sz w:val="18"/>
                <w:szCs w:val="18"/>
              </w:rPr>
              <w:t xml:space="preserve">Complexity</w:t>
            </w:r>
          </w:p>
        </w:tc>
        <w:tc>
          <w:tcPr>
            <w:tcW w:type="dxa" w:w="4500"/>
            <w:tcBorders>
              <w:top w:val="single" w:color="2A2A4A" w:sz="1"/>
              <w:left w:val="single" w:color="2A2A4A" w:sz="1"/>
              <w:bottom w:val="single" w:color="2A2A4A" w:sz="1"/>
              <w:right w:val="single" w:color="2A2A4A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F0FF"/>
                <w:sz w:val="18"/>
                <w:szCs w:val="18"/>
              </w:rPr>
              <w:t xml:space="preserve">Criteria</w:t>
            </w:r>
          </w:p>
        </w:tc>
        <w:tc>
          <w:tcPr>
            <w:tcW w:type="dxa" w:w="3026"/>
            <w:tcBorders>
              <w:top w:val="single" w:color="2A2A4A" w:sz="1"/>
              <w:left w:val="single" w:color="2A2A4A" w:sz="1"/>
              <w:bottom w:val="single" w:color="2A2A4A" w:sz="1"/>
              <w:right w:val="single" w:color="2A2A4A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F0FF"/>
                <w:sz w:val="18"/>
                <w:szCs w:val="18"/>
              </w:rPr>
              <w:t xml:space="preserve">Typical Assignment</w:t>
            </w:r>
          </w:p>
        </w:tc>
      </w:tr>
      <w:tr>
        <w:tc>
          <w:tcPr>
            <w:tcW w:type="dxa" w:w="1500"/>
            <w:tcBorders>
              <w:top w:val="single" w:color="2A2A4A" w:sz="1"/>
              <w:left w:val="single" w:color="2A2A4A" w:sz="1"/>
              <w:bottom w:val="single" w:color="2A2A4A" w:sz="1"/>
              <w:right w:val="single" w:color="2A2A4A" w:sz="1"/>
            </w:tcBorders>
            <w:shd w:fill="0D0D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E0E0E0"/>
                <w:sz w:val="18"/>
                <w:szCs w:val="18"/>
              </w:rPr>
              <w:t xml:space="preserve">Routine</w:t>
            </w:r>
          </w:p>
        </w:tc>
        <w:tc>
          <w:tcPr>
            <w:tcW w:type="dxa" w:w="4500"/>
            <w:tcBorders>
              <w:top w:val="single" w:color="2A2A4A" w:sz="1"/>
              <w:left w:val="single" w:color="2A2A4A" w:sz="1"/>
              <w:bottom w:val="single" w:color="2A2A4A" w:sz="1"/>
              <w:right w:val="single" w:color="2A2A4A" w:sz="1"/>
            </w:tcBorders>
            <w:shd w:fill="0D0D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E0E0E0"/>
                <w:sz w:val="18"/>
                <w:szCs w:val="18"/>
              </w:rPr>
              <w:t xml:space="preserve">Standard residential, good comparables, no special assumptions</w:t>
            </w:r>
          </w:p>
        </w:tc>
        <w:tc>
          <w:tcPr>
            <w:tcW w:type="dxa" w:w="3026"/>
            <w:tcBorders>
              <w:top w:val="single" w:color="2A2A4A" w:sz="1"/>
              <w:left w:val="single" w:color="2A2A4A" w:sz="1"/>
              <w:bottom w:val="single" w:color="2A2A4A" w:sz="1"/>
              <w:right w:val="single" w:color="2A2A4A" w:sz="1"/>
            </w:tcBorders>
            <w:shd w:fill="0D0D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E0E0E0"/>
                <w:sz w:val="18"/>
                <w:szCs w:val="18"/>
              </w:rPr>
              <w:t xml:space="preserve">Surveyor or Graduate (with reviewer)</w:t>
            </w:r>
          </w:p>
        </w:tc>
      </w:tr>
      <w:tr>
        <w:tc>
          <w:tcPr>
            <w:tcW w:type="dxa" w:w="1500"/>
            <w:tcBorders>
              <w:top w:val="single" w:color="2A2A4A" w:sz="1"/>
              <w:left w:val="single" w:color="2A2A4A" w:sz="1"/>
              <w:bottom w:val="single" w:color="2A2A4A" w:sz="1"/>
              <w:right w:val="single" w:color="2A2A4A" w:sz="1"/>
            </w:tcBorders>
            <w:shd w:fill="0F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E0E0E0"/>
                <w:sz w:val="18"/>
                <w:szCs w:val="18"/>
              </w:rPr>
              <w:t xml:space="preserve">Moderate</w:t>
            </w:r>
          </w:p>
        </w:tc>
        <w:tc>
          <w:tcPr>
            <w:tcW w:type="dxa" w:w="4500"/>
            <w:tcBorders>
              <w:top w:val="single" w:color="2A2A4A" w:sz="1"/>
              <w:left w:val="single" w:color="2A2A4A" w:sz="1"/>
              <w:bottom w:val="single" w:color="2A2A4A" w:sz="1"/>
              <w:right w:val="single" w:color="2A2A4A" w:sz="1"/>
            </w:tcBorders>
            <w:shd w:fill="0F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E0E0E0"/>
                <w:sz w:val="18"/>
                <w:szCs w:val="18"/>
              </w:rPr>
              <w:t xml:space="preserve">Unusual property, limited comparables, mixed-use, leasehold complexities</w:t>
            </w:r>
          </w:p>
        </w:tc>
        <w:tc>
          <w:tcPr>
            <w:tcW w:type="dxa" w:w="3026"/>
            <w:tcBorders>
              <w:top w:val="single" w:color="2A2A4A" w:sz="1"/>
              <w:left w:val="single" w:color="2A2A4A" w:sz="1"/>
              <w:bottom w:val="single" w:color="2A2A4A" w:sz="1"/>
              <w:right w:val="single" w:color="2A2A4A" w:sz="1"/>
            </w:tcBorders>
            <w:shd w:fill="0F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E0E0E0"/>
                <w:sz w:val="18"/>
                <w:szCs w:val="18"/>
              </w:rPr>
              <w:t xml:space="preserve">Senior Surveyor or experienced Surveyor</w:t>
            </w:r>
          </w:p>
        </w:tc>
      </w:tr>
      <w:tr>
        <w:tc>
          <w:tcPr>
            <w:tcW w:type="dxa" w:w="1500"/>
            <w:tcBorders>
              <w:top w:val="single" w:color="2A2A4A" w:sz="1"/>
              <w:left w:val="single" w:color="2A2A4A" w:sz="1"/>
              <w:bottom w:val="single" w:color="2A2A4A" w:sz="1"/>
              <w:right w:val="single" w:color="2A2A4A" w:sz="1"/>
            </w:tcBorders>
            <w:shd w:fill="0D0D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E0E0E0"/>
                <w:sz w:val="18"/>
                <w:szCs w:val="18"/>
              </w:rPr>
              <w:t xml:space="preserve">Complex</w:t>
            </w:r>
          </w:p>
        </w:tc>
        <w:tc>
          <w:tcPr>
            <w:tcW w:type="dxa" w:w="4500"/>
            <w:tcBorders>
              <w:top w:val="single" w:color="2A2A4A" w:sz="1"/>
              <w:left w:val="single" w:color="2A2A4A" w:sz="1"/>
              <w:bottom w:val="single" w:color="2A2A4A" w:sz="1"/>
              <w:right w:val="single" w:color="2A2A4A" w:sz="1"/>
            </w:tcBorders>
            <w:shd w:fill="0D0D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E0E0E0"/>
                <w:sz w:val="18"/>
                <w:szCs w:val="18"/>
              </w:rPr>
              <w:t xml:space="preserve">Development land, special assumptions, high value (&gt;£2m), contentious, expert witness</w:t>
            </w:r>
          </w:p>
        </w:tc>
        <w:tc>
          <w:tcPr>
            <w:tcW w:type="dxa" w:w="3026"/>
            <w:tcBorders>
              <w:top w:val="single" w:color="2A2A4A" w:sz="1"/>
              <w:left w:val="single" w:color="2A2A4A" w:sz="1"/>
              <w:bottom w:val="single" w:color="2A2A4A" w:sz="1"/>
              <w:right w:val="single" w:color="2A2A4A" w:sz="1"/>
            </w:tcBorders>
            <w:shd w:fill="0D0D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E0E0E0"/>
                <w:sz w:val="18"/>
                <w:szCs w:val="18"/>
              </w:rPr>
              <w:t xml:space="preserve">Senior Surveyor or Director only</w:t>
            </w:r>
          </w:p>
        </w:tc>
      </w:tr>
    </w:tbl>
    <w:p>
      <w:pPr>
        <w:spacing w:before="60" w:after="6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0E0E0"/>
          <w:sz w:val="20"/>
          <w:szCs w:val="20"/>
        </w:rPr>
        <w:t xml:space="preserve">Complexity can be auto-suggested by the platform based on property type, value range, and comparable availability — but always overridable by the Director.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2E97" w:sz="4"/>
              <w:left w:val="single" w:color="2A2A4A" w:sz="1"/>
              <w:bottom w:val="single" w:color="2A2A4A" w:sz="1"/>
              <w:right w:val="single" w:color="2A2A4A" w:sz="1"/>
            </w:tcBorders>
            <w:shd w:fill="1A0A1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2E97"/>
                <w:sz w:val="20"/>
                <w:szCs w:val="20"/>
              </w:rPr>
              <w:t xml:space="preserve">⚠ RISK — Competency Mismatch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E0E0E0"/>
                <w:sz w:val="18"/>
                <w:szCs w:val="18"/>
              </w:rPr>
              <w:t xml:space="preserve">If a graduate is assigned a complex case and the platform doesn't flag it, the firm faces regulatory risk. Mitigation: the platform warns (but does not hard-block except for graduates on complex cases) when assignment doesn't match the suggested complexity level. The Director can override with a recorded justification.</w:t>
            </w:r>
          </w:p>
        </w:tc>
      </w:tr>
    </w:tbl>
    <w:p>
      <w:r>
        <w:br w:type="page"/>
      </w:r>
    </w:p>
    <w:p>
      <w:pPr>
        <w:spacing w:before="400" w:after="200"/>
      </w:pPr>
      <w:r>
        <w:rPr>
          <w:rFonts w:ascii="Arial" w:cs="Arial" w:eastAsia="Arial" w:hAnsi="Arial"/>
          <w:b/>
          <w:bCs/>
          <w:color w:val="00F0FF"/>
          <w:sz w:val="32"/>
          <w:szCs w:val="32"/>
        </w:rPr>
        <w:t xml:space="preserve">4. STORAGE &amp; FILE STRUCTURE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FF2E97"/>
          <w:sz w:val="26"/>
          <w:szCs w:val="26"/>
        </w:rPr>
        <w:t xml:space="preserve">4.1 Supabase Storage Path Convention</w:t>
      </w:r>
    </w:p>
    <w:p>
      <w:pPr>
        <w:spacing w:before="60" w:after="6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0E0E0"/>
          <w:sz w:val="20"/>
          <w:szCs w:val="20"/>
        </w:rPr>
        <w:t xml:space="preserve">Physical files (photos, documents, reports) follow a path structure that mirrors the three-tier data architecture:</w:t>
      </w:r>
    </w:p>
    <w:p>
      <w:pPr>
        <w:shd w:fill="1A1A2E" w:val="clear"/>
        <w:spacing w:before="80" w:after="80"/>
        <w:ind w:left="200" w:right="20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/properties/{uprn}/enrichment/          — cached API responses, EPC PDFs</w:t>
      </w:r>
    </w:p>
    <w:p>
      <w:pPr>
        <w:shd w:fill="1A1A2E" w:val="clear"/>
        <w:spacing w:before="80" w:after="80"/>
        <w:ind w:left="200" w:right="20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/cases/{firm_id}/{uprn}/{case_seq}/</w:t>
      </w:r>
    </w:p>
    <w:p>
      <w:pPr>
        <w:shd w:fill="1A1A2E" w:val="clear"/>
        <w:spacing w:before="80" w:after="80"/>
        <w:ind w:left="200" w:right="20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documents/                          — ToE, lease, title docs</w:t>
      </w:r>
    </w:p>
    <w:p>
      <w:pPr>
        <w:shd w:fill="1A1A2E" w:val="clear"/>
        <w:spacing w:before="80" w:after="80"/>
        <w:ind w:left="200" w:right="20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photos/                             — inspection photos</w:t>
      </w:r>
    </w:p>
    <w:p>
      <w:pPr>
        <w:shd w:fill="1A1A2E" w:val="clear"/>
        <w:spacing w:before="80" w:after="80"/>
        <w:ind w:left="200" w:right="20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reports/                            — generated valuation reports</w:t>
      </w:r>
    </w:p>
    <w:p>
      <w:pPr>
        <w:shd w:fill="1A1A2E" w:val="clear"/>
        <w:spacing w:before="80" w:after="80"/>
        <w:ind w:left="200" w:right="20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/evidence/{uprn}/                       — brochures, listings as evidence</w:t>
      </w:r>
    </w:p>
    <w:p>
      <w:pPr>
        <w:spacing w:before="60" w:after="6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0E0E0"/>
          <w:sz w:val="20"/>
          <w:szCs w:val="20"/>
        </w:rPr>
        <w:t xml:space="preserve">Note: the cases path includes firm_id to enforce data isolation at the storage level, mirroring the RLS policy on the database.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FF2E97"/>
          <w:sz w:val="26"/>
          <w:szCs w:val="26"/>
        </w:rPr>
        <w:t xml:space="preserve">4.2 RLS (Row Level Security) Policy Summary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4526"/>
      </w:tblGrid>
      <w:tr>
        <w:trPr>
          <w:tblHeader/>
        </w:trPr>
        <w:tc>
          <w:tcPr>
            <w:tcW w:type="dxa" w:w="1500"/>
            <w:tcBorders>
              <w:top w:val="single" w:color="2A2A4A" w:sz="1"/>
              <w:left w:val="single" w:color="2A2A4A" w:sz="1"/>
              <w:bottom w:val="single" w:color="2A2A4A" w:sz="1"/>
              <w:right w:val="single" w:color="2A2A4A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F0FF"/>
                <w:sz w:val="18"/>
                <w:szCs w:val="18"/>
              </w:rPr>
              <w:t xml:space="preserve">Tier</w:t>
            </w:r>
          </w:p>
        </w:tc>
        <w:tc>
          <w:tcPr>
            <w:tcW w:type="dxa" w:w="3000"/>
            <w:tcBorders>
              <w:top w:val="single" w:color="2A2A4A" w:sz="1"/>
              <w:left w:val="single" w:color="2A2A4A" w:sz="1"/>
              <w:bottom w:val="single" w:color="2A2A4A" w:sz="1"/>
              <w:right w:val="single" w:color="2A2A4A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F0FF"/>
                <w:sz w:val="18"/>
                <w:szCs w:val="18"/>
              </w:rPr>
              <w:t xml:space="preserve">Table(s)</w:t>
            </w:r>
          </w:p>
        </w:tc>
        <w:tc>
          <w:tcPr>
            <w:tcW w:type="dxa" w:w="4526"/>
            <w:tcBorders>
              <w:top w:val="single" w:color="2A2A4A" w:sz="1"/>
              <w:left w:val="single" w:color="2A2A4A" w:sz="1"/>
              <w:bottom w:val="single" w:color="2A2A4A" w:sz="1"/>
              <w:right w:val="single" w:color="2A2A4A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F0FF"/>
                <w:sz w:val="18"/>
                <w:szCs w:val="18"/>
              </w:rPr>
              <w:t xml:space="preserve">Access Rule</w:t>
            </w:r>
          </w:p>
        </w:tc>
      </w:tr>
      <w:tr>
        <w:tc>
          <w:tcPr>
            <w:tcW w:type="dxa" w:w="1500"/>
            <w:tcBorders>
              <w:top w:val="single" w:color="2A2A4A" w:sz="1"/>
              <w:left w:val="single" w:color="2A2A4A" w:sz="1"/>
              <w:bottom w:val="single" w:color="2A2A4A" w:sz="1"/>
              <w:right w:val="single" w:color="2A2A4A" w:sz="1"/>
            </w:tcBorders>
            <w:shd w:fill="0D0D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E0E0E0"/>
                <w:sz w:val="18"/>
                <w:szCs w:val="18"/>
              </w:rPr>
              <w:t xml:space="preserve">Tier 1 — Property</w:t>
            </w:r>
          </w:p>
        </w:tc>
        <w:tc>
          <w:tcPr>
            <w:tcW w:type="dxa" w:w="3000"/>
            <w:tcBorders>
              <w:top w:val="single" w:color="2A2A4A" w:sz="1"/>
              <w:left w:val="single" w:color="2A2A4A" w:sz="1"/>
              <w:bottom w:val="single" w:color="2A2A4A" w:sz="1"/>
              <w:right w:val="single" w:color="2A2A4A" w:sz="1"/>
            </w:tcBorders>
            <w:shd w:fill="0D0D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E0E0E0"/>
                <w:sz w:val="18"/>
                <w:szCs w:val="18"/>
              </w:rPr>
              <w:t xml:space="preserve">properties, property_enrichment</w:t>
            </w:r>
          </w:p>
        </w:tc>
        <w:tc>
          <w:tcPr>
            <w:tcW w:type="dxa" w:w="4526"/>
            <w:tcBorders>
              <w:top w:val="single" w:color="2A2A4A" w:sz="1"/>
              <w:left w:val="single" w:color="2A2A4A" w:sz="1"/>
              <w:bottom w:val="single" w:color="2A2A4A" w:sz="1"/>
              <w:right w:val="single" w:color="2A2A4A" w:sz="1"/>
            </w:tcBorders>
            <w:shd w:fill="0D0D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E0E0E0"/>
                <w:sz w:val="18"/>
                <w:szCs w:val="18"/>
              </w:rPr>
              <w:t xml:space="preserve">Read: all authenticated users. Write: system only (API pipeline). Surveyors can annotate but not modify source data.</w:t>
            </w:r>
          </w:p>
        </w:tc>
      </w:tr>
      <w:tr>
        <w:tc>
          <w:tcPr>
            <w:tcW w:type="dxa" w:w="1500"/>
            <w:tcBorders>
              <w:top w:val="single" w:color="2A2A4A" w:sz="1"/>
              <w:left w:val="single" w:color="2A2A4A" w:sz="1"/>
              <w:bottom w:val="single" w:color="2A2A4A" w:sz="1"/>
              <w:right w:val="single" w:color="2A2A4A" w:sz="1"/>
            </w:tcBorders>
            <w:shd w:fill="0F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E0E0E0"/>
                <w:sz w:val="18"/>
                <w:szCs w:val="18"/>
              </w:rPr>
              <w:t xml:space="preserve">Tier 2 — Cases</w:t>
            </w:r>
          </w:p>
        </w:tc>
        <w:tc>
          <w:tcPr>
            <w:tcW w:type="dxa" w:w="3000"/>
            <w:tcBorders>
              <w:top w:val="single" w:color="2A2A4A" w:sz="1"/>
              <w:left w:val="single" w:color="2A2A4A" w:sz="1"/>
              <w:bottom w:val="single" w:color="2A2A4A" w:sz="1"/>
              <w:right w:val="single" w:color="2A2A4A" w:sz="1"/>
            </w:tcBorders>
            <w:shd w:fill="0F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E0E0E0"/>
                <w:sz w:val="18"/>
                <w:szCs w:val="18"/>
              </w:rPr>
              <w:t xml:space="preserve">cases, case_assignments, case_documents, comparables, valuation_decisions</w:t>
            </w:r>
          </w:p>
        </w:tc>
        <w:tc>
          <w:tcPr>
            <w:tcW w:type="dxa" w:w="4526"/>
            <w:tcBorders>
              <w:top w:val="single" w:color="2A2A4A" w:sz="1"/>
              <w:left w:val="single" w:color="2A2A4A" w:sz="1"/>
              <w:bottom w:val="single" w:color="2A2A4A" w:sz="1"/>
              <w:right w:val="single" w:color="2A2A4A" w:sz="1"/>
            </w:tcBorders>
            <w:shd w:fill="0F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E0E0E0"/>
                <w:sz w:val="18"/>
                <w:szCs w:val="18"/>
              </w:rPr>
              <w:t xml:space="preserve">Read/Write: users where their user_id appears in any assignment role for the case, OR users with role 'director'/'associate_director' in the same firm. No cross-firm access.</w:t>
            </w:r>
          </w:p>
        </w:tc>
      </w:tr>
      <w:tr>
        <w:tc>
          <w:tcPr>
            <w:tcW w:type="dxa" w:w="1500"/>
            <w:tcBorders>
              <w:top w:val="single" w:color="2A2A4A" w:sz="1"/>
              <w:left w:val="single" w:color="2A2A4A" w:sz="1"/>
              <w:bottom w:val="single" w:color="2A2A4A" w:sz="1"/>
              <w:right w:val="single" w:color="2A2A4A" w:sz="1"/>
            </w:tcBorders>
            <w:shd w:fill="0D0D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E0E0E0"/>
                <w:sz w:val="18"/>
                <w:szCs w:val="18"/>
              </w:rPr>
              <w:t xml:space="preserve">Tier 3 — Evidence</w:t>
            </w:r>
          </w:p>
        </w:tc>
        <w:tc>
          <w:tcPr>
            <w:tcW w:type="dxa" w:w="3000"/>
            <w:tcBorders>
              <w:top w:val="single" w:color="2A2A4A" w:sz="1"/>
              <w:left w:val="single" w:color="2A2A4A" w:sz="1"/>
              <w:bottom w:val="single" w:color="2A2A4A" w:sz="1"/>
              <w:right w:val="single" w:color="2A2A4A" w:sz="1"/>
            </w:tcBorders>
            <w:shd w:fill="0D0D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E0E0E0"/>
                <w:sz w:val="18"/>
                <w:szCs w:val="18"/>
              </w:rPr>
              <w:t xml:space="preserve">evidence_library</w:t>
            </w:r>
          </w:p>
        </w:tc>
        <w:tc>
          <w:tcPr>
            <w:tcW w:type="dxa" w:w="4526"/>
            <w:tcBorders>
              <w:top w:val="single" w:color="2A2A4A" w:sz="1"/>
              <w:left w:val="single" w:color="2A2A4A" w:sz="1"/>
              <w:bottom w:val="single" w:color="2A2A4A" w:sz="1"/>
              <w:right w:val="single" w:color="2A2A4A" w:sz="1"/>
            </w:tcBorders>
            <w:shd w:fill="0D0D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E0E0E0"/>
                <w:sz w:val="18"/>
                <w:szCs w:val="18"/>
              </w:rPr>
              <w:t xml:space="preserve">Read: all authenticated users (anonymised). Write: system only (normalised from case comparables on case completion).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2E97" w:sz="4"/>
              <w:left w:val="single" w:color="2A2A4A" w:sz="1"/>
              <w:bottom w:val="single" w:color="2A2A4A" w:sz="1"/>
              <w:right w:val="single" w:color="2A2A4A" w:sz="1"/>
            </w:tcBorders>
            <w:shd w:fill="1A0A1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2E97"/>
                <w:sz w:val="20"/>
                <w:szCs w:val="20"/>
              </w:rPr>
              <w:t xml:space="preserve">⚠ RISK — RLS Misconfiguration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E0E0E0"/>
                <w:sz w:val="18"/>
                <w:szCs w:val="18"/>
              </w:rPr>
              <w:t xml:space="preserve">A single missing RLS policy can expose an entire table. Mitigation: enable Supabase automatic RLS on all new tables (already configured). Every new table starts fully locked; access is explicitly granted via policies. Test RLS with multiple test accounts across different firms before any production data enters the system.</w:t>
            </w:r>
          </w:p>
        </w:tc>
      </w:tr>
    </w:tbl>
    <w:p>
      <w:r>
        <w:br w:type="page"/>
      </w:r>
    </w:p>
    <w:p>
      <w:pPr>
        <w:spacing w:before="400" w:after="200"/>
      </w:pPr>
      <w:r>
        <w:rPr>
          <w:rFonts w:ascii="Arial" w:cs="Arial" w:eastAsia="Arial" w:hAnsi="Arial"/>
          <w:b/>
          <w:bCs/>
          <w:color w:val="00F0FF"/>
          <w:sz w:val="32"/>
          <w:szCs w:val="32"/>
        </w:rPr>
        <w:t xml:space="preserve">5. LEGACY DATA MIGRATION SERVICE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FF2E97"/>
          <w:sz w:val="26"/>
          <w:szCs w:val="26"/>
        </w:rPr>
        <w:t xml:space="preserve">5.1 The Cold Start Problem</w:t>
      </w:r>
    </w:p>
    <w:p>
      <w:pPr>
        <w:spacing w:before="60" w:after="6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0E0E0"/>
          <w:sz w:val="20"/>
          <w:szCs w:val="20"/>
        </w:rPr>
        <w:t xml:space="preserve">A firm evaluating the platform will object: 'We have 6 years of cases in our current system — we can't abandon that history.' The legacy migration service solves this by ingesting historical cases into the platform, giving the firm a fully populated UPRN library and case history from day one.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FF2E97"/>
          <w:sz w:val="26"/>
          <w:szCs w:val="26"/>
        </w:rPr>
        <w:t xml:space="preserve">5.2 Migration Tiers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500"/>
        <w:gridCol w:w="2500"/>
        <w:gridCol w:w="2826"/>
      </w:tblGrid>
      <w:tr>
        <w:trPr>
          <w:tblHeader/>
        </w:trPr>
        <w:tc>
          <w:tcPr>
            <w:tcW w:type="dxa" w:w="1200"/>
            <w:tcBorders>
              <w:top w:val="single" w:color="2A2A4A" w:sz="1"/>
              <w:left w:val="single" w:color="2A2A4A" w:sz="1"/>
              <w:bottom w:val="single" w:color="2A2A4A" w:sz="1"/>
              <w:right w:val="single" w:color="2A2A4A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F0FF"/>
                <w:sz w:val="18"/>
                <w:szCs w:val="18"/>
              </w:rPr>
              <w:t xml:space="preserve">Tier</w:t>
            </w:r>
          </w:p>
        </w:tc>
        <w:tc>
          <w:tcPr>
            <w:tcW w:type="dxa" w:w="2500"/>
            <w:tcBorders>
              <w:top w:val="single" w:color="2A2A4A" w:sz="1"/>
              <w:left w:val="single" w:color="2A2A4A" w:sz="1"/>
              <w:bottom w:val="single" w:color="2A2A4A" w:sz="1"/>
              <w:right w:val="single" w:color="2A2A4A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F0FF"/>
                <w:sz w:val="18"/>
                <w:szCs w:val="18"/>
              </w:rPr>
              <w:t xml:space="preserve">Scope</w:t>
            </w:r>
          </w:p>
        </w:tc>
        <w:tc>
          <w:tcPr>
            <w:tcW w:type="dxa" w:w="2500"/>
            <w:tcBorders>
              <w:top w:val="single" w:color="2A2A4A" w:sz="1"/>
              <w:left w:val="single" w:color="2A2A4A" w:sz="1"/>
              <w:bottom w:val="single" w:color="2A2A4A" w:sz="1"/>
              <w:right w:val="single" w:color="2A2A4A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F0FF"/>
                <w:sz w:val="18"/>
                <w:szCs w:val="18"/>
              </w:rPr>
              <w:t xml:space="preserve">Method</w:t>
            </w:r>
          </w:p>
        </w:tc>
        <w:tc>
          <w:tcPr>
            <w:tcW w:type="dxa" w:w="2826"/>
            <w:tcBorders>
              <w:top w:val="single" w:color="2A2A4A" w:sz="1"/>
              <w:left w:val="single" w:color="2A2A4A" w:sz="1"/>
              <w:bottom w:val="single" w:color="2A2A4A" w:sz="1"/>
              <w:right w:val="single" w:color="2A2A4A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F0FF"/>
                <w:sz w:val="18"/>
                <w:szCs w:val="18"/>
              </w:rPr>
              <w:t xml:space="preserve">Indicative Pricing</w:t>
            </w:r>
          </w:p>
        </w:tc>
      </w:tr>
      <w:tr>
        <w:tc>
          <w:tcPr>
            <w:tcW w:type="dxa" w:w="1200"/>
            <w:tcBorders>
              <w:top w:val="single" w:color="2A2A4A" w:sz="1"/>
              <w:left w:val="single" w:color="2A2A4A" w:sz="1"/>
              <w:bottom w:val="single" w:color="2A2A4A" w:sz="1"/>
              <w:right w:val="single" w:color="2A2A4A" w:sz="1"/>
            </w:tcBorders>
            <w:shd w:fill="0D0D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E0E0E0"/>
                <w:sz w:val="18"/>
                <w:szCs w:val="18"/>
              </w:rPr>
              <w:t xml:space="preserve">Tier 1 — Metadata</w:t>
            </w:r>
          </w:p>
        </w:tc>
        <w:tc>
          <w:tcPr>
            <w:tcW w:type="dxa" w:w="2500"/>
            <w:tcBorders>
              <w:top w:val="single" w:color="2A2A4A" w:sz="1"/>
              <w:left w:val="single" w:color="2A2A4A" w:sz="1"/>
              <w:bottom w:val="single" w:color="2A2A4A" w:sz="1"/>
              <w:right w:val="single" w:color="2A2A4A" w:sz="1"/>
            </w:tcBorders>
            <w:shd w:fill="0D0D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E0E0E0"/>
                <w:sz w:val="18"/>
                <w:szCs w:val="18"/>
              </w:rPr>
              <w:t xml:space="preserve">Headline fields: address, UPRN (resolved), valuation date, case type, basis, final figure, floor area, property type</w:t>
            </w:r>
          </w:p>
        </w:tc>
        <w:tc>
          <w:tcPr>
            <w:tcW w:type="dxa" w:w="2500"/>
            <w:tcBorders>
              <w:top w:val="single" w:color="2A2A4A" w:sz="1"/>
              <w:left w:val="single" w:color="2A2A4A" w:sz="1"/>
              <w:bottom w:val="single" w:color="2A2A4A" w:sz="1"/>
              <w:right w:val="single" w:color="2A2A4A" w:sz="1"/>
            </w:tcBorders>
            <w:shd w:fill="0D0D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E0E0E0"/>
                <w:sz w:val="18"/>
                <w:szCs w:val="18"/>
              </w:rPr>
              <w:t xml:space="preserve">Semi-automated: LLM extraction from PDF reports + manual QA</w:t>
            </w:r>
          </w:p>
        </w:tc>
        <w:tc>
          <w:tcPr>
            <w:tcW w:type="dxa" w:w="2826"/>
            <w:tcBorders>
              <w:top w:val="single" w:color="2A2A4A" w:sz="1"/>
              <w:left w:val="single" w:color="2A2A4A" w:sz="1"/>
              <w:bottom w:val="single" w:color="2A2A4A" w:sz="1"/>
              <w:right w:val="single" w:color="2A2A4A" w:sz="1"/>
            </w:tcBorders>
            <w:shd w:fill="0D0D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E0E0E0"/>
                <w:sz w:val="18"/>
                <w:szCs w:val="18"/>
              </w:rPr>
              <w:t xml:space="preserve">£3,000 – £5,000</w:t>
            </w:r>
          </w:p>
        </w:tc>
      </w:tr>
      <w:tr>
        <w:tc>
          <w:tcPr>
            <w:tcW w:type="dxa" w:w="1200"/>
            <w:tcBorders>
              <w:top w:val="single" w:color="2A2A4A" w:sz="1"/>
              <w:left w:val="single" w:color="2A2A4A" w:sz="1"/>
              <w:bottom w:val="single" w:color="2A2A4A" w:sz="1"/>
              <w:right w:val="single" w:color="2A2A4A" w:sz="1"/>
            </w:tcBorders>
            <w:shd w:fill="0F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E0E0E0"/>
                <w:sz w:val="18"/>
                <w:szCs w:val="18"/>
              </w:rPr>
              <w:t xml:space="preserve">Tier 2 — Evidence</w:t>
            </w:r>
          </w:p>
        </w:tc>
        <w:tc>
          <w:tcPr>
            <w:tcW w:type="dxa" w:w="2500"/>
            <w:tcBorders>
              <w:top w:val="single" w:color="2A2A4A" w:sz="1"/>
              <w:left w:val="single" w:color="2A2A4A" w:sz="1"/>
              <w:bottom w:val="single" w:color="2A2A4A" w:sz="1"/>
              <w:right w:val="single" w:color="2A2A4A" w:sz="1"/>
            </w:tcBorders>
            <w:shd w:fill="0F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E0E0E0"/>
                <w:sz w:val="18"/>
                <w:szCs w:val="18"/>
              </w:rPr>
              <w:t xml:space="preserve">Comparable evidence extracted from each report: addresses, prices, dates, adjustments</w:t>
            </w:r>
          </w:p>
        </w:tc>
        <w:tc>
          <w:tcPr>
            <w:tcW w:type="dxa" w:w="2500"/>
            <w:tcBorders>
              <w:top w:val="single" w:color="2A2A4A" w:sz="1"/>
              <w:left w:val="single" w:color="2A2A4A" w:sz="1"/>
              <w:bottom w:val="single" w:color="2A2A4A" w:sz="1"/>
              <w:right w:val="single" w:color="2A2A4A" w:sz="1"/>
            </w:tcBorders>
            <w:shd w:fill="0F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E0E0E0"/>
                <w:sz w:val="18"/>
                <w:szCs w:val="18"/>
              </w:rPr>
              <w:t xml:space="preserve">LLM extraction + normalisation pipeline + manual QA</w:t>
            </w:r>
          </w:p>
        </w:tc>
        <w:tc>
          <w:tcPr>
            <w:tcW w:type="dxa" w:w="2826"/>
            <w:tcBorders>
              <w:top w:val="single" w:color="2A2A4A" w:sz="1"/>
              <w:left w:val="single" w:color="2A2A4A" w:sz="1"/>
              <w:bottom w:val="single" w:color="2A2A4A" w:sz="1"/>
              <w:right w:val="single" w:color="2A2A4A" w:sz="1"/>
            </w:tcBorders>
            <w:shd w:fill="0F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E0E0E0"/>
                <w:sz w:val="18"/>
                <w:szCs w:val="18"/>
              </w:rPr>
              <w:t xml:space="preserve">£6,000 – £10,000</w:t>
            </w:r>
          </w:p>
        </w:tc>
      </w:tr>
      <w:tr>
        <w:tc>
          <w:tcPr>
            <w:tcW w:type="dxa" w:w="1200"/>
            <w:tcBorders>
              <w:top w:val="single" w:color="2A2A4A" w:sz="1"/>
              <w:left w:val="single" w:color="2A2A4A" w:sz="1"/>
              <w:bottom w:val="single" w:color="2A2A4A" w:sz="1"/>
              <w:right w:val="single" w:color="2A2A4A" w:sz="1"/>
            </w:tcBorders>
            <w:shd w:fill="0D0D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E0E0E0"/>
                <w:sz w:val="18"/>
                <w:szCs w:val="18"/>
              </w:rPr>
              <w:t xml:space="preserve">Tier 3 — Full Archive</w:t>
            </w:r>
          </w:p>
        </w:tc>
        <w:tc>
          <w:tcPr>
            <w:tcW w:type="dxa" w:w="2500"/>
            <w:tcBorders>
              <w:top w:val="single" w:color="2A2A4A" w:sz="1"/>
              <w:left w:val="single" w:color="2A2A4A" w:sz="1"/>
              <w:bottom w:val="single" w:color="2A2A4A" w:sz="1"/>
              <w:right w:val="single" w:color="2A2A4A" w:sz="1"/>
            </w:tcBorders>
            <w:shd w:fill="0D0D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E0E0E0"/>
                <w:sz w:val="18"/>
                <w:szCs w:val="18"/>
              </w:rPr>
              <w:t xml:space="preserve">Original report PDFs and supporting documents stored against correct UPRN/case record, fully searchable</w:t>
            </w:r>
          </w:p>
        </w:tc>
        <w:tc>
          <w:tcPr>
            <w:tcW w:type="dxa" w:w="2500"/>
            <w:tcBorders>
              <w:top w:val="single" w:color="2A2A4A" w:sz="1"/>
              <w:left w:val="single" w:color="2A2A4A" w:sz="1"/>
              <w:bottom w:val="single" w:color="2A2A4A" w:sz="1"/>
              <w:right w:val="single" w:color="2A2A4A" w:sz="1"/>
            </w:tcBorders>
            <w:shd w:fill="0D0D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E0E0E0"/>
                <w:sz w:val="18"/>
                <w:szCs w:val="18"/>
              </w:rPr>
              <w:t xml:space="preserve">Document parsing + storage mapping + OCR where needed</w:t>
            </w:r>
          </w:p>
        </w:tc>
        <w:tc>
          <w:tcPr>
            <w:tcW w:type="dxa" w:w="2826"/>
            <w:tcBorders>
              <w:top w:val="single" w:color="2A2A4A" w:sz="1"/>
              <w:left w:val="single" w:color="2A2A4A" w:sz="1"/>
              <w:bottom w:val="single" w:color="2A2A4A" w:sz="1"/>
              <w:right w:val="single" w:color="2A2A4A" w:sz="1"/>
            </w:tcBorders>
            <w:shd w:fill="0D0D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E0E0E0"/>
                <w:sz w:val="18"/>
                <w:szCs w:val="18"/>
              </w:rPr>
              <w:t xml:space="preserve">£10,000 – £15,000</w:t>
            </w:r>
          </w:p>
        </w:tc>
      </w:tr>
    </w:tbl>
    <w:p>
      <w:pPr>
        <w:spacing w:before="300" w:after="150"/>
      </w:pPr>
      <w:r>
        <w:rPr>
          <w:rFonts w:ascii="Arial" w:cs="Arial" w:eastAsia="Arial" w:hAnsi="Arial"/>
          <w:b/>
          <w:bCs/>
          <w:color w:val="FF2E97"/>
          <w:sz w:val="26"/>
          <w:szCs w:val="26"/>
        </w:rPr>
        <w:t xml:space="preserve">5.3 Migration Schema Fields</w:t>
      </w:r>
    </w:p>
    <w:p>
      <w:pPr>
        <w:spacing w:before="60" w:after="6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0E0E0"/>
          <w:sz w:val="20"/>
          <w:szCs w:val="20"/>
        </w:rPr>
        <w:t xml:space="preserve">Legacy cases carry additional metadata: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color w:val="E0E0E0"/>
          <w:sz w:val="20"/>
          <w:szCs w:val="20"/>
        </w:rPr>
        <w:t xml:space="preserve">ingestion_source: 'native' (created on platform) or 'legacy_migration' (imported)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color w:val="E0E0E0"/>
          <w:sz w:val="20"/>
          <w:szCs w:val="20"/>
        </w:rPr>
        <w:t xml:space="preserve">legacy_reference: the firm's original file reference number for cross-referencing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color w:val="E0E0E0"/>
          <w:sz w:val="20"/>
          <w:szCs w:val="20"/>
        </w:rPr>
        <w:t xml:space="preserve">migration_batch_id: links to the migration job for traceability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color w:val="E0E0E0"/>
          <w:sz w:val="20"/>
          <w:szCs w:val="20"/>
        </w:rPr>
        <w:t xml:space="preserve">extraction_confidence: a quality score (high/medium/low) indicating how reliably data was extracted from the source document</w:t>
      </w:r>
    </w:p>
    <w:p>
      <w:pPr>
        <w:spacing w:before="60" w:after="6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0E0E0"/>
          <w:sz w:val="20"/>
          <w:szCs w:val="20"/>
        </w:rPr>
        <w:t xml:space="preserve">The UI handles legacy cases gracefully — displaying available data and greying out fields that weren't extracted, never making the data look broken.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2E97" w:sz="4"/>
              <w:left w:val="single" w:color="2A2A4A" w:sz="1"/>
              <w:bottom w:val="single" w:color="2A2A4A" w:sz="1"/>
              <w:right w:val="single" w:color="2A2A4A" w:sz="1"/>
            </w:tcBorders>
            <w:shd w:fill="1A0A1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2E97"/>
                <w:sz w:val="20"/>
                <w:szCs w:val="20"/>
              </w:rPr>
              <w:t xml:space="preserve">⚠ RISK — Migration Data Quality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E0E0E0"/>
                <w:sz w:val="18"/>
                <w:szCs w:val="18"/>
              </w:rPr>
              <w:t xml:space="preserve">LLM extraction from PDFs is imperfect. A misread valuation figure or mismatched UPRN could create misleading records. Mitigation: all migrated cases are flagged as 'legacy' with visible extraction confidence scores. A manual QA step reviews high-value cases (&gt;£1m) and any cases with low extraction confidence. The firm signs off on migration accuracy before data goes live.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2E97" w:sz="4"/>
              <w:left w:val="single" w:color="2A2A4A" w:sz="1"/>
              <w:bottom w:val="single" w:color="2A2A4A" w:sz="1"/>
              <w:right w:val="single" w:color="2A2A4A" w:sz="1"/>
            </w:tcBorders>
            <w:shd w:fill="1A0A1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2E97"/>
                <w:sz w:val="20"/>
                <w:szCs w:val="20"/>
              </w:rPr>
              <w:t xml:space="preserve">⚠ RISK — Duplicate Properties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E0E0E0"/>
                <w:sz w:val="18"/>
                <w:szCs w:val="18"/>
              </w:rPr>
              <w:t xml:space="preserve">If the migration resolves a slightly different address string to the same UPRN, or fails to resolve and creates a new property record for an existing UPRN, the library gets polluted with duplicates. Mitigation: a deduplication pass runs after every migration batch, matching on UPRN, normalised address, and postcode. Suspected duplicates are flagged for manual review, never auto-merged.</w:t>
            </w:r>
          </w:p>
        </w:tc>
      </w:tr>
    </w:tbl>
    <w:p>
      <w:r>
        <w:br w:type="page"/>
      </w:r>
    </w:p>
    <w:p>
      <w:pPr>
        <w:spacing w:before="400" w:after="200"/>
      </w:pPr>
      <w:r>
        <w:rPr>
          <w:rFonts w:ascii="Arial" w:cs="Arial" w:eastAsia="Arial" w:hAnsi="Arial"/>
          <w:b/>
          <w:bCs/>
          <w:color w:val="00F0FF"/>
          <w:sz w:val="32"/>
          <w:szCs w:val="32"/>
        </w:rPr>
        <w:t xml:space="preserve">6. DATABASE SCHEMA</w:t>
      </w:r>
    </w:p>
    <w:p>
      <w:pPr>
        <w:spacing w:before="60" w:after="6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0E0E0"/>
          <w:sz w:val="20"/>
          <w:szCs w:val="20"/>
        </w:rPr>
        <w:t xml:space="preserve">The following schema implements the three-tier architecture with firm hierarchy and legacy migration support. All tables have RLS enabled by default.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FF2E97"/>
          <w:sz w:val="26"/>
          <w:szCs w:val="26"/>
        </w:rPr>
        <w:t xml:space="preserve">6.1 Tier 1 — Property Library</w:t>
      </w:r>
    </w:p>
    <w:p>
      <w:pPr>
        <w:shd w:fill="1A1A2E" w:val="clear"/>
        <w:spacing w:before="80" w:after="80"/>
        <w:ind w:left="200" w:right="20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CREATE TABLE properties (</w:t>
      </w:r>
    </w:p>
    <w:p>
      <w:pPr>
        <w:shd w:fill="1A1A2E" w:val="clear"/>
        <w:spacing w:before="80" w:after="80"/>
        <w:ind w:left="200" w:right="20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uprn              BIGINT PRIMARY KEY,</w:t>
      </w:r>
    </w:p>
    <w:p>
      <w:pPr>
        <w:shd w:fill="1A1A2E" w:val="clear"/>
        <w:spacing w:before="80" w:after="80"/>
        <w:ind w:left="200" w:right="20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canonical_address  TEXT NOT NULL,</w:t>
      </w:r>
    </w:p>
    <w:p>
      <w:pPr>
        <w:shd w:fill="1A1A2E" w:val="clear"/>
        <w:spacing w:before="80" w:after="80"/>
        <w:ind w:left="200" w:right="20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postcode          TEXT NOT NULL,</w:t>
      </w:r>
    </w:p>
    <w:p>
      <w:pPr>
        <w:shd w:fill="1A1A2E" w:val="clear"/>
        <w:spacing w:before="80" w:after="80"/>
        <w:ind w:left="200" w:right="20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latitude          NUMERIC,</w:t>
      </w:r>
    </w:p>
    <w:p>
      <w:pPr>
        <w:shd w:fill="1A1A2E" w:val="clear"/>
        <w:spacing w:before="80" w:after="80"/>
        <w:ind w:left="200" w:right="20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longitude         NUMERIC,</w:t>
      </w:r>
    </w:p>
    <w:p>
      <w:pPr>
        <w:shd w:fill="1A1A2E" w:val="clear"/>
        <w:spacing w:before="80" w:after="80"/>
        <w:ind w:left="200" w:right="20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property_type     TEXT,          -- flat, terrace, semi, detached, etc.</w:t>
      </w:r>
    </w:p>
    <w:p>
      <w:pPr>
        <w:shd w:fill="1A1A2E" w:val="clear"/>
        <w:spacing w:before="80" w:after="80"/>
        <w:ind w:left="200" w:right="20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built_form        TEXT,          -- mid-terrace, end-terrace, etc.</w:t>
      </w:r>
    </w:p>
    <w:p>
      <w:pPr>
        <w:shd w:fill="1A1A2E" w:val="clear"/>
        <w:spacing w:before="80" w:after="80"/>
        <w:ind w:left="200" w:right="20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construction_era  TEXT,          -- EPC construction age band</w:t>
      </w:r>
    </w:p>
    <w:p>
      <w:pPr>
        <w:shd w:fill="1A1A2E" w:val="clear"/>
        <w:spacing w:before="80" w:after="80"/>
        <w:ind w:left="200" w:right="20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floor_area_sqm    NUMERIC,       -- latest known from EPC</w:t>
      </w:r>
    </w:p>
    <w:p>
      <w:pPr>
        <w:shd w:fill="1A1A2E" w:val="clear"/>
        <w:spacing w:before="80" w:after="80"/>
        <w:ind w:left="200" w:right="20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habitable_rooms   INTEGER,</w:t>
      </w:r>
    </w:p>
    <w:p>
      <w:pPr>
        <w:shd w:fill="1A1A2E" w:val="clear"/>
        <w:spacing w:before="80" w:after="80"/>
        <w:ind w:left="200" w:right="20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admin_district    TEXT,</w:t>
      </w:r>
    </w:p>
    <w:p>
      <w:pPr>
        <w:shd w:fill="1A1A2E" w:val="clear"/>
        <w:spacing w:before="80" w:after="80"/>
        <w:ind w:left="200" w:right="20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lsoa_code         TEXT,</w:t>
      </w:r>
    </w:p>
    <w:p>
      <w:pPr>
        <w:shd w:fill="1A1A2E" w:val="clear"/>
        <w:spacing w:before="80" w:after="80"/>
        <w:ind w:left="200" w:right="20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region            TEXT,</w:t>
      </w:r>
    </w:p>
    <w:p>
      <w:pPr>
        <w:shd w:fill="1A1A2E" w:val="clear"/>
        <w:spacing w:before="80" w:after="80"/>
        <w:ind w:left="200" w:right="20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created_at        TIMESTAMPTZ DEFAULT NOW(),</w:t>
      </w:r>
    </w:p>
    <w:p>
      <w:pPr>
        <w:shd w:fill="1A1A2E" w:val="clear"/>
        <w:spacing w:before="80" w:after="80"/>
        <w:ind w:left="200" w:right="20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updated_at        TIMESTAMPTZ DEFAULT NOW()</w:t>
      </w:r>
    </w:p>
    <w:p>
      <w:pPr>
        <w:shd w:fill="1A1A2E" w:val="clear"/>
        <w:spacing w:before="80" w:after="80"/>
        <w:ind w:left="200" w:right="20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);</w:t>
      </w:r>
    </w:p>
    <w:p>
      <w:pPr>
        <w:shd w:fill="1A1A2E" w:val="clear"/>
        <w:spacing w:before="80" w:after="80"/>
        <w:ind w:left="200" w:right="20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CREATE TABLE property_enrichment (</w:t>
      </w:r>
    </w:p>
    <w:p>
      <w:pPr>
        <w:shd w:fill="1A1A2E" w:val="clear"/>
        <w:spacing w:before="80" w:after="80"/>
        <w:ind w:left="200" w:right="20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id                UUID DEFAULT gen_random_uuid() PRIMARY KEY,</w:t>
      </w:r>
    </w:p>
    <w:p>
      <w:pPr>
        <w:shd w:fill="1A1A2E" w:val="clear"/>
        <w:spacing w:before="80" w:after="80"/>
        <w:ind w:left="200" w:right="20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uprn              BIGINT REFERENCES properties(uprn),</w:t>
      </w:r>
    </w:p>
    <w:p>
      <w:pPr>
        <w:shd w:fill="1A1A2E" w:val="clear"/>
        <w:spacing w:before="80" w:after="80"/>
        <w:ind w:left="200" w:right="20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data_source       TEXT NOT NULL,  -- 'epc', 'lr_ppd', 'flood', 'noise', etc.</w:t>
      </w:r>
    </w:p>
    <w:p>
      <w:pPr>
        <w:shd w:fill="1A1A2E" w:val="clear"/>
        <w:spacing w:before="80" w:after="80"/>
        <w:ind w:left="200" w:right="20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data_payload      JSONB NOT NULL, -- the raw API response</w:t>
      </w:r>
    </w:p>
    <w:p>
      <w:pPr>
        <w:shd w:fill="1A1A2E" w:val="clear"/>
        <w:spacing w:before="80" w:after="80"/>
        <w:ind w:left="200" w:right="20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fetched_at        TIMESTAMPTZ NOT NULL DEFAULT NOW(),</w:t>
      </w:r>
    </w:p>
    <w:p>
      <w:pPr>
        <w:shd w:fill="1A1A2E" w:val="clear"/>
        <w:spacing w:before="80" w:after="80"/>
        <w:ind w:left="200" w:right="20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expires_at        TIMESTAMPTZ,    -- when to auto-refresh</w:t>
      </w:r>
    </w:p>
    <w:p>
      <w:pPr>
        <w:shd w:fill="1A1A2E" w:val="clear"/>
        <w:spacing w:before="80" w:after="80"/>
        <w:ind w:left="200" w:right="20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UNIQUE(uprn, data_source)         -- one active record per source</w:t>
      </w:r>
    </w:p>
    <w:p>
      <w:pPr>
        <w:shd w:fill="1A1A2E" w:val="clear"/>
        <w:spacing w:before="80" w:after="80"/>
        <w:ind w:left="200" w:right="20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);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FF2E97"/>
          <w:sz w:val="26"/>
          <w:szCs w:val="26"/>
        </w:rPr>
        <w:t xml:space="preserve">6.2 Organisational Tables</w:t>
      </w:r>
    </w:p>
    <w:p>
      <w:pPr>
        <w:shd w:fill="1A1A2E" w:val="clear"/>
        <w:spacing w:before="80" w:after="80"/>
        <w:ind w:left="200" w:right="20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CREATE TABLE firms (</w:t>
      </w:r>
    </w:p>
    <w:p>
      <w:pPr>
        <w:shd w:fill="1A1A2E" w:val="clear"/>
        <w:spacing w:before="80" w:after="80"/>
        <w:ind w:left="200" w:right="20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id                UUID DEFAULT gen_random_uuid() PRIMARY KEY,</w:t>
      </w:r>
    </w:p>
    <w:p>
      <w:pPr>
        <w:shd w:fill="1A1A2E" w:val="clear"/>
        <w:spacing w:before="80" w:after="80"/>
        <w:ind w:left="200" w:right="20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name              TEXT NOT NULL,</w:t>
      </w:r>
    </w:p>
    <w:p>
      <w:pPr>
        <w:shd w:fill="1A1A2E" w:val="clear"/>
        <w:spacing w:before="80" w:after="80"/>
        <w:ind w:left="200" w:right="20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rics_firm_number  TEXT,           -- RICS regulated firm number</w:t>
      </w:r>
    </w:p>
    <w:p>
      <w:pPr>
        <w:shd w:fill="1A1A2E" w:val="clear"/>
        <w:spacing w:before="80" w:after="80"/>
        <w:ind w:left="200" w:right="20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billing_plan      TEXT DEFAULT 'free',</w:t>
      </w:r>
    </w:p>
    <w:p>
      <w:pPr>
        <w:shd w:fill="1A1A2E" w:val="clear"/>
        <w:spacing w:before="80" w:after="80"/>
        <w:ind w:left="200" w:right="20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created_at        TIMESTAMPTZ DEFAULT NOW()</w:t>
      </w:r>
    </w:p>
    <w:p>
      <w:pPr>
        <w:shd w:fill="1A1A2E" w:val="clear"/>
        <w:spacing w:before="80" w:after="80"/>
        <w:ind w:left="200" w:right="20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);</w:t>
      </w:r>
    </w:p>
    <w:p>
      <w:pPr>
        <w:shd w:fill="1A1A2E" w:val="clear"/>
        <w:spacing w:before="80" w:after="80"/>
        <w:ind w:left="200" w:right="20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CREATE TABLE firm_members (</w:t>
      </w:r>
    </w:p>
    <w:p>
      <w:pPr>
        <w:shd w:fill="1A1A2E" w:val="clear"/>
        <w:spacing w:before="80" w:after="80"/>
        <w:ind w:left="200" w:right="20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id                UUID DEFAULT gen_random_uuid() PRIMARY KEY,</w:t>
      </w:r>
    </w:p>
    <w:p>
      <w:pPr>
        <w:shd w:fill="1A1A2E" w:val="clear"/>
        <w:spacing w:before="80" w:after="80"/>
        <w:ind w:left="200" w:right="20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firm_id           UUID REFERENCES firms(id) NOT NULL,</w:t>
      </w:r>
    </w:p>
    <w:p>
      <w:pPr>
        <w:shd w:fill="1A1A2E" w:val="clear"/>
        <w:spacing w:before="80" w:after="80"/>
        <w:ind w:left="200" w:right="20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user_id           UUID REFERENCES auth.users(id) NOT NULL,</w:t>
      </w:r>
    </w:p>
    <w:p>
      <w:pPr>
        <w:shd w:fill="1A1A2E" w:val="clear"/>
        <w:spacing w:before="80" w:after="80"/>
        <w:ind w:left="200" w:right="20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role              TEXT NOT NULL CHECK (role IN (</w:t>
      </w:r>
    </w:p>
    <w:p>
      <w:pPr>
        <w:shd w:fill="1A1A2E" w:val="clear"/>
        <w:spacing w:before="80" w:after="80"/>
        <w:ind w:left="200" w:right="20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                  'director','associate_director',</w:t>
      </w:r>
    </w:p>
    <w:p>
      <w:pPr>
        <w:shd w:fill="1A1A2E" w:val="clear"/>
        <w:spacing w:before="80" w:after="80"/>
        <w:ind w:left="200" w:right="20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                  'senior_surveyor','surveyor','graduate')),</w:t>
      </w:r>
    </w:p>
    <w:p>
      <w:pPr>
        <w:shd w:fill="1A1A2E" w:val="clear"/>
        <w:spacing w:before="80" w:after="80"/>
        <w:ind w:left="200" w:right="20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competency_tags   TEXT[],         -- e.g. {'residential','commercial'}</w:t>
      </w:r>
    </w:p>
    <w:p>
      <w:pPr>
        <w:shd w:fill="1A1A2E" w:val="clear"/>
        <w:spacing w:before="80" w:after="80"/>
        <w:ind w:left="200" w:right="20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max_complexity    TEXT DEFAULT 'routine' CHECK (</w:t>
      </w:r>
    </w:p>
    <w:p>
      <w:pPr>
        <w:shd w:fill="1A1A2E" w:val="clear"/>
        <w:spacing w:before="80" w:after="80"/>
        <w:ind w:left="200" w:right="20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                  max_complexity IN ('routine','moderate','complex')),</w:t>
      </w:r>
    </w:p>
    <w:p>
      <w:pPr>
        <w:shd w:fill="1A1A2E" w:val="clear"/>
        <w:spacing w:before="80" w:after="80"/>
        <w:ind w:left="200" w:right="20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is_active         BOOLEAN DEFAULT true,</w:t>
      </w:r>
    </w:p>
    <w:p>
      <w:pPr>
        <w:shd w:fill="1A1A2E" w:val="clear"/>
        <w:spacing w:before="80" w:after="80"/>
        <w:ind w:left="200" w:right="20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joined_at         TIMESTAMPTZ DEFAULT NOW(),</w:t>
      </w:r>
    </w:p>
    <w:p>
      <w:pPr>
        <w:shd w:fill="1A1A2E" w:val="clear"/>
        <w:spacing w:before="80" w:after="80"/>
        <w:ind w:left="200" w:right="20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UNIQUE(firm_id, user_id)</w:t>
      </w:r>
    </w:p>
    <w:p>
      <w:pPr>
        <w:shd w:fill="1A1A2E" w:val="clear"/>
        <w:spacing w:before="80" w:after="80"/>
        <w:ind w:left="200" w:right="20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);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FF2E97"/>
          <w:sz w:val="26"/>
          <w:szCs w:val="26"/>
        </w:rPr>
        <w:t xml:space="preserve">6.3 Tier 2 — Case Records</w:t>
      </w:r>
    </w:p>
    <w:p>
      <w:pPr>
        <w:shd w:fill="1A1A2E" w:val="clear"/>
        <w:spacing w:before="80" w:after="80"/>
        <w:ind w:left="200" w:right="20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CREATE TABLE cases (</w:t>
      </w:r>
    </w:p>
    <w:p>
      <w:pPr>
        <w:shd w:fill="1A1A2E" w:val="clear"/>
        <w:spacing w:before="80" w:after="80"/>
        <w:ind w:left="200" w:right="20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id                UUID DEFAULT gen_random_uuid() PRIMARY KEY,</w:t>
      </w:r>
    </w:p>
    <w:p>
      <w:pPr>
        <w:shd w:fill="1A1A2E" w:val="clear"/>
        <w:spacing w:before="80" w:after="80"/>
        <w:ind w:left="200" w:right="20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uprn              BIGINT REFERENCES properties(uprn),</w:t>
      </w:r>
    </w:p>
    <w:p>
      <w:pPr>
        <w:shd w:fill="1A1A2E" w:val="clear"/>
        <w:spacing w:before="80" w:after="80"/>
        <w:ind w:left="200" w:right="20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firm_id           UUID REFERENCES firms(id) NOT NULL,</w:t>
      </w:r>
    </w:p>
    <w:p>
      <w:pPr>
        <w:shd w:fill="1A1A2E" w:val="clear"/>
        <w:spacing w:before="80" w:after="80"/>
        <w:ind w:left="200" w:right="20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case_sequence     INTEGER NOT NULL,  -- auto-increment per UPRN+firm</w:t>
      </w:r>
    </w:p>
    <w:p>
      <w:pPr>
        <w:shd w:fill="1A1A2E" w:val="clear"/>
        <w:spacing w:before="80" w:after="80"/>
        <w:ind w:left="200" w:right="20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case_type         TEXT NOT NULL CHECK (case_type IN (</w:t>
      </w:r>
    </w:p>
    <w:p>
      <w:pPr>
        <w:shd w:fill="1A1A2E" w:val="clear"/>
        <w:spacing w:before="80" w:after="80"/>
        <w:ind w:left="200" w:right="20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                  'research','quotation','indicative',</w:t>
      </w:r>
    </w:p>
    <w:p>
      <w:pPr>
        <w:shd w:fill="1A1A2E" w:val="clear"/>
        <w:spacing w:before="80" w:after="80"/>
        <w:ind w:left="200" w:right="20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                  'desktop','full_valuation')),</w:t>
      </w:r>
    </w:p>
    <w:p>
      <w:pPr>
        <w:shd w:fill="1A1A2E" w:val="clear"/>
        <w:spacing w:before="80" w:after="80"/>
        <w:ind w:left="200" w:right="20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status            TEXT NOT NULL DEFAULT 'draft',</w:t>
      </w:r>
    </w:p>
    <w:p>
      <w:pPr>
        <w:shd w:fill="1A1A2E" w:val="clear"/>
        <w:spacing w:before="80" w:after="80"/>
        <w:ind w:left="200" w:right="20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-- System-generated display name</w:t>
      </w:r>
    </w:p>
    <w:p>
      <w:pPr>
        <w:shd w:fill="1A1A2E" w:val="clear"/>
        <w:spacing w:before="80" w:after="80"/>
        <w:ind w:left="200" w:right="20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display_name      TEXT GENERATED ALWAYS AS (</w:t>
      </w:r>
    </w:p>
    <w:p>
      <w:pPr>
        <w:shd w:fill="1A1A2E" w:val="clear"/>
        <w:spacing w:before="80" w:after="80"/>
        <w:ind w:left="200" w:right="20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  -- built from address, case_type, valuation_basis, valuation_date</w:t>
      </w:r>
    </w:p>
    <w:p>
      <w:pPr>
        <w:shd w:fill="1A1A2E" w:val="clear"/>
        <w:spacing w:before="80" w:after="80"/>
        <w:ind w:left="200" w:right="20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) STORED,</w:t>
      </w:r>
    </w:p>
    <w:p>
      <w:pPr>
        <w:shd w:fill="1A1A2E" w:val="clear"/>
        <w:spacing w:before="80" w:after="80"/>
        <w:ind w:left="200" w:right="20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firm_reference    TEXT,              -- firm's internal file number</w:t>
      </w:r>
    </w:p>
    <w:p>
      <w:pPr>
        <w:shd w:fill="1A1A2E" w:val="clear"/>
        <w:spacing w:before="80" w:after="80"/>
        <w:ind w:left="200" w:right="20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-- Valuation specifics</w:t>
      </w:r>
    </w:p>
    <w:p>
      <w:pPr>
        <w:shd w:fill="1A1A2E" w:val="clear"/>
        <w:spacing w:before="80" w:after="80"/>
        <w:ind w:left="200" w:right="20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valuation_basis   TEXT,              -- 'market_value','market_rent', etc.</w:t>
      </w:r>
    </w:p>
    <w:p>
      <w:pPr>
        <w:shd w:fill="1A1A2E" w:val="clear"/>
        <w:spacing w:before="80" w:after="80"/>
        <w:ind w:left="200" w:right="20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valuation_purpose TEXT,              -- 'secured_lending','probate', etc.</w:t>
      </w:r>
    </w:p>
    <w:p>
      <w:pPr>
        <w:shd w:fill="1A1A2E" w:val="clear"/>
        <w:spacing w:before="80" w:after="80"/>
        <w:ind w:left="200" w:right="20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valuation_date    DATE,</w:t>
      </w:r>
    </w:p>
    <w:p>
      <w:pPr>
        <w:shd w:fill="1A1A2E" w:val="clear"/>
        <w:spacing w:before="80" w:after="80"/>
        <w:ind w:left="200" w:right="20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-- Client / instruction</w:t>
      </w:r>
    </w:p>
    <w:p>
      <w:pPr>
        <w:shd w:fill="1A1A2E" w:val="clear"/>
        <w:spacing w:before="80" w:after="80"/>
        <w:ind w:left="200" w:right="20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client_name       TEXT,</w:t>
      </w:r>
    </w:p>
    <w:p>
      <w:pPr>
        <w:shd w:fill="1A1A2E" w:val="clear"/>
        <w:spacing w:before="80" w:after="80"/>
        <w:ind w:left="200" w:right="20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instructing_party TEXT,</w:t>
      </w:r>
    </w:p>
    <w:p>
      <w:pPr>
        <w:shd w:fill="1A1A2E" w:val="clear"/>
        <w:spacing w:before="80" w:after="80"/>
        <w:ind w:left="200" w:right="20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-- Assignment</w:t>
      </w:r>
    </w:p>
    <w:p>
      <w:pPr>
        <w:shd w:fill="1A1A2E" w:val="clear"/>
        <w:spacing w:before="80" w:after="80"/>
        <w:ind w:left="200" w:right="20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originator_id     UUID REFERENCES auth.users(id),</w:t>
      </w:r>
    </w:p>
    <w:p>
      <w:pPr>
        <w:shd w:fill="1A1A2E" w:val="clear"/>
        <w:spacing w:before="80" w:after="80"/>
        <w:ind w:left="200" w:right="20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assigned_to_id    UUID REFERENCES auth.users(id),</w:t>
      </w:r>
    </w:p>
    <w:p>
      <w:pPr>
        <w:shd w:fill="1A1A2E" w:val="clear"/>
        <w:spacing w:before="80" w:after="80"/>
        <w:ind w:left="200" w:right="20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reviewer_id       UUID REFERENCES auth.users(id),</w:t>
      </w:r>
    </w:p>
    <w:p>
      <w:pPr>
        <w:shd w:fill="1A1A2E" w:val="clear"/>
        <w:spacing w:before="80" w:after="80"/>
        <w:ind w:left="200" w:right="20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case_owner_id     UUID REFERENCES auth.users(id),</w:t>
      </w:r>
    </w:p>
    <w:p>
      <w:pPr>
        <w:shd w:fill="1A1A2E" w:val="clear"/>
        <w:spacing w:before="80" w:after="80"/>
        <w:ind w:left="200" w:right="20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-- Complexity</w:t>
      </w:r>
    </w:p>
    <w:p>
      <w:pPr>
        <w:shd w:fill="1A1A2E" w:val="clear"/>
        <w:spacing w:before="80" w:after="80"/>
        <w:ind w:left="200" w:right="20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complexity        TEXT DEFAULT 'routine' CHECK (</w:t>
      </w:r>
    </w:p>
    <w:p>
      <w:pPr>
        <w:shd w:fill="1A1A2E" w:val="clear"/>
        <w:spacing w:before="80" w:after="80"/>
        <w:ind w:left="200" w:right="20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                  complexity IN ('routine','moderate','complex')),</w:t>
      </w:r>
    </w:p>
    <w:p>
      <w:pPr>
        <w:shd w:fill="1A1A2E" w:val="clear"/>
        <w:spacing w:before="80" w:after="80"/>
        <w:ind w:left="200" w:right="20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-- Promotion lineage</w:t>
      </w:r>
    </w:p>
    <w:p>
      <w:pPr>
        <w:shd w:fill="1A1A2E" w:val="clear"/>
        <w:spacing w:before="80" w:after="80"/>
        <w:ind w:left="200" w:right="20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parent_case_id    UUID REFERENCES cases(id),</w:t>
      </w:r>
    </w:p>
    <w:p>
      <w:pPr>
        <w:shd w:fill="1A1A2E" w:val="clear"/>
        <w:spacing w:before="80" w:after="80"/>
        <w:ind w:left="200" w:right="20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-- Legacy migration</w:t>
      </w:r>
    </w:p>
    <w:p>
      <w:pPr>
        <w:shd w:fill="1A1A2E" w:val="clear"/>
        <w:spacing w:before="80" w:after="80"/>
        <w:ind w:left="200" w:right="20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ingestion_source  TEXT DEFAULT 'native' CHECK (</w:t>
      </w:r>
    </w:p>
    <w:p>
      <w:pPr>
        <w:shd w:fill="1A1A2E" w:val="clear"/>
        <w:spacing w:before="80" w:after="80"/>
        <w:ind w:left="200" w:right="20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                  ingestion_source IN ('native','legacy_migration')),</w:t>
      </w:r>
    </w:p>
    <w:p>
      <w:pPr>
        <w:shd w:fill="1A1A2E" w:val="clear"/>
        <w:spacing w:before="80" w:after="80"/>
        <w:ind w:left="200" w:right="20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legacy_reference  TEXT,</w:t>
      </w:r>
    </w:p>
    <w:p>
      <w:pPr>
        <w:shd w:fill="1A1A2E" w:val="clear"/>
        <w:spacing w:before="80" w:after="80"/>
        <w:ind w:left="200" w:right="20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migration_batch_id UUID,</w:t>
      </w:r>
    </w:p>
    <w:p>
      <w:pPr>
        <w:shd w:fill="1A1A2E" w:val="clear"/>
        <w:spacing w:before="80" w:after="80"/>
        <w:ind w:left="200" w:right="20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extraction_confidence TEXT CHECK (</w:t>
      </w:r>
    </w:p>
    <w:p>
      <w:pPr>
        <w:shd w:fill="1A1A2E" w:val="clear"/>
        <w:spacing w:before="80" w:after="80"/>
        <w:ind w:left="200" w:right="20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                  extraction_confidence IN ('high','medium','low')),</w:t>
      </w:r>
    </w:p>
    <w:p>
      <w:pPr>
        <w:shd w:fill="1A1A2E" w:val="clear"/>
        <w:spacing w:before="80" w:after="80"/>
        <w:ind w:left="200" w:right="20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-- Subject property (case-specific observations)</w:t>
      </w:r>
    </w:p>
    <w:p>
      <w:pPr>
        <w:shd w:fill="1A1A2E" w:val="clear"/>
        <w:spacing w:before="80" w:after="80"/>
        <w:ind w:left="200" w:right="20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subject_description TEXT,</w:t>
      </w:r>
    </w:p>
    <w:p>
      <w:pPr>
        <w:shd w:fill="1A1A2E" w:val="clear"/>
        <w:spacing w:before="80" w:after="80"/>
        <w:ind w:left="200" w:right="20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condition_notes   TEXT,</w:t>
      </w:r>
    </w:p>
    <w:p>
      <w:pPr>
        <w:shd w:fill="1A1A2E" w:val="clear"/>
        <w:spacing w:before="80" w:after="80"/>
        <w:ind w:left="200" w:right="20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special_assumptions TEXT,</w:t>
      </w:r>
    </w:p>
    <w:p>
      <w:pPr>
        <w:shd w:fill="1A1A2E" w:val="clear"/>
        <w:spacing w:before="80" w:after="80"/>
        <w:ind w:left="200" w:right="20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-- Valuation output</w:t>
      </w:r>
    </w:p>
    <w:p>
      <w:pPr>
        <w:shd w:fill="1A1A2E" w:val="clear"/>
        <w:spacing w:before="80" w:after="80"/>
        <w:ind w:left="200" w:right="20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final_value       NUMERIC,</w:t>
      </w:r>
    </w:p>
    <w:p>
      <w:pPr>
        <w:shd w:fill="1A1A2E" w:val="clear"/>
        <w:spacing w:before="80" w:after="80"/>
        <w:ind w:left="200" w:right="20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adopted_rate_psf  NUMERIC,</w:t>
      </w:r>
    </w:p>
    <w:p>
      <w:pPr>
        <w:shd w:fill="1A1A2E" w:val="clear"/>
        <w:spacing w:before="80" w:after="80"/>
        <w:ind w:left="200" w:right="20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valuer_commentary TEXT,</w:t>
      </w:r>
    </w:p>
    <w:p>
      <w:pPr>
        <w:shd w:fill="1A1A2E" w:val="clear"/>
        <w:spacing w:before="80" w:after="80"/>
        <w:ind w:left="200" w:right="20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-- Report</w:t>
      </w:r>
    </w:p>
    <w:p>
      <w:pPr>
        <w:shd w:fill="1A1A2E" w:val="clear"/>
        <w:spacing w:before="80" w:after="80"/>
        <w:ind w:left="200" w:right="20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report_file_path  TEXT,</w:t>
      </w:r>
    </w:p>
    <w:p>
      <w:pPr>
        <w:shd w:fill="1A1A2E" w:val="clear"/>
        <w:spacing w:before="80" w:after="80"/>
        <w:ind w:left="200" w:right="20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-- Audit</w:t>
      </w:r>
    </w:p>
    <w:p>
      <w:pPr>
        <w:shd w:fill="1A1A2E" w:val="clear"/>
        <w:spacing w:before="80" w:after="80"/>
        <w:ind w:left="200" w:right="20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created_at        TIMESTAMPTZ DEFAULT NOW(),</w:t>
      </w:r>
    </w:p>
    <w:p>
      <w:pPr>
        <w:shd w:fill="1A1A2E" w:val="clear"/>
        <w:spacing w:before="80" w:after="80"/>
        <w:ind w:left="200" w:right="20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updated_at        TIMESTAMPTZ DEFAULT NOW(),</w:t>
      </w:r>
    </w:p>
    <w:p>
      <w:pPr>
        <w:shd w:fill="1A1A2E" w:val="clear"/>
        <w:spacing w:before="80" w:after="80"/>
        <w:ind w:left="200" w:right="20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finalised_at      TIMESTAMPTZ,       -- locked when issued</w:t>
      </w:r>
    </w:p>
    <w:p>
      <w:pPr>
        <w:shd w:fill="1A1A2E" w:val="clear"/>
        <w:spacing w:before="80" w:after="80"/>
        <w:ind w:left="200" w:right="20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UNIQUE(uprn, firm_id, case_sequence)</w:t>
      </w:r>
    </w:p>
    <w:p>
      <w:pPr>
        <w:shd w:fill="1A1A2E" w:val="clear"/>
        <w:spacing w:before="80" w:after="80"/>
        <w:ind w:left="200" w:right="20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);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FF2E97"/>
          <w:sz w:val="26"/>
          <w:szCs w:val="26"/>
        </w:rPr>
        <w:t xml:space="preserve">6.4 Case Supporting Tables</w:t>
      </w:r>
    </w:p>
    <w:p>
      <w:pPr>
        <w:shd w:fill="1A1A2E" w:val="clear"/>
        <w:spacing w:before="80" w:after="80"/>
        <w:ind w:left="200" w:right="20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CREATE TABLE case_documents (</w:t>
      </w:r>
    </w:p>
    <w:p>
      <w:pPr>
        <w:shd w:fill="1A1A2E" w:val="clear"/>
        <w:spacing w:before="80" w:after="80"/>
        <w:ind w:left="200" w:right="20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id                UUID DEFAULT gen_random_uuid() PRIMARY KEY,</w:t>
      </w:r>
    </w:p>
    <w:p>
      <w:pPr>
        <w:shd w:fill="1A1A2E" w:val="clear"/>
        <w:spacing w:before="80" w:after="80"/>
        <w:ind w:left="200" w:right="20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case_id           UUID REFERENCES cases(id) ON DELETE CASCADE,</w:t>
      </w:r>
    </w:p>
    <w:p>
      <w:pPr>
        <w:shd w:fill="1A1A2E" w:val="clear"/>
        <w:spacing w:before="80" w:after="80"/>
        <w:ind w:left="200" w:right="20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doc_type          TEXT NOT NULL CHECK (doc_type IN (</w:t>
      </w:r>
    </w:p>
    <w:p>
      <w:pPr>
        <w:shd w:fill="1A1A2E" w:val="clear"/>
        <w:spacing w:before="80" w:after="80"/>
        <w:ind w:left="200" w:right="20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                  'terms_of_engagement','title_report','lease',</w:t>
      </w:r>
    </w:p>
    <w:p>
      <w:pPr>
        <w:shd w:fill="1A1A2E" w:val="clear"/>
        <w:spacing w:before="80" w:after="80"/>
        <w:ind w:left="200" w:right="20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                  'floor_plan','photo','brochure','other')),</w:t>
      </w:r>
    </w:p>
    <w:p>
      <w:pPr>
        <w:shd w:fill="1A1A2E" w:val="clear"/>
        <w:spacing w:before="80" w:after="80"/>
        <w:ind w:left="200" w:right="20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file_path         TEXT NOT NULL,      -- Supabase Storage path</w:t>
      </w:r>
    </w:p>
    <w:p>
      <w:pPr>
        <w:shd w:fill="1A1A2E" w:val="clear"/>
        <w:spacing w:before="80" w:after="80"/>
        <w:ind w:left="200" w:right="20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original_filename TEXT,</w:t>
      </w:r>
    </w:p>
    <w:p>
      <w:pPr>
        <w:shd w:fill="1A1A2E" w:val="clear"/>
        <w:spacing w:before="80" w:after="80"/>
        <w:ind w:left="200" w:right="20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extracted_text    TEXT,               -- LLM/OCR extracted content</w:t>
      </w:r>
    </w:p>
    <w:p>
      <w:pPr>
        <w:shd w:fill="1A1A2E" w:val="clear"/>
        <w:spacing w:before="80" w:after="80"/>
        <w:ind w:left="200" w:right="20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parsed_fields     JSONB,              -- structured data from extraction</w:t>
      </w:r>
    </w:p>
    <w:p>
      <w:pPr>
        <w:shd w:fill="1A1A2E" w:val="clear"/>
        <w:spacing w:before="80" w:after="80"/>
        <w:ind w:left="200" w:right="20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uploaded_at       TIMESTAMPTZ DEFAULT NOW()</w:t>
      </w:r>
    </w:p>
    <w:p>
      <w:pPr>
        <w:shd w:fill="1A1A2E" w:val="clear"/>
        <w:spacing w:before="80" w:after="80"/>
        <w:ind w:left="200" w:right="20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);</w:t>
      </w:r>
    </w:p>
    <w:p>
      <w:pPr>
        <w:shd w:fill="1A1A2E" w:val="clear"/>
        <w:spacing w:before="80" w:after="80"/>
        <w:ind w:left="200" w:right="20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CREATE TABLE comparables (</w:t>
      </w:r>
    </w:p>
    <w:p>
      <w:pPr>
        <w:shd w:fill="1A1A2E" w:val="clear"/>
        <w:spacing w:before="80" w:after="80"/>
        <w:ind w:left="200" w:right="20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id                UUID DEFAULT gen_random_uuid() PRIMARY KEY,</w:t>
      </w:r>
    </w:p>
    <w:p>
      <w:pPr>
        <w:shd w:fill="1A1A2E" w:val="clear"/>
        <w:spacing w:before="80" w:after="80"/>
        <w:ind w:left="200" w:right="20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case_id           UUID REFERENCES cases(id) ON DELETE CASCADE,</w:t>
      </w:r>
    </w:p>
    <w:p>
      <w:pPr>
        <w:shd w:fill="1A1A2E" w:val="clear"/>
        <w:spacing w:before="80" w:after="80"/>
        <w:ind w:left="200" w:right="20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evidence_id       UUID,               -- FK to evidence_library if normalised</w:t>
      </w:r>
    </w:p>
    <w:p>
      <w:pPr>
        <w:shd w:fill="1A1A2E" w:val="clear"/>
        <w:spacing w:before="80" w:after="80"/>
        <w:ind w:left="200" w:right="20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source_type       TEXT CHECK (source_type IN (</w:t>
      </w:r>
    </w:p>
    <w:p>
      <w:pPr>
        <w:shd w:fill="1A1A2E" w:val="clear"/>
        <w:spacing w:before="80" w:after="80"/>
        <w:ind w:left="200" w:right="20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                  'manual','csv_upload','pdf_upload',</w:t>
      </w:r>
    </w:p>
    <w:p>
      <w:pPr>
        <w:shd w:fill="1A1A2E" w:val="clear"/>
        <w:spacing w:before="80" w:after="80"/>
        <w:ind w:left="200" w:right="20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                  'hyperlink','address_lookup','platform_evidence')),</w:t>
      </w:r>
    </w:p>
    <w:p>
      <w:pPr>
        <w:shd w:fill="1A1A2E" w:val="clear"/>
        <w:spacing w:before="80" w:after="80"/>
        <w:ind w:left="200" w:right="20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-- Property data</w:t>
      </w:r>
    </w:p>
    <w:p>
      <w:pPr>
        <w:shd w:fill="1A1A2E" w:val="clear"/>
        <w:spacing w:before="80" w:after="80"/>
        <w:ind w:left="200" w:right="20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address           TEXT,</w:t>
      </w:r>
    </w:p>
    <w:p>
      <w:pPr>
        <w:shd w:fill="1A1A2E" w:val="clear"/>
        <w:spacing w:before="80" w:after="80"/>
        <w:ind w:left="200" w:right="20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postcode          TEXT,</w:t>
      </w:r>
    </w:p>
    <w:p>
      <w:pPr>
        <w:shd w:fill="1A1A2E" w:val="clear"/>
        <w:spacing w:before="80" w:after="80"/>
        <w:ind w:left="200" w:right="20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uprn              BIGINT,             -- if resolvable</w:t>
      </w:r>
    </w:p>
    <w:p>
      <w:pPr>
        <w:shd w:fill="1A1A2E" w:val="clear"/>
        <w:spacing w:before="80" w:after="80"/>
        <w:ind w:left="200" w:right="20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sale_price        NUMERIC,</w:t>
      </w:r>
    </w:p>
    <w:p>
      <w:pPr>
        <w:shd w:fill="1A1A2E" w:val="clear"/>
        <w:spacing w:before="80" w:after="80"/>
        <w:ind w:left="200" w:right="20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sale_date         DATE,</w:t>
      </w:r>
    </w:p>
    <w:p>
      <w:pPr>
        <w:shd w:fill="1A1A2E" w:val="clear"/>
        <w:spacing w:before="80" w:after="80"/>
        <w:ind w:left="200" w:right="20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property_type     TEXT,</w:t>
      </w:r>
    </w:p>
    <w:p>
      <w:pPr>
        <w:shd w:fill="1A1A2E" w:val="clear"/>
        <w:spacing w:before="80" w:after="80"/>
        <w:ind w:left="200" w:right="20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floor_area_sqm    NUMERIC,</w:t>
      </w:r>
    </w:p>
    <w:p>
      <w:pPr>
        <w:shd w:fill="1A1A2E" w:val="clear"/>
        <w:spacing w:before="80" w:after="80"/>
        <w:ind w:left="200" w:right="20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floor_level       INTEGER,</w:t>
      </w:r>
    </w:p>
    <w:p>
      <w:pPr>
        <w:shd w:fill="1A1A2E" w:val="clear"/>
        <w:spacing w:before="80" w:after="80"/>
        <w:ind w:left="200" w:right="20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num_bedrooms      INTEGER,</w:t>
      </w:r>
    </w:p>
    <w:p>
      <w:pPr>
        <w:shd w:fill="1A1A2E" w:val="clear"/>
        <w:spacing w:before="80" w:after="80"/>
        <w:ind w:left="200" w:right="20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condition         TEXT,</w:t>
      </w:r>
    </w:p>
    <w:p>
      <w:pPr>
        <w:shd w:fill="1A1A2E" w:val="clear"/>
        <w:spacing w:before="80" w:after="80"/>
        <w:ind w:left="200" w:right="20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-- Adjustments</w:t>
      </w:r>
    </w:p>
    <w:p>
      <w:pPr>
        <w:shd w:fill="1A1A2E" w:val="clear"/>
        <w:spacing w:before="80" w:after="80"/>
        <w:ind w:left="200" w:right="20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adjustments       JSONB DEFAULT '{}',  -- {time: %, size: %, floor: %, etc.}</w:t>
      </w:r>
    </w:p>
    <w:p>
      <w:pPr>
        <w:shd w:fill="1A1A2E" w:val="clear"/>
        <w:spacing w:before="80" w:after="80"/>
        <w:ind w:left="200" w:right="20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adjusted_rate_psm NUMERIC,</w:t>
      </w:r>
    </w:p>
    <w:p>
      <w:pPr>
        <w:shd w:fill="1A1A2E" w:val="clear"/>
        <w:spacing w:before="80" w:after="80"/>
        <w:ind w:left="200" w:right="20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weight            NUMERIC DEFAULT 1.0, -- 0-1 weighting</w:t>
      </w:r>
    </w:p>
    <w:p>
      <w:pPr>
        <w:shd w:fill="1A1A2E" w:val="clear"/>
        <w:spacing w:before="80" w:after="80"/>
        <w:ind w:left="200" w:right="20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role              TEXT DEFAULT 'primary' CHECK (</w:t>
      </w:r>
    </w:p>
    <w:p>
      <w:pPr>
        <w:shd w:fill="1A1A2E" w:val="clear"/>
        <w:spacing w:before="80" w:after="80"/>
        <w:ind w:left="200" w:right="20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                  role IN ('primary','secondary','benchmark')),</w:t>
      </w:r>
    </w:p>
    <w:p>
      <w:pPr>
        <w:shd w:fill="1A1A2E" w:val="clear"/>
        <w:spacing w:before="80" w:after="80"/>
        <w:ind w:left="200" w:right="20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valuer_notes      TEXT,</w:t>
      </w:r>
    </w:p>
    <w:p>
      <w:pPr>
        <w:shd w:fill="1A1A2E" w:val="clear"/>
        <w:spacing w:before="80" w:after="80"/>
        <w:ind w:left="200" w:right="20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sort_order        INTEGER DEFAULT 0,</w:t>
      </w:r>
    </w:p>
    <w:p>
      <w:pPr>
        <w:shd w:fill="1A1A2E" w:val="clear"/>
        <w:spacing w:before="80" w:after="80"/>
        <w:ind w:left="200" w:right="20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created_at        TIMESTAMPTZ DEFAULT NOW()</w:t>
      </w:r>
    </w:p>
    <w:p>
      <w:pPr>
        <w:shd w:fill="1A1A2E" w:val="clear"/>
        <w:spacing w:before="80" w:after="80"/>
        <w:ind w:left="200" w:right="20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);</w:t>
      </w:r>
    </w:p>
    <w:p>
      <w:pPr>
        <w:shd w:fill="1A1A2E" w:val="clear"/>
        <w:spacing w:before="80" w:after="80"/>
        <w:ind w:left="200" w:right="20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CREATE TABLE valuation_decisions (</w:t>
      </w:r>
    </w:p>
    <w:p>
      <w:pPr>
        <w:shd w:fill="1A1A2E" w:val="clear"/>
        <w:spacing w:before="80" w:after="80"/>
        <w:ind w:left="200" w:right="20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id                UUID DEFAULT gen_random_uuid() PRIMARY KEY,</w:t>
      </w:r>
    </w:p>
    <w:p>
      <w:pPr>
        <w:shd w:fill="1A1A2E" w:val="clear"/>
        <w:spacing w:before="80" w:after="80"/>
        <w:ind w:left="200" w:right="20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case_id           UUID REFERENCES cases(id) ON DELETE CASCADE,</w:t>
      </w:r>
    </w:p>
    <w:p>
      <w:pPr>
        <w:shd w:fill="1A1A2E" w:val="clear"/>
        <w:spacing w:before="80" w:after="80"/>
        <w:ind w:left="200" w:right="20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market_value      NUMERIC,</w:t>
      </w:r>
    </w:p>
    <w:p>
      <w:pPr>
        <w:shd w:fill="1A1A2E" w:val="clear"/>
        <w:spacing w:before="80" w:after="80"/>
        <w:ind w:left="200" w:right="20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valuation_basis   TEXT,</w:t>
      </w:r>
    </w:p>
    <w:p>
      <w:pPr>
        <w:shd w:fill="1A1A2E" w:val="clear"/>
        <w:spacing w:before="80" w:after="80"/>
        <w:ind w:left="200" w:right="20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approach          TEXT DEFAULT 'comparison',</w:t>
      </w:r>
    </w:p>
    <w:p>
      <w:pPr>
        <w:shd w:fill="1A1A2E" w:val="clear"/>
        <w:spacing w:before="80" w:after="80"/>
        <w:ind w:left="200" w:right="20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adopted_rate_psm  NUMERIC,</w:t>
      </w:r>
    </w:p>
    <w:p>
      <w:pPr>
        <w:shd w:fill="1A1A2E" w:val="clear"/>
        <w:spacing w:before="80" w:after="80"/>
        <w:ind w:left="200" w:right="20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confidence_level  TEXT,</w:t>
      </w:r>
    </w:p>
    <w:p>
      <w:pPr>
        <w:shd w:fill="1A1A2E" w:val="clear"/>
        <w:spacing w:before="80" w:after="80"/>
        <w:ind w:left="200" w:right="20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valuer_commentary TEXT,</w:t>
      </w:r>
    </w:p>
    <w:p>
      <w:pPr>
        <w:shd w:fill="1A1A2E" w:val="clear"/>
        <w:spacing w:before="80" w:after="80"/>
        <w:ind w:left="200" w:right="20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conclusion_narrative TEXT,</w:t>
      </w:r>
    </w:p>
    <w:p>
      <w:pPr>
        <w:shd w:fill="1A1A2E" w:val="clear"/>
        <w:spacing w:before="80" w:after="80"/>
        <w:ind w:left="200" w:right="20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revision_number   INTEGER DEFAULT 1,</w:t>
      </w:r>
    </w:p>
    <w:p>
      <w:pPr>
        <w:shd w:fill="1A1A2E" w:val="clear"/>
        <w:spacing w:before="80" w:after="80"/>
        <w:ind w:left="200" w:right="20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created_at        TIMESTAMPTZ DEFAULT NOW()</w:t>
      </w:r>
    </w:p>
    <w:p>
      <w:pPr>
        <w:shd w:fill="1A1A2E" w:val="clear"/>
        <w:spacing w:before="80" w:after="80"/>
        <w:ind w:left="200" w:right="20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);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FF2E97"/>
          <w:sz w:val="26"/>
          <w:szCs w:val="26"/>
        </w:rPr>
        <w:t xml:space="preserve">6.5 Tier 3 — Evidence Library</w:t>
      </w:r>
    </w:p>
    <w:p>
      <w:pPr>
        <w:shd w:fill="1A1A2E" w:val="clear"/>
        <w:spacing w:before="80" w:after="80"/>
        <w:ind w:left="200" w:right="20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CREATE TABLE evidence_library (</w:t>
      </w:r>
    </w:p>
    <w:p>
      <w:pPr>
        <w:shd w:fill="1A1A2E" w:val="clear"/>
        <w:spacing w:before="80" w:after="80"/>
        <w:ind w:left="200" w:right="20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id                UUID DEFAULT gen_random_uuid() PRIMARY KEY,</w:t>
      </w:r>
    </w:p>
    <w:p>
      <w:pPr>
        <w:shd w:fill="1A1A2E" w:val="clear"/>
        <w:spacing w:before="80" w:after="80"/>
        <w:ind w:left="200" w:right="20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uprn              BIGINT,             -- if resolvable</w:t>
      </w:r>
    </w:p>
    <w:p>
      <w:pPr>
        <w:shd w:fill="1A1A2E" w:val="clear"/>
        <w:spacing w:before="80" w:after="80"/>
        <w:ind w:left="200" w:right="20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address           TEXT NOT NULL,</w:t>
      </w:r>
    </w:p>
    <w:p>
      <w:pPr>
        <w:shd w:fill="1A1A2E" w:val="clear"/>
        <w:spacing w:before="80" w:after="80"/>
        <w:ind w:left="200" w:right="20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postcode          TEXT NOT NULL,</w:t>
      </w:r>
    </w:p>
    <w:p>
      <w:pPr>
        <w:shd w:fill="1A1A2E" w:val="clear"/>
        <w:spacing w:before="80" w:after="80"/>
        <w:ind w:left="200" w:right="20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transaction_date  DATE,</w:t>
      </w:r>
    </w:p>
    <w:p>
      <w:pPr>
        <w:shd w:fill="1A1A2E" w:val="clear"/>
        <w:spacing w:before="80" w:after="80"/>
        <w:ind w:left="200" w:right="20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transaction_price NUMERIC,</w:t>
      </w:r>
    </w:p>
    <w:p>
      <w:pPr>
        <w:shd w:fill="1A1A2E" w:val="clear"/>
        <w:spacing w:before="80" w:after="80"/>
        <w:ind w:left="200" w:right="20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property_type     TEXT,</w:t>
      </w:r>
    </w:p>
    <w:p>
      <w:pPr>
        <w:shd w:fill="1A1A2E" w:val="clear"/>
        <w:spacing w:before="80" w:after="80"/>
        <w:ind w:left="200" w:right="20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floor_area_sqm    NUMERIC,</w:t>
      </w:r>
    </w:p>
    <w:p>
      <w:pPr>
        <w:shd w:fill="1A1A2E" w:val="clear"/>
        <w:spacing w:before="80" w:after="80"/>
        <w:ind w:left="200" w:right="20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floor_level       INTEGER,</w:t>
      </w:r>
    </w:p>
    <w:p>
      <w:pPr>
        <w:shd w:fill="1A1A2E" w:val="clear"/>
        <w:spacing w:before="80" w:after="80"/>
        <w:ind w:left="200" w:right="20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num_bedrooms      INTEGER,</w:t>
      </w:r>
    </w:p>
    <w:p>
      <w:pPr>
        <w:shd w:fill="1A1A2E" w:val="clear"/>
        <w:spacing w:before="80" w:after="80"/>
        <w:ind w:left="200" w:right="20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tenure            TEXT,</w:t>
      </w:r>
    </w:p>
    <w:p>
      <w:pPr>
        <w:shd w:fill="1A1A2E" w:val="clear"/>
        <w:spacing w:before="80" w:after="80"/>
        <w:ind w:left="200" w:right="20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data_source       TEXT NOT NULL,       -- 'lr_ppd','surveyor_input','migration'</w:t>
      </w:r>
    </w:p>
    <w:p>
      <w:pPr>
        <w:shd w:fill="1A1A2E" w:val="clear"/>
        <w:spacing w:before="80" w:after="80"/>
        <w:ind w:left="200" w:right="20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source_confidence TEXT NOT NULL,       -- 'verified','high','medium','low'</w:t>
      </w:r>
    </w:p>
    <w:p>
      <w:pPr>
        <w:shd w:fill="1A1A2E" w:val="clear"/>
        <w:spacing w:before="80" w:after="80"/>
        <w:ind w:left="200" w:right="20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contributed_by_firm UUID,              -- anonymised: firm is known but not shown</w:t>
      </w:r>
    </w:p>
    <w:p>
      <w:pPr>
        <w:shd w:fill="1A1A2E" w:val="clear"/>
        <w:spacing w:before="80" w:after="80"/>
        <w:ind w:left="200" w:right="20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contributed_by_case UUID,</w:t>
      </w:r>
    </w:p>
    <w:p>
      <w:pPr>
        <w:shd w:fill="1A1A2E" w:val="clear"/>
        <w:spacing w:before="80" w:after="80"/>
        <w:ind w:left="200" w:right="20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created_at        TIMESTAMPTZ DEFAULT NOW(),</w:t>
      </w:r>
    </w:p>
    <w:p>
      <w:pPr>
        <w:shd w:fill="1A1A2E" w:val="clear"/>
        <w:spacing w:before="80" w:after="80"/>
        <w:ind w:left="200" w:right="20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-- Deduplication</w:t>
      </w:r>
    </w:p>
    <w:p>
      <w:pPr>
        <w:shd w:fill="1A1A2E" w:val="clear"/>
        <w:spacing w:before="80" w:after="80"/>
        <w:ind w:left="200" w:right="20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UNIQUE(uprn, transaction_date, transaction_price)</w:t>
      </w:r>
    </w:p>
    <w:p>
      <w:pPr>
        <w:shd w:fill="1A1A2E" w:val="clear"/>
        <w:spacing w:before="80" w:after="80"/>
        <w:ind w:left="200" w:right="20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);</w:t>
      </w:r>
    </w:p>
    <w:p>
      <w:r>
        <w:br w:type="page"/>
      </w:r>
    </w:p>
    <w:p>
      <w:pPr>
        <w:spacing w:before="400" w:after="200"/>
      </w:pPr>
      <w:r>
        <w:rPr>
          <w:rFonts w:ascii="Arial" w:cs="Arial" w:eastAsia="Arial" w:hAnsi="Arial"/>
          <w:b/>
          <w:bCs/>
          <w:color w:val="00F0FF"/>
          <w:sz w:val="32"/>
          <w:szCs w:val="32"/>
        </w:rPr>
        <w:t xml:space="preserve">7. CONSOLIDATED RISK REGISTER</w:t>
      </w:r>
    </w:p>
    <w:p>
      <w:pPr>
        <w:spacing w:before="60" w:after="6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0E0E0"/>
          <w:sz w:val="20"/>
          <w:szCs w:val="20"/>
        </w:rPr>
        <w:t xml:space="preserve">All identified risks gathered in one place with severity ratings and mitigations.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000"/>
        <w:gridCol w:w="900"/>
        <w:gridCol w:w="4726"/>
      </w:tblGrid>
      <w:tr>
        <w:trPr>
          <w:tblHeader/>
        </w:trPr>
        <w:tc>
          <w:tcPr>
            <w:tcW w:type="dxa" w:w="400"/>
            <w:tcBorders>
              <w:top w:val="single" w:color="2A2A4A" w:sz="1"/>
              <w:left w:val="single" w:color="2A2A4A" w:sz="1"/>
              <w:bottom w:val="single" w:color="2A2A4A" w:sz="1"/>
              <w:right w:val="single" w:color="2A2A4A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F0FF"/>
                <w:sz w:val="18"/>
                <w:szCs w:val="18"/>
              </w:rPr>
              <w:t xml:space="preserve">#</w:t>
            </w:r>
          </w:p>
        </w:tc>
        <w:tc>
          <w:tcPr>
            <w:tcW w:type="dxa" w:w="3000"/>
            <w:tcBorders>
              <w:top w:val="single" w:color="2A2A4A" w:sz="1"/>
              <w:left w:val="single" w:color="2A2A4A" w:sz="1"/>
              <w:bottom w:val="single" w:color="2A2A4A" w:sz="1"/>
              <w:right w:val="single" w:color="2A2A4A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F0FF"/>
                <w:sz w:val="18"/>
                <w:szCs w:val="18"/>
              </w:rPr>
              <w:t xml:space="preserve">Risk</w:t>
            </w:r>
          </w:p>
        </w:tc>
        <w:tc>
          <w:tcPr>
            <w:tcW w:type="dxa" w:w="900"/>
            <w:tcBorders>
              <w:top w:val="single" w:color="2A2A4A" w:sz="1"/>
              <w:left w:val="single" w:color="2A2A4A" w:sz="1"/>
              <w:bottom w:val="single" w:color="2A2A4A" w:sz="1"/>
              <w:right w:val="single" w:color="2A2A4A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F0FF"/>
                <w:sz w:val="18"/>
                <w:szCs w:val="18"/>
              </w:rPr>
              <w:t xml:space="preserve">Severity</w:t>
            </w:r>
          </w:p>
        </w:tc>
        <w:tc>
          <w:tcPr>
            <w:tcW w:type="dxa" w:w="4726"/>
            <w:tcBorders>
              <w:top w:val="single" w:color="2A2A4A" w:sz="1"/>
              <w:left w:val="single" w:color="2A2A4A" w:sz="1"/>
              <w:bottom w:val="single" w:color="2A2A4A" w:sz="1"/>
              <w:right w:val="single" w:color="2A2A4A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F0FF"/>
                <w:sz w:val="18"/>
                <w:szCs w:val="18"/>
              </w:rPr>
              <w:t xml:space="preserve">Mitigation</w:t>
            </w:r>
          </w:p>
        </w:tc>
      </w:tr>
      <w:tr>
        <w:tc>
          <w:tcPr>
            <w:tcW w:type="dxa" w:w="400"/>
            <w:tcBorders>
              <w:top w:val="single" w:color="2A2A4A" w:sz="1"/>
              <w:left w:val="single" w:color="2A2A4A" w:sz="1"/>
              <w:bottom w:val="single" w:color="2A2A4A" w:sz="1"/>
              <w:right w:val="single" w:color="2A2A4A" w:sz="1"/>
            </w:tcBorders>
            <w:shd w:fill="0D0D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E0E0E0"/>
                <w:sz w:val="18"/>
                <w:szCs w:val="18"/>
              </w:rPr>
              <w:t xml:space="preserve">R1</w:t>
            </w:r>
          </w:p>
        </w:tc>
        <w:tc>
          <w:tcPr>
            <w:tcW w:type="dxa" w:w="3000"/>
            <w:tcBorders>
              <w:top w:val="single" w:color="2A2A4A" w:sz="1"/>
              <w:left w:val="single" w:color="2A2A4A" w:sz="1"/>
              <w:bottom w:val="single" w:color="2A2A4A" w:sz="1"/>
              <w:right w:val="single" w:color="2A2A4A" w:sz="1"/>
            </w:tcBorders>
            <w:shd w:fill="0D0D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E0E0E0"/>
                <w:sz w:val="18"/>
                <w:szCs w:val="18"/>
              </w:rPr>
              <w:t xml:space="preserve">UPRN resolution failure — property cannot be matched</w:t>
            </w:r>
          </w:p>
        </w:tc>
        <w:tc>
          <w:tcPr>
            <w:tcW w:type="dxa" w:w="900"/>
            <w:tcBorders>
              <w:top w:val="single" w:color="2A2A4A" w:sz="1"/>
              <w:left w:val="single" w:color="2A2A4A" w:sz="1"/>
              <w:bottom w:val="single" w:color="2A2A4A" w:sz="1"/>
              <w:right w:val="single" w:color="2A2A4A" w:sz="1"/>
            </w:tcBorders>
            <w:shd w:fill="0D0D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E0E0E0"/>
                <w:sz w:val="18"/>
                <w:szCs w:val="18"/>
              </w:rPr>
              <w:t xml:space="preserve">Medium</w:t>
            </w:r>
          </w:p>
        </w:tc>
        <w:tc>
          <w:tcPr>
            <w:tcW w:type="dxa" w:w="4726"/>
            <w:tcBorders>
              <w:top w:val="single" w:color="2A2A4A" w:sz="1"/>
              <w:left w:val="single" w:color="2A2A4A" w:sz="1"/>
              <w:bottom w:val="single" w:color="2A2A4A" w:sz="1"/>
              <w:right w:val="single" w:color="2A2A4A" w:sz="1"/>
            </w:tcBorders>
            <w:shd w:fill="0D0D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E0E0E0"/>
                <w:sz w:val="18"/>
                <w:szCs w:val="18"/>
              </w:rPr>
              <w:t xml:space="preserve">Allow cases without confirmed UPRN. Manual address fallback. Flag for later resolution.</w:t>
            </w:r>
          </w:p>
        </w:tc>
      </w:tr>
      <w:tr>
        <w:tc>
          <w:tcPr>
            <w:tcW w:type="dxa" w:w="400"/>
            <w:tcBorders>
              <w:top w:val="single" w:color="2A2A4A" w:sz="1"/>
              <w:left w:val="single" w:color="2A2A4A" w:sz="1"/>
              <w:bottom w:val="single" w:color="2A2A4A" w:sz="1"/>
              <w:right w:val="single" w:color="2A2A4A" w:sz="1"/>
            </w:tcBorders>
            <w:shd w:fill="0F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E0E0E0"/>
                <w:sz w:val="18"/>
                <w:szCs w:val="18"/>
              </w:rPr>
              <w:t xml:space="preserve">R2</w:t>
            </w:r>
          </w:p>
        </w:tc>
        <w:tc>
          <w:tcPr>
            <w:tcW w:type="dxa" w:w="3000"/>
            <w:tcBorders>
              <w:top w:val="single" w:color="2A2A4A" w:sz="1"/>
              <w:left w:val="single" w:color="2A2A4A" w:sz="1"/>
              <w:bottom w:val="single" w:color="2A2A4A" w:sz="1"/>
              <w:right w:val="single" w:color="2A2A4A" w:sz="1"/>
            </w:tcBorders>
            <w:shd w:fill="0F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E0E0E0"/>
                <w:sz w:val="18"/>
                <w:szCs w:val="18"/>
              </w:rPr>
              <w:t xml:space="preserve">Data staleness — enrichment data shown as current but years old</w:t>
            </w:r>
          </w:p>
        </w:tc>
        <w:tc>
          <w:tcPr>
            <w:tcW w:type="dxa" w:w="900"/>
            <w:tcBorders>
              <w:top w:val="single" w:color="2A2A4A" w:sz="1"/>
              <w:left w:val="single" w:color="2A2A4A" w:sz="1"/>
              <w:bottom w:val="single" w:color="2A2A4A" w:sz="1"/>
              <w:right w:val="single" w:color="2A2A4A" w:sz="1"/>
            </w:tcBorders>
            <w:shd w:fill="0F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E0E0E0"/>
                <w:sz w:val="18"/>
                <w:szCs w:val="18"/>
              </w:rPr>
              <w:t xml:space="preserve">Medium</w:t>
            </w:r>
          </w:p>
        </w:tc>
        <w:tc>
          <w:tcPr>
            <w:tcW w:type="dxa" w:w="4726"/>
            <w:tcBorders>
              <w:top w:val="single" w:color="2A2A4A" w:sz="1"/>
              <w:left w:val="single" w:color="2A2A4A" w:sz="1"/>
              <w:bottom w:val="single" w:color="2A2A4A" w:sz="1"/>
              <w:right w:val="single" w:color="2A2A4A" w:sz="1"/>
            </w:tcBorders>
            <w:shd w:fill="0F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E0E0E0"/>
                <w:sz w:val="18"/>
                <w:szCs w:val="18"/>
              </w:rPr>
              <w:t xml:space="preserve">Display fetched_at prominently. Configurable age thresholds with visual warnings.</w:t>
            </w:r>
          </w:p>
        </w:tc>
      </w:tr>
      <w:tr>
        <w:tc>
          <w:tcPr>
            <w:tcW w:type="dxa" w:w="400"/>
            <w:tcBorders>
              <w:top w:val="single" w:color="2A2A4A" w:sz="1"/>
              <w:left w:val="single" w:color="2A2A4A" w:sz="1"/>
              <w:bottom w:val="single" w:color="2A2A4A" w:sz="1"/>
              <w:right w:val="single" w:color="2A2A4A" w:sz="1"/>
            </w:tcBorders>
            <w:shd w:fill="0D0D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E0E0E0"/>
                <w:sz w:val="18"/>
                <w:szCs w:val="18"/>
              </w:rPr>
              <w:t xml:space="preserve">R3</w:t>
            </w:r>
          </w:p>
        </w:tc>
        <w:tc>
          <w:tcPr>
            <w:tcW w:type="dxa" w:w="3000"/>
            <w:tcBorders>
              <w:top w:val="single" w:color="2A2A4A" w:sz="1"/>
              <w:left w:val="single" w:color="2A2A4A" w:sz="1"/>
              <w:bottom w:val="single" w:color="2A2A4A" w:sz="1"/>
              <w:right w:val="single" w:color="2A2A4A" w:sz="1"/>
            </w:tcBorders>
            <w:shd w:fill="0D0D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E0E0E0"/>
                <w:sz w:val="18"/>
                <w:szCs w:val="18"/>
              </w:rPr>
              <w:t xml:space="preserve">RLS misconfiguration — data leak across firms</w:t>
            </w:r>
          </w:p>
        </w:tc>
        <w:tc>
          <w:tcPr>
            <w:tcW w:type="dxa" w:w="900"/>
            <w:tcBorders>
              <w:top w:val="single" w:color="2A2A4A" w:sz="1"/>
              <w:left w:val="single" w:color="2A2A4A" w:sz="1"/>
              <w:bottom w:val="single" w:color="2A2A4A" w:sz="1"/>
              <w:right w:val="single" w:color="2A2A4A" w:sz="1"/>
            </w:tcBorders>
            <w:shd w:fill="0D0D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E0E0E0"/>
                <w:sz w:val="18"/>
                <w:szCs w:val="18"/>
              </w:rPr>
              <w:t xml:space="preserve">Critical</w:t>
            </w:r>
          </w:p>
        </w:tc>
        <w:tc>
          <w:tcPr>
            <w:tcW w:type="dxa" w:w="4726"/>
            <w:tcBorders>
              <w:top w:val="single" w:color="2A2A4A" w:sz="1"/>
              <w:left w:val="single" w:color="2A2A4A" w:sz="1"/>
              <w:bottom w:val="single" w:color="2A2A4A" w:sz="1"/>
              <w:right w:val="single" w:color="2A2A4A" w:sz="1"/>
            </w:tcBorders>
            <w:shd w:fill="0D0D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E0E0E0"/>
                <w:sz w:val="18"/>
                <w:szCs w:val="18"/>
              </w:rPr>
              <w:t xml:space="preserve">Auto-RLS on all tables. Mandatory multi-firm testing before production. Regular security audit.</w:t>
            </w:r>
          </w:p>
        </w:tc>
      </w:tr>
      <w:tr>
        <w:tc>
          <w:tcPr>
            <w:tcW w:type="dxa" w:w="400"/>
            <w:tcBorders>
              <w:top w:val="single" w:color="2A2A4A" w:sz="1"/>
              <w:left w:val="single" w:color="2A2A4A" w:sz="1"/>
              <w:bottom w:val="single" w:color="2A2A4A" w:sz="1"/>
              <w:right w:val="single" w:color="2A2A4A" w:sz="1"/>
            </w:tcBorders>
            <w:shd w:fill="0F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E0E0E0"/>
                <w:sz w:val="18"/>
                <w:szCs w:val="18"/>
              </w:rPr>
              <w:t xml:space="preserve">R4</w:t>
            </w:r>
          </w:p>
        </w:tc>
        <w:tc>
          <w:tcPr>
            <w:tcW w:type="dxa" w:w="3000"/>
            <w:tcBorders>
              <w:top w:val="single" w:color="2A2A4A" w:sz="1"/>
              <w:left w:val="single" w:color="2A2A4A" w:sz="1"/>
              <w:bottom w:val="single" w:color="2A2A4A" w:sz="1"/>
              <w:right w:val="single" w:color="2A2A4A" w:sz="1"/>
            </w:tcBorders>
            <w:shd w:fill="0F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E0E0E0"/>
                <w:sz w:val="18"/>
                <w:szCs w:val="18"/>
              </w:rPr>
              <w:t xml:space="preserve">Cross-firm data exposure via evidence library</w:t>
            </w:r>
          </w:p>
        </w:tc>
        <w:tc>
          <w:tcPr>
            <w:tcW w:type="dxa" w:w="900"/>
            <w:tcBorders>
              <w:top w:val="single" w:color="2A2A4A" w:sz="1"/>
              <w:left w:val="single" w:color="2A2A4A" w:sz="1"/>
              <w:bottom w:val="single" w:color="2A2A4A" w:sz="1"/>
              <w:right w:val="single" w:color="2A2A4A" w:sz="1"/>
            </w:tcBorders>
            <w:shd w:fill="0F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E0E0E0"/>
                <w:sz w:val="18"/>
                <w:szCs w:val="18"/>
              </w:rPr>
              <w:t xml:space="preserve">High</w:t>
            </w:r>
          </w:p>
        </w:tc>
        <w:tc>
          <w:tcPr>
            <w:tcW w:type="dxa" w:w="4726"/>
            <w:tcBorders>
              <w:top w:val="single" w:color="2A2A4A" w:sz="1"/>
              <w:left w:val="single" w:color="2A2A4A" w:sz="1"/>
              <w:bottom w:val="single" w:color="2A2A4A" w:sz="1"/>
              <w:right w:val="single" w:color="2A2A4A" w:sz="1"/>
            </w:tcBorders>
            <w:shd w:fill="0F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E0E0E0"/>
                <w:sz w:val="18"/>
                <w:szCs w:val="18"/>
              </w:rPr>
              <w:t xml:space="preserve">Strip personal identifiers. Anonymise firm attribution. Never share Tier 2 data across firms.</w:t>
            </w:r>
          </w:p>
        </w:tc>
      </w:tr>
      <w:tr>
        <w:tc>
          <w:tcPr>
            <w:tcW w:type="dxa" w:w="400"/>
            <w:tcBorders>
              <w:top w:val="single" w:color="2A2A4A" w:sz="1"/>
              <w:left w:val="single" w:color="2A2A4A" w:sz="1"/>
              <w:bottom w:val="single" w:color="2A2A4A" w:sz="1"/>
              <w:right w:val="single" w:color="2A2A4A" w:sz="1"/>
            </w:tcBorders>
            <w:shd w:fill="0D0D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E0E0E0"/>
                <w:sz w:val="18"/>
                <w:szCs w:val="18"/>
              </w:rPr>
              <w:t xml:space="preserve">R5</w:t>
            </w:r>
          </w:p>
        </w:tc>
        <w:tc>
          <w:tcPr>
            <w:tcW w:type="dxa" w:w="3000"/>
            <w:tcBorders>
              <w:top w:val="single" w:color="2A2A4A" w:sz="1"/>
              <w:left w:val="single" w:color="2A2A4A" w:sz="1"/>
              <w:bottom w:val="single" w:color="2A2A4A" w:sz="1"/>
              <w:right w:val="single" w:color="2A2A4A" w:sz="1"/>
            </w:tcBorders>
            <w:shd w:fill="0D0D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E0E0E0"/>
                <w:sz w:val="18"/>
                <w:szCs w:val="18"/>
              </w:rPr>
              <w:t xml:space="preserve">Supervision compliance failure — graduate issues without reviewer</w:t>
            </w:r>
          </w:p>
        </w:tc>
        <w:tc>
          <w:tcPr>
            <w:tcW w:type="dxa" w:w="900"/>
            <w:tcBorders>
              <w:top w:val="single" w:color="2A2A4A" w:sz="1"/>
              <w:left w:val="single" w:color="2A2A4A" w:sz="1"/>
              <w:bottom w:val="single" w:color="2A2A4A" w:sz="1"/>
              <w:right w:val="single" w:color="2A2A4A" w:sz="1"/>
            </w:tcBorders>
            <w:shd w:fill="0D0D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E0E0E0"/>
                <w:sz w:val="18"/>
                <w:szCs w:val="18"/>
              </w:rPr>
              <w:t xml:space="preserve">High</w:t>
            </w:r>
          </w:p>
        </w:tc>
        <w:tc>
          <w:tcPr>
            <w:tcW w:type="dxa" w:w="4726"/>
            <w:tcBorders>
              <w:top w:val="single" w:color="2A2A4A" w:sz="1"/>
              <w:left w:val="single" w:color="2A2A4A" w:sz="1"/>
              <w:bottom w:val="single" w:color="2A2A4A" w:sz="1"/>
              <w:right w:val="single" w:color="2A2A4A" w:sz="1"/>
            </w:tcBorders>
            <w:shd w:fill="0D0D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E0E0E0"/>
                <w:sz w:val="18"/>
                <w:szCs w:val="18"/>
              </w:rPr>
              <w:t xml:space="preserve">Hard enforcement: cases with graduate valuer cannot reach 'issued' without reviewer sign-off.</w:t>
            </w:r>
          </w:p>
        </w:tc>
      </w:tr>
      <w:tr>
        <w:tc>
          <w:tcPr>
            <w:tcW w:type="dxa" w:w="400"/>
            <w:tcBorders>
              <w:top w:val="single" w:color="2A2A4A" w:sz="1"/>
              <w:left w:val="single" w:color="2A2A4A" w:sz="1"/>
              <w:bottom w:val="single" w:color="2A2A4A" w:sz="1"/>
              <w:right w:val="single" w:color="2A2A4A" w:sz="1"/>
            </w:tcBorders>
            <w:shd w:fill="0F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E0E0E0"/>
                <w:sz w:val="18"/>
                <w:szCs w:val="18"/>
              </w:rPr>
              <w:t xml:space="preserve">R6</w:t>
            </w:r>
          </w:p>
        </w:tc>
        <w:tc>
          <w:tcPr>
            <w:tcW w:type="dxa" w:w="3000"/>
            <w:tcBorders>
              <w:top w:val="single" w:color="2A2A4A" w:sz="1"/>
              <w:left w:val="single" w:color="2A2A4A" w:sz="1"/>
              <w:bottom w:val="single" w:color="2A2A4A" w:sz="1"/>
              <w:right w:val="single" w:color="2A2A4A" w:sz="1"/>
            </w:tcBorders>
            <w:shd w:fill="0F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E0E0E0"/>
                <w:sz w:val="18"/>
                <w:szCs w:val="18"/>
              </w:rPr>
              <w:t xml:space="preserve">Legacy migration quality — misread figures from PDF extraction</w:t>
            </w:r>
          </w:p>
        </w:tc>
        <w:tc>
          <w:tcPr>
            <w:tcW w:type="dxa" w:w="900"/>
            <w:tcBorders>
              <w:top w:val="single" w:color="2A2A4A" w:sz="1"/>
              <w:left w:val="single" w:color="2A2A4A" w:sz="1"/>
              <w:bottom w:val="single" w:color="2A2A4A" w:sz="1"/>
              <w:right w:val="single" w:color="2A2A4A" w:sz="1"/>
            </w:tcBorders>
            <w:shd w:fill="0F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E0E0E0"/>
                <w:sz w:val="18"/>
                <w:szCs w:val="18"/>
              </w:rPr>
              <w:t xml:space="preserve">Medium</w:t>
            </w:r>
          </w:p>
        </w:tc>
        <w:tc>
          <w:tcPr>
            <w:tcW w:type="dxa" w:w="4726"/>
            <w:tcBorders>
              <w:top w:val="single" w:color="2A2A4A" w:sz="1"/>
              <w:left w:val="single" w:color="2A2A4A" w:sz="1"/>
              <w:bottom w:val="single" w:color="2A2A4A" w:sz="1"/>
              <w:right w:val="single" w:color="2A2A4A" w:sz="1"/>
            </w:tcBorders>
            <w:shd w:fill="0F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E0E0E0"/>
                <w:sz w:val="18"/>
                <w:szCs w:val="18"/>
              </w:rPr>
              <w:t xml:space="preserve">Extraction confidence scoring. Manual QA for high-value cases. Firm sign-off before go-live.</w:t>
            </w:r>
          </w:p>
        </w:tc>
      </w:tr>
      <w:tr>
        <w:tc>
          <w:tcPr>
            <w:tcW w:type="dxa" w:w="400"/>
            <w:tcBorders>
              <w:top w:val="single" w:color="2A2A4A" w:sz="1"/>
              <w:left w:val="single" w:color="2A2A4A" w:sz="1"/>
              <w:bottom w:val="single" w:color="2A2A4A" w:sz="1"/>
              <w:right w:val="single" w:color="2A2A4A" w:sz="1"/>
            </w:tcBorders>
            <w:shd w:fill="0D0D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E0E0E0"/>
                <w:sz w:val="18"/>
                <w:szCs w:val="18"/>
              </w:rPr>
              <w:t xml:space="preserve">R7</w:t>
            </w:r>
          </w:p>
        </w:tc>
        <w:tc>
          <w:tcPr>
            <w:tcW w:type="dxa" w:w="3000"/>
            <w:tcBorders>
              <w:top w:val="single" w:color="2A2A4A" w:sz="1"/>
              <w:left w:val="single" w:color="2A2A4A" w:sz="1"/>
              <w:bottom w:val="single" w:color="2A2A4A" w:sz="1"/>
              <w:right w:val="single" w:color="2A2A4A" w:sz="1"/>
            </w:tcBorders>
            <w:shd w:fill="0D0D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E0E0E0"/>
                <w:sz w:val="18"/>
                <w:szCs w:val="18"/>
              </w:rPr>
              <w:t xml:space="preserve">Duplicate property records from migration or variant addresses</w:t>
            </w:r>
          </w:p>
        </w:tc>
        <w:tc>
          <w:tcPr>
            <w:tcW w:type="dxa" w:w="900"/>
            <w:tcBorders>
              <w:top w:val="single" w:color="2A2A4A" w:sz="1"/>
              <w:left w:val="single" w:color="2A2A4A" w:sz="1"/>
              <w:bottom w:val="single" w:color="2A2A4A" w:sz="1"/>
              <w:right w:val="single" w:color="2A2A4A" w:sz="1"/>
            </w:tcBorders>
            <w:shd w:fill="0D0D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E0E0E0"/>
                <w:sz w:val="18"/>
                <w:szCs w:val="18"/>
              </w:rPr>
              <w:t xml:space="preserve">Medium</w:t>
            </w:r>
          </w:p>
        </w:tc>
        <w:tc>
          <w:tcPr>
            <w:tcW w:type="dxa" w:w="4726"/>
            <w:tcBorders>
              <w:top w:val="single" w:color="2A2A4A" w:sz="1"/>
              <w:left w:val="single" w:color="2A2A4A" w:sz="1"/>
              <w:bottom w:val="single" w:color="2A2A4A" w:sz="1"/>
              <w:right w:val="single" w:color="2A2A4A" w:sz="1"/>
            </w:tcBorders>
            <w:shd w:fill="0D0D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E0E0E0"/>
                <w:sz w:val="18"/>
                <w:szCs w:val="18"/>
              </w:rPr>
              <w:t xml:space="preserve">Post-migration dedup pass. Matching on UPRN + normalised address. Manual review, never auto-merge.</w:t>
            </w:r>
          </w:p>
        </w:tc>
      </w:tr>
      <w:tr>
        <w:tc>
          <w:tcPr>
            <w:tcW w:type="dxa" w:w="400"/>
            <w:tcBorders>
              <w:top w:val="single" w:color="2A2A4A" w:sz="1"/>
              <w:left w:val="single" w:color="2A2A4A" w:sz="1"/>
              <w:bottom w:val="single" w:color="2A2A4A" w:sz="1"/>
              <w:right w:val="single" w:color="2A2A4A" w:sz="1"/>
            </w:tcBorders>
            <w:shd w:fill="0F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E0E0E0"/>
                <w:sz w:val="18"/>
                <w:szCs w:val="18"/>
              </w:rPr>
              <w:t xml:space="preserve">R8</w:t>
            </w:r>
          </w:p>
        </w:tc>
        <w:tc>
          <w:tcPr>
            <w:tcW w:type="dxa" w:w="3000"/>
            <w:tcBorders>
              <w:top w:val="single" w:color="2A2A4A" w:sz="1"/>
              <w:left w:val="single" w:color="2A2A4A" w:sz="1"/>
              <w:bottom w:val="single" w:color="2A2A4A" w:sz="1"/>
              <w:right w:val="single" w:color="2A2A4A" w:sz="1"/>
            </w:tcBorders>
            <w:shd w:fill="0F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E0E0E0"/>
                <w:sz w:val="18"/>
                <w:szCs w:val="18"/>
              </w:rPr>
              <w:t xml:space="preserve">Evidence contamination — incorrect comparables in shared library</w:t>
            </w:r>
          </w:p>
        </w:tc>
        <w:tc>
          <w:tcPr>
            <w:tcW w:type="dxa" w:w="900"/>
            <w:tcBorders>
              <w:top w:val="single" w:color="2A2A4A" w:sz="1"/>
              <w:left w:val="single" w:color="2A2A4A" w:sz="1"/>
              <w:bottom w:val="single" w:color="2A2A4A" w:sz="1"/>
              <w:right w:val="single" w:color="2A2A4A" w:sz="1"/>
            </w:tcBorders>
            <w:shd w:fill="0F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E0E0E0"/>
                <w:sz w:val="18"/>
                <w:szCs w:val="18"/>
              </w:rPr>
              <w:t xml:space="preserve">Medium</w:t>
            </w:r>
          </w:p>
        </w:tc>
        <w:tc>
          <w:tcPr>
            <w:tcW w:type="dxa" w:w="4726"/>
            <w:tcBorders>
              <w:top w:val="single" w:color="2A2A4A" w:sz="1"/>
              <w:left w:val="single" w:color="2A2A4A" w:sz="1"/>
              <w:bottom w:val="single" w:color="2A2A4A" w:sz="1"/>
              <w:right w:val="single" w:color="2A2A4A" w:sz="1"/>
            </w:tcBorders>
            <w:shd w:fill="0F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E0E0E0"/>
                <w:sz w:val="18"/>
                <w:szCs w:val="18"/>
              </w:rPr>
              <w:t xml:space="preserve">Provenance tagging. Cross-reference against LR data. Flag discrepancies &gt;10% from official records.</w:t>
            </w:r>
          </w:p>
        </w:tc>
      </w:tr>
      <w:tr>
        <w:tc>
          <w:tcPr>
            <w:tcW w:type="dxa" w:w="400"/>
            <w:tcBorders>
              <w:top w:val="single" w:color="2A2A4A" w:sz="1"/>
              <w:left w:val="single" w:color="2A2A4A" w:sz="1"/>
              <w:bottom w:val="single" w:color="2A2A4A" w:sz="1"/>
              <w:right w:val="single" w:color="2A2A4A" w:sz="1"/>
            </w:tcBorders>
            <w:shd w:fill="0D0D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E0E0E0"/>
                <w:sz w:val="18"/>
                <w:szCs w:val="18"/>
              </w:rPr>
              <w:t xml:space="preserve">R9</w:t>
            </w:r>
          </w:p>
        </w:tc>
        <w:tc>
          <w:tcPr>
            <w:tcW w:type="dxa" w:w="3000"/>
            <w:tcBorders>
              <w:top w:val="single" w:color="2A2A4A" w:sz="1"/>
              <w:left w:val="single" w:color="2A2A4A" w:sz="1"/>
              <w:bottom w:val="single" w:color="2A2A4A" w:sz="1"/>
              <w:right w:val="single" w:color="2A2A4A" w:sz="1"/>
            </w:tcBorders>
            <w:shd w:fill="0D0D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E0E0E0"/>
                <w:sz w:val="18"/>
                <w:szCs w:val="18"/>
              </w:rPr>
              <w:t xml:space="preserve">Immutability vs. genuine corrections — locked cases that need amending</w:t>
            </w:r>
          </w:p>
        </w:tc>
        <w:tc>
          <w:tcPr>
            <w:tcW w:type="dxa" w:w="900"/>
            <w:tcBorders>
              <w:top w:val="single" w:color="2A2A4A" w:sz="1"/>
              <w:left w:val="single" w:color="2A2A4A" w:sz="1"/>
              <w:bottom w:val="single" w:color="2A2A4A" w:sz="1"/>
              <w:right w:val="single" w:color="2A2A4A" w:sz="1"/>
            </w:tcBorders>
            <w:shd w:fill="0D0D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E0E0E0"/>
                <w:sz w:val="18"/>
                <w:szCs w:val="18"/>
              </w:rPr>
              <w:t xml:space="preserve">Low</w:t>
            </w:r>
          </w:p>
        </w:tc>
        <w:tc>
          <w:tcPr>
            <w:tcW w:type="dxa" w:w="4726"/>
            <w:tcBorders>
              <w:top w:val="single" w:color="2A2A4A" w:sz="1"/>
              <w:left w:val="single" w:color="2A2A4A" w:sz="1"/>
              <w:bottom w:val="single" w:color="2A2A4A" w:sz="1"/>
              <w:right w:val="single" w:color="2A2A4A" w:sz="1"/>
            </w:tcBorders>
            <w:shd w:fill="0D0D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E0E0E0"/>
                <w:sz w:val="18"/>
                <w:szCs w:val="18"/>
              </w:rPr>
              <w:t xml:space="preserve">Amendment workflow: original case stays locked, new linked case with 'amendment' status created.</w:t>
            </w:r>
          </w:p>
        </w:tc>
      </w:tr>
      <w:tr>
        <w:tc>
          <w:tcPr>
            <w:tcW w:type="dxa" w:w="400"/>
            <w:tcBorders>
              <w:top w:val="single" w:color="2A2A4A" w:sz="1"/>
              <w:left w:val="single" w:color="2A2A4A" w:sz="1"/>
              <w:bottom w:val="single" w:color="2A2A4A" w:sz="1"/>
              <w:right w:val="single" w:color="2A2A4A" w:sz="1"/>
            </w:tcBorders>
            <w:shd w:fill="0F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E0E0E0"/>
                <w:sz w:val="18"/>
                <w:szCs w:val="18"/>
              </w:rPr>
              <w:t xml:space="preserve">R10</w:t>
            </w:r>
          </w:p>
        </w:tc>
        <w:tc>
          <w:tcPr>
            <w:tcW w:type="dxa" w:w="3000"/>
            <w:tcBorders>
              <w:top w:val="single" w:color="2A2A4A" w:sz="1"/>
              <w:left w:val="single" w:color="2A2A4A" w:sz="1"/>
              <w:bottom w:val="single" w:color="2A2A4A" w:sz="1"/>
              <w:right w:val="single" w:color="2A2A4A" w:sz="1"/>
            </w:tcBorders>
            <w:shd w:fill="0F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E0E0E0"/>
                <w:sz w:val="18"/>
                <w:szCs w:val="18"/>
              </w:rPr>
              <w:t xml:space="preserve">Case sequence collision — concurrent case creation for same UPRN</w:t>
            </w:r>
          </w:p>
        </w:tc>
        <w:tc>
          <w:tcPr>
            <w:tcW w:type="dxa" w:w="900"/>
            <w:tcBorders>
              <w:top w:val="single" w:color="2A2A4A" w:sz="1"/>
              <w:left w:val="single" w:color="2A2A4A" w:sz="1"/>
              <w:bottom w:val="single" w:color="2A2A4A" w:sz="1"/>
              <w:right w:val="single" w:color="2A2A4A" w:sz="1"/>
            </w:tcBorders>
            <w:shd w:fill="0F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E0E0E0"/>
                <w:sz w:val="18"/>
                <w:szCs w:val="18"/>
              </w:rPr>
              <w:t xml:space="preserve">Low</w:t>
            </w:r>
          </w:p>
        </w:tc>
        <w:tc>
          <w:tcPr>
            <w:tcW w:type="dxa" w:w="4726"/>
            <w:tcBorders>
              <w:top w:val="single" w:color="2A2A4A" w:sz="1"/>
              <w:left w:val="single" w:color="2A2A4A" w:sz="1"/>
              <w:bottom w:val="single" w:color="2A2A4A" w:sz="1"/>
              <w:right w:val="single" w:color="2A2A4A" w:sz="1"/>
            </w:tcBorders>
            <w:shd w:fill="0F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E0E0E0"/>
                <w:sz w:val="18"/>
                <w:szCs w:val="18"/>
              </w:rPr>
              <w:t xml:space="preserve">Database-level UNIQUE constraint + advisory lock or serialisable transaction on sequence assignment.</w:t>
            </w:r>
          </w:p>
        </w:tc>
      </w:tr>
      <w:tr>
        <w:tc>
          <w:tcPr>
            <w:tcW w:type="dxa" w:w="400"/>
            <w:tcBorders>
              <w:top w:val="single" w:color="2A2A4A" w:sz="1"/>
              <w:left w:val="single" w:color="2A2A4A" w:sz="1"/>
              <w:bottom w:val="single" w:color="2A2A4A" w:sz="1"/>
              <w:right w:val="single" w:color="2A2A4A" w:sz="1"/>
            </w:tcBorders>
            <w:shd w:fill="0D0D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E0E0E0"/>
                <w:sz w:val="18"/>
                <w:szCs w:val="18"/>
              </w:rPr>
              <w:t xml:space="preserve">R11</w:t>
            </w:r>
          </w:p>
        </w:tc>
        <w:tc>
          <w:tcPr>
            <w:tcW w:type="dxa" w:w="3000"/>
            <w:tcBorders>
              <w:top w:val="single" w:color="2A2A4A" w:sz="1"/>
              <w:left w:val="single" w:color="2A2A4A" w:sz="1"/>
              <w:bottom w:val="single" w:color="2A2A4A" w:sz="1"/>
              <w:right w:val="single" w:color="2A2A4A" w:sz="1"/>
            </w:tcBorders>
            <w:shd w:fill="0D0D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E0E0E0"/>
                <w:sz w:val="18"/>
                <w:szCs w:val="18"/>
              </w:rPr>
              <w:t xml:space="preserve">GDPR — personal data in evidence library or cross-firm visibility</w:t>
            </w:r>
          </w:p>
        </w:tc>
        <w:tc>
          <w:tcPr>
            <w:tcW w:type="dxa" w:w="900"/>
            <w:tcBorders>
              <w:top w:val="single" w:color="2A2A4A" w:sz="1"/>
              <w:left w:val="single" w:color="2A2A4A" w:sz="1"/>
              <w:bottom w:val="single" w:color="2A2A4A" w:sz="1"/>
              <w:right w:val="single" w:color="2A2A4A" w:sz="1"/>
            </w:tcBorders>
            <w:shd w:fill="0D0D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E0E0E0"/>
                <w:sz w:val="18"/>
                <w:szCs w:val="18"/>
              </w:rPr>
              <w:t xml:space="preserve">High</w:t>
            </w:r>
          </w:p>
        </w:tc>
        <w:tc>
          <w:tcPr>
            <w:tcW w:type="dxa" w:w="4726"/>
            <w:tcBorders>
              <w:top w:val="single" w:color="2A2A4A" w:sz="1"/>
              <w:left w:val="single" w:color="2A2A4A" w:sz="1"/>
              <w:bottom w:val="single" w:color="2A2A4A" w:sz="1"/>
              <w:right w:val="single" w:color="2A2A4A" w:sz="1"/>
            </w:tcBorders>
            <w:shd w:fill="0D0D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E0E0E0"/>
                <w:sz w:val="18"/>
                <w:szCs w:val="18"/>
              </w:rPr>
              <w:t xml:space="preserve">Personal identifiers stripped at normalisation. Only property-level data enters Tier 3. Privacy policy and DPA required.</w:t>
            </w:r>
          </w:p>
        </w:tc>
      </w:tr>
      <w:tr>
        <w:tc>
          <w:tcPr>
            <w:tcW w:type="dxa" w:w="400"/>
            <w:tcBorders>
              <w:top w:val="single" w:color="2A2A4A" w:sz="1"/>
              <w:left w:val="single" w:color="2A2A4A" w:sz="1"/>
              <w:bottom w:val="single" w:color="2A2A4A" w:sz="1"/>
              <w:right w:val="single" w:color="2A2A4A" w:sz="1"/>
            </w:tcBorders>
            <w:shd w:fill="0F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E0E0E0"/>
                <w:sz w:val="18"/>
                <w:szCs w:val="18"/>
              </w:rPr>
              <w:t xml:space="preserve">R12</w:t>
            </w:r>
          </w:p>
        </w:tc>
        <w:tc>
          <w:tcPr>
            <w:tcW w:type="dxa" w:w="3000"/>
            <w:tcBorders>
              <w:top w:val="single" w:color="2A2A4A" w:sz="1"/>
              <w:left w:val="single" w:color="2A2A4A" w:sz="1"/>
              <w:bottom w:val="single" w:color="2A2A4A" w:sz="1"/>
              <w:right w:val="single" w:color="2A2A4A" w:sz="1"/>
            </w:tcBorders>
            <w:shd w:fill="0F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E0E0E0"/>
                <w:sz w:val="18"/>
                <w:szCs w:val="18"/>
              </w:rPr>
              <w:t xml:space="preserve">Competency mismatch — junior assigned to complex case</w:t>
            </w:r>
          </w:p>
        </w:tc>
        <w:tc>
          <w:tcPr>
            <w:tcW w:type="dxa" w:w="900"/>
            <w:tcBorders>
              <w:top w:val="single" w:color="2A2A4A" w:sz="1"/>
              <w:left w:val="single" w:color="2A2A4A" w:sz="1"/>
              <w:bottom w:val="single" w:color="2A2A4A" w:sz="1"/>
              <w:right w:val="single" w:color="2A2A4A" w:sz="1"/>
            </w:tcBorders>
            <w:shd w:fill="0F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E0E0E0"/>
                <w:sz w:val="18"/>
                <w:szCs w:val="18"/>
              </w:rPr>
              <w:t xml:space="preserve">Medium</w:t>
            </w:r>
          </w:p>
        </w:tc>
        <w:tc>
          <w:tcPr>
            <w:tcW w:type="dxa" w:w="4726"/>
            <w:tcBorders>
              <w:top w:val="single" w:color="2A2A4A" w:sz="1"/>
              <w:left w:val="single" w:color="2A2A4A" w:sz="1"/>
              <w:bottom w:val="single" w:color="2A2A4A" w:sz="1"/>
              <w:right w:val="single" w:color="2A2A4A" w:sz="1"/>
            </w:tcBorders>
            <w:shd w:fill="0F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E0E0E0"/>
                <w:sz w:val="18"/>
                <w:szCs w:val="18"/>
              </w:rPr>
              <w:t xml:space="preserve">Platform warns on mismatch. Hard block for graduates on complex. Director override with recorded justification.</w:t>
            </w:r>
          </w:p>
        </w:tc>
      </w:tr>
    </w:tbl>
    <w:p>
      <w:r>
        <w:br w:type="page"/>
      </w:r>
    </w:p>
    <w:p>
      <w:pPr>
        <w:spacing w:before="400" w:after="200"/>
      </w:pPr>
      <w:r>
        <w:rPr>
          <w:rFonts w:ascii="Arial" w:cs="Arial" w:eastAsia="Arial" w:hAnsi="Arial"/>
          <w:b/>
          <w:bCs/>
          <w:color w:val="00F0FF"/>
          <w:sz w:val="32"/>
          <w:szCs w:val="32"/>
        </w:rPr>
        <w:t xml:space="preserve">8. PHASED DELIVERY ROADMAP</w:t>
      </w:r>
    </w:p>
    <w:p>
      <w:pPr>
        <w:spacing w:before="60" w:after="6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0E0E0"/>
          <w:sz w:val="20"/>
          <w:szCs w:val="20"/>
        </w:rPr>
        <w:t xml:space="preserve">The architecture is comprehensive but must ship incrementally. Each phase is independently valuable and deepens the moat.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FF2E97"/>
          <w:sz w:val="26"/>
          <w:szCs w:val="26"/>
        </w:rPr>
        <w:t xml:space="preserve">Phase 1 — Foundation (Launch)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color w:val="E0E0E0"/>
          <w:sz w:val="20"/>
          <w:szCs w:val="20"/>
        </w:rPr>
        <w:t xml:space="preserve">Single surveyor, single firm (yourself)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color w:val="E0E0E0"/>
          <w:sz w:val="20"/>
          <w:szCs w:val="20"/>
        </w:rPr>
        <w:t xml:space="preserve">Case types: Research and Full Valuation only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color w:val="E0E0E0"/>
          <w:sz w:val="20"/>
          <w:szCs w:val="20"/>
        </w:rPr>
        <w:t xml:space="preserve">Tier 1 property record with API enrichment pipeline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color w:val="E0E0E0"/>
          <w:sz w:val="20"/>
          <w:szCs w:val="20"/>
        </w:rPr>
        <w:t xml:space="preserve">Tier 2 case record with basic status flow (draft → in_progress → complete → issued)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color w:val="E0E0E0"/>
          <w:sz w:val="20"/>
          <w:szCs w:val="20"/>
        </w:rPr>
        <w:t xml:space="preserve">System-generated case names, UPRN-anchored filing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color w:val="E0E0E0"/>
          <w:sz w:val="20"/>
          <w:szCs w:val="20"/>
        </w:rPr>
        <w:t xml:space="preserve">One report template (Full Valuation, Market Value)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color w:val="E0E0E0"/>
          <w:sz w:val="20"/>
          <w:szCs w:val="20"/>
        </w:rPr>
        <w:t xml:space="preserve">Supabase RLS for single-user (foundation for multi-tenant)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FF2E97"/>
          <w:sz w:val="26"/>
          <w:szCs w:val="26"/>
        </w:rPr>
        <w:t xml:space="preserve">Phase 2 — Workflow (First 10 Paying Users)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color w:val="E0E0E0"/>
          <w:sz w:val="20"/>
          <w:szCs w:val="20"/>
        </w:rPr>
        <w:t xml:space="preserve">Add Desktop, Indicative, and Quotation case types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color w:val="E0E0E0"/>
          <w:sz w:val="20"/>
          <w:szCs w:val="20"/>
        </w:rPr>
        <w:t xml:space="preserve">Case promotion workflow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color w:val="E0E0E0"/>
          <w:sz w:val="20"/>
          <w:szCs w:val="20"/>
        </w:rPr>
        <w:t xml:space="preserve">Pipeline dashboard (personal Kanban view)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color w:val="E0E0E0"/>
          <w:sz w:val="20"/>
          <w:szCs w:val="20"/>
        </w:rPr>
        <w:t xml:space="preserve">Firm reference field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color w:val="E0E0E0"/>
          <w:sz w:val="20"/>
          <w:szCs w:val="20"/>
        </w:rPr>
        <w:t xml:space="preserve">Multiple report templates per case type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FF2E97"/>
          <w:sz w:val="26"/>
          <w:szCs w:val="26"/>
        </w:rPr>
        <w:t xml:space="preserve">Phase 3 — Firm Platform (First Firm Signs Up)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color w:val="E0E0E0"/>
          <w:sz w:val="20"/>
          <w:szCs w:val="20"/>
        </w:rPr>
        <w:t xml:space="preserve">Firm and firm_members tables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color w:val="E0E0E0"/>
          <w:sz w:val="20"/>
          <w:szCs w:val="20"/>
        </w:rPr>
        <w:t xml:space="preserve">Director dashboard with team pipeline view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color w:val="E0E0E0"/>
          <w:sz w:val="20"/>
          <w:szCs w:val="20"/>
        </w:rPr>
        <w:t xml:space="preserve">Case assignment workflow (originator, valuer, reviewer, owner)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color w:val="E0E0E0"/>
          <w:sz w:val="20"/>
          <w:szCs w:val="20"/>
        </w:rPr>
        <w:t xml:space="preserve">Graduate supervision enforcement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color w:val="E0E0E0"/>
          <w:sz w:val="20"/>
          <w:szCs w:val="20"/>
        </w:rPr>
        <w:t xml:space="preserve">Case complexity classification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color w:val="E0E0E0"/>
          <w:sz w:val="20"/>
          <w:szCs w:val="20"/>
        </w:rPr>
        <w:t xml:space="preserve">RLS by firm_id — full multi-tenancy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FF2E97"/>
          <w:sz w:val="26"/>
          <w:szCs w:val="26"/>
        </w:rPr>
        <w:t xml:space="preserve">Phase 4 — Intelligence (Library at Scale)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color w:val="E0E0E0"/>
          <w:sz w:val="20"/>
          <w:szCs w:val="20"/>
        </w:rPr>
        <w:t xml:space="preserve">Tier 3 evidence library — shared comparable intelligence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color w:val="E0E0E0"/>
          <w:sz w:val="20"/>
          <w:szCs w:val="20"/>
        </w:rPr>
        <w:t xml:space="preserve">Legacy data migration service (revenue line)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color w:val="E0E0E0"/>
          <w:sz w:val="20"/>
          <w:szCs w:val="20"/>
        </w:rPr>
        <w:t xml:space="preserve">Cross-case comparable suggestions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color w:val="E0E0E0"/>
          <w:sz w:val="20"/>
          <w:szCs w:val="20"/>
        </w:rPr>
        <w:t xml:space="preserve">Property valuation trajectory analytics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color w:val="E0E0E0"/>
          <w:sz w:val="20"/>
          <w:szCs w:val="20"/>
        </w:rPr>
        <w:t xml:space="preserve">Firm-level business metrics and reporting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FF2E97"/>
          <w:sz w:val="26"/>
          <w:szCs w:val="26"/>
        </w:rPr>
        <w:t xml:space="preserve">Phase 5 — Ecosystem (Long-Term)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color w:val="E0E0E0"/>
          <w:sz w:val="20"/>
          <w:szCs w:val="20"/>
        </w:rPr>
        <w:t xml:space="preserve">Anonymised aggregated data products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color w:val="E0E0E0"/>
          <w:sz w:val="20"/>
          <w:szCs w:val="20"/>
        </w:rPr>
        <w:t xml:space="preserve">API access for third-party integrations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color w:val="E0E0E0"/>
          <w:sz w:val="20"/>
          <w:szCs w:val="20"/>
        </w:rPr>
        <w:t xml:space="preserve">Lender panel integrations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color w:val="E0E0E0"/>
          <w:sz w:val="20"/>
          <w:szCs w:val="20"/>
        </w:rPr>
        <w:t xml:space="preserve">Multi-firm benchmarking (opt-in, anonymised)</w:t>
      </w:r>
    </w:p>
    <w:p>
      <w:r>
        <w:br w:type="page"/>
      </w:r>
    </w:p>
    <w:p>
      <w:pPr>
        <w:spacing w:before="400" w:after="200"/>
      </w:pPr>
      <w:r>
        <w:rPr>
          <w:rFonts w:ascii="Arial" w:cs="Arial" w:eastAsia="Arial" w:hAnsi="Arial"/>
          <w:b/>
          <w:bCs/>
          <w:color w:val="00F0FF"/>
          <w:sz w:val="32"/>
          <w:szCs w:val="32"/>
        </w:rPr>
        <w:t xml:space="preserve">9. REVENUE MODEL SUMMARY</w:t>
      </w:r>
    </w:p>
    <w:p>
      <w:pPr>
        <w:spacing w:before="60" w:after="6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0E0E0"/>
          <w:sz w:val="20"/>
          <w:szCs w:val="20"/>
        </w:rPr>
        <w:t xml:space="preserve">Five revenue streams from one platform: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3526"/>
      </w:tblGrid>
      <w:tr>
        <w:trPr>
          <w:tblHeader/>
        </w:trPr>
        <w:tc>
          <w:tcPr>
            <w:tcW w:type="dxa" w:w="3500"/>
            <w:tcBorders>
              <w:top w:val="single" w:color="2A2A4A" w:sz="1"/>
              <w:left w:val="single" w:color="2A2A4A" w:sz="1"/>
              <w:bottom w:val="single" w:color="2A2A4A" w:sz="1"/>
              <w:right w:val="single" w:color="2A2A4A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F0FF"/>
                <w:sz w:val="18"/>
                <w:szCs w:val="18"/>
              </w:rPr>
              <w:t xml:space="preserve">Stream</w:t>
            </w:r>
          </w:p>
        </w:tc>
        <w:tc>
          <w:tcPr>
            <w:tcW w:type="dxa" w:w="2000"/>
            <w:tcBorders>
              <w:top w:val="single" w:color="2A2A4A" w:sz="1"/>
              <w:left w:val="single" w:color="2A2A4A" w:sz="1"/>
              <w:bottom w:val="single" w:color="2A2A4A" w:sz="1"/>
              <w:right w:val="single" w:color="2A2A4A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F0FF"/>
                <w:sz w:val="18"/>
                <w:szCs w:val="18"/>
              </w:rPr>
              <w:t xml:space="preserve">Type</w:t>
            </w:r>
          </w:p>
        </w:tc>
        <w:tc>
          <w:tcPr>
            <w:tcW w:type="dxa" w:w="3526"/>
            <w:tcBorders>
              <w:top w:val="single" w:color="2A2A4A" w:sz="1"/>
              <w:left w:val="single" w:color="2A2A4A" w:sz="1"/>
              <w:bottom w:val="single" w:color="2A2A4A" w:sz="1"/>
              <w:right w:val="single" w:color="2A2A4A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F0FF"/>
                <w:sz w:val="18"/>
                <w:szCs w:val="18"/>
              </w:rPr>
              <w:t xml:space="preserve">When Active</w:t>
            </w:r>
          </w:p>
        </w:tc>
      </w:tr>
      <w:tr>
        <w:tc>
          <w:tcPr>
            <w:tcW w:type="dxa" w:w="3500"/>
            <w:tcBorders>
              <w:top w:val="single" w:color="2A2A4A" w:sz="1"/>
              <w:left w:val="single" w:color="2A2A4A" w:sz="1"/>
              <w:bottom w:val="single" w:color="2A2A4A" w:sz="1"/>
              <w:right w:val="single" w:color="2A2A4A" w:sz="1"/>
            </w:tcBorders>
            <w:shd w:fill="0D0D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E0E0E0"/>
                <w:sz w:val="18"/>
                <w:szCs w:val="18"/>
              </w:rPr>
              <w:t xml:space="preserve">Firm subscriptions (per seat per month)</w:t>
            </w:r>
          </w:p>
        </w:tc>
        <w:tc>
          <w:tcPr>
            <w:tcW w:type="dxa" w:w="2000"/>
            <w:tcBorders>
              <w:top w:val="single" w:color="2A2A4A" w:sz="1"/>
              <w:left w:val="single" w:color="2A2A4A" w:sz="1"/>
              <w:bottom w:val="single" w:color="2A2A4A" w:sz="1"/>
              <w:right w:val="single" w:color="2A2A4A" w:sz="1"/>
            </w:tcBorders>
            <w:shd w:fill="0D0D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E0E0E0"/>
                <w:sz w:val="18"/>
                <w:szCs w:val="18"/>
              </w:rPr>
              <w:t xml:space="preserve">Recurring</w:t>
            </w:r>
          </w:p>
        </w:tc>
        <w:tc>
          <w:tcPr>
            <w:tcW w:type="dxa" w:w="3526"/>
            <w:tcBorders>
              <w:top w:val="single" w:color="2A2A4A" w:sz="1"/>
              <w:left w:val="single" w:color="2A2A4A" w:sz="1"/>
              <w:bottom w:val="single" w:color="2A2A4A" w:sz="1"/>
              <w:right w:val="single" w:color="2A2A4A" w:sz="1"/>
            </w:tcBorders>
            <w:shd w:fill="0D0D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E0E0E0"/>
                <w:sz w:val="18"/>
                <w:szCs w:val="18"/>
              </w:rPr>
              <w:t xml:space="preserve">Phase 1+</w:t>
            </w:r>
          </w:p>
        </w:tc>
      </w:tr>
      <w:tr>
        <w:tc>
          <w:tcPr>
            <w:tcW w:type="dxa" w:w="3500"/>
            <w:tcBorders>
              <w:top w:val="single" w:color="2A2A4A" w:sz="1"/>
              <w:left w:val="single" w:color="2A2A4A" w:sz="1"/>
              <w:bottom w:val="single" w:color="2A2A4A" w:sz="1"/>
              <w:right w:val="single" w:color="2A2A4A" w:sz="1"/>
            </w:tcBorders>
            <w:shd w:fill="0F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E0E0E0"/>
                <w:sz w:val="18"/>
                <w:szCs w:val="18"/>
              </w:rPr>
              <w:t xml:space="preserve">Legacy data migration</w:t>
            </w:r>
          </w:p>
        </w:tc>
        <w:tc>
          <w:tcPr>
            <w:tcW w:type="dxa" w:w="2000"/>
            <w:tcBorders>
              <w:top w:val="single" w:color="2A2A4A" w:sz="1"/>
              <w:left w:val="single" w:color="2A2A4A" w:sz="1"/>
              <w:bottom w:val="single" w:color="2A2A4A" w:sz="1"/>
              <w:right w:val="single" w:color="2A2A4A" w:sz="1"/>
            </w:tcBorders>
            <w:shd w:fill="0F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E0E0E0"/>
                <w:sz w:val="18"/>
                <w:szCs w:val="18"/>
              </w:rPr>
              <w:t xml:space="preserve">One-off consultancy</w:t>
            </w:r>
          </w:p>
        </w:tc>
        <w:tc>
          <w:tcPr>
            <w:tcW w:type="dxa" w:w="3526"/>
            <w:tcBorders>
              <w:top w:val="single" w:color="2A2A4A" w:sz="1"/>
              <w:left w:val="single" w:color="2A2A4A" w:sz="1"/>
              <w:bottom w:val="single" w:color="2A2A4A" w:sz="1"/>
              <w:right w:val="single" w:color="2A2A4A" w:sz="1"/>
            </w:tcBorders>
            <w:shd w:fill="0F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E0E0E0"/>
                <w:sz w:val="18"/>
                <w:szCs w:val="18"/>
              </w:rPr>
              <w:t xml:space="preserve">Phase 3+</w:t>
            </w:r>
          </w:p>
        </w:tc>
      </w:tr>
      <w:tr>
        <w:tc>
          <w:tcPr>
            <w:tcW w:type="dxa" w:w="3500"/>
            <w:tcBorders>
              <w:top w:val="single" w:color="2A2A4A" w:sz="1"/>
              <w:left w:val="single" w:color="2A2A4A" w:sz="1"/>
              <w:bottom w:val="single" w:color="2A2A4A" w:sz="1"/>
              <w:right w:val="single" w:color="2A2A4A" w:sz="1"/>
            </w:tcBorders>
            <w:shd w:fill="0D0D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E0E0E0"/>
                <w:sz w:val="18"/>
                <w:szCs w:val="18"/>
              </w:rPr>
              <w:t xml:space="preserve">Premium report templates / add-ons</w:t>
            </w:r>
          </w:p>
        </w:tc>
        <w:tc>
          <w:tcPr>
            <w:tcW w:type="dxa" w:w="2000"/>
            <w:tcBorders>
              <w:top w:val="single" w:color="2A2A4A" w:sz="1"/>
              <w:left w:val="single" w:color="2A2A4A" w:sz="1"/>
              <w:bottom w:val="single" w:color="2A2A4A" w:sz="1"/>
              <w:right w:val="single" w:color="2A2A4A" w:sz="1"/>
            </w:tcBorders>
            <w:shd w:fill="0D0D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E0E0E0"/>
                <w:sz w:val="18"/>
                <w:szCs w:val="18"/>
              </w:rPr>
              <w:t xml:space="preserve">Recurring or per-use</w:t>
            </w:r>
          </w:p>
        </w:tc>
        <w:tc>
          <w:tcPr>
            <w:tcW w:type="dxa" w:w="3526"/>
            <w:tcBorders>
              <w:top w:val="single" w:color="2A2A4A" w:sz="1"/>
              <w:left w:val="single" w:color="2A2A4A" w:sz="1"/>
              <w:bottom w:val="single" w:color="2A2A4A" w:sz="1"/>
              <w:right w:val="single" w:color="2A2A4A" w:sz="1"/>
            </w:tcBorders>
            <w:shd w:fill="0D0D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E0E0E0"/>
                <w:sz w:val="18"/>
                <w:szCs w:val="18"/>
              </w:rPr>
              <w:t xml:space="preserve">Phase 2+</w:t>
            </w:r>
          </w:p>
        </w:tc>
      </w:tr>
      <w:tr>
        <w:tc>
          <w:tcPr>
            <w:tcW w:type="dxa" w:w="3500"/>
            <w:tcBorders>
              <w:top w:val="single" w:color="2A2A4A" w:sz="1"/>
              <w:left w:val="single" w:color="2A2A4A" w:sz="1"/>
              <w:bottom w:val="single" w:color="2A2A4A" w:sz="1"/>
              <w:right w:val="single" w:color="2A2A4A" w:sz="1"/>
            </w:tcBorders>
            <w:shd w:fill="0F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E0E0E0"/>
                <w:sz w:val="18"/>
                <w:szCs w:val="18"/>
              </w:rPr>
              <w:t xml:space="preserve">Evidence library access (premium tier)</w:t>
            </w:r>
          </w:p>
        </w:tc>
        <w:tc>
          <w:tcPr>
            <w:tcW w:type="dxa" w:w="2000"/>
            <w:tcBorders>
              <w:top w:val="single" w:color="2A2A4A" w:sz="1"/>
              <w:left w:val="single" w:color="2A2A4A" w:sz="1"/>
              <w:bottom w:val="single" w:color="2A2A4A" w:sz="1"/>
              <w:right w:val="single" w:color="2A2A4A" w:sz="1"/>
            </w:tcBorders>
            <w:shd w:fill="0F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E0E0E0"/>
                <w:sz w:val="18"/>
                <w:szCs w:val="18"/>
              </w:rPr>
              <w:t xml:space="preserve">Recurring</w:t>
            </w:r>
          </w:p>
        </w:tc>
        <w:tc>
          <w:tcPr>
            <w:tcW w:type="dxa" w:w="3526"/>
            <w:tcBorders>
              <w:top w:val="single" w:color="2A2A4A" w:sz="1"/>
              <w:left w:val="single" w:color="2A2A4A" w:sz="1"/>
              <w:bottom w:val="single" w:color="2A2A4A" w:sz="1"/>
              <w:right w:val="single" w:color="2A2A4A" w:sz="1"/>
            </w:tcBorders>
            <w:shd w:fill="0F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E0E0E0"/>
                <w:sz w:val="18"/>
                <w:szCs w:val="18"/>
              </w:rPr>
              <w:t xml:space="preserve">Phase 4+</w:t>
            </w:r>
          </w:p>
        </w:tc>
      </w:tr>
      <w:tr>
        <w:tc>
          <w:tcPr>
            <w:tcW w:type="dxa" w:w="3500"/>
            <w:tcBorders>
              <w:top w:val="single" w:color="2A2A4A" w:sz="1"/>
              <w:left w:val="single" w:color="2A2A4A" w:sz="1"/>
              <w:bottom w:val="single" w:color="2A2A4A" w:sz="1"/>
              <w:right w:val="single" w:color="2A2A4A" w:sz="1"/>
            </w:tcBorders>
            <w:shd w:fill="0D0D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E0E0E0"/>
                <w:sz w:val="18"/>
                <w:szCs w:val="18"/>
              </w:rPr>
              <w:t xml:space="preserve">Anonymised data licensing</w:t>
            </w:r>
          </w:p>
        </w:tc>
        <w:tc>
          <w:tcPr>
            <w:tcW w:type="dxa" w:w="2000"/>
            <w:tcBorders>
              <w:top w:val="single" w:color="2A2A4A" w:sz="1"/>
              <w:left w:val="single" w:color="2A2A4A" w:sz="1"/>
              <w:bottom w:val="single" w:color="2A2A4A" w:sz="1"/>
              <w:right w:val="single" w:color="2A2A4A" w:sz="1"/>
            </w:tcBorders>
            <w:shd w:fill="0D0D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E0E0E0"/>
                <w:sz w:val="18"/>
                <w:szCs w:val="18"/>
              </w:rPr>
              <w:t xml:space="preserve">Recurring B2B</w:t>
            </w:r>
          </w:p>
        </w:tc>
        <w:tc>
          <w:tcPr>
            <w:tcW w:type="dxa" w:w="3526"/>
            <w:tcBorders>
              <w:top w:val="single" w:color="2A2A4A" w:sz="1"/>
              <w:left w:val="single" w:color="2A2A4A" w:sz="1"/>
              <w:bottom w:val="single" w:color="2A2A4A" w:sz="1"/>
              <w:right w:val="single" w:color="2A2A4A" w:sz="1"/>
            </w:tcBorders>
            <w:shd w:fill="0D0D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E0E0E0"/>
                <w:sz w:val="18"/>
                <w:szCs w:val="18"/>
              </w:rPr>
              <w:t xml:space="preserve">Phase 5+</w:t>
            </w:r>
          </w:p>
        </w:tc>
      </w:tr>
    </w:tbl>
    <w:p>
      <w:pPr>
        <w:pBdr>
          <w:bottom w:val="single" w:color="2A2A4A" w:sz="2" w:space="1"/>
        </w:pBdr>
        <w:spacing w:before="200" w:after="200"/>
      </w:pPr>
      <w:r>
        <w:rPr>
          <w:sz w:val="4"/>
          <w:szCs w:val="4"/>
        </w:rPr>
        <w:t xml:space="preserve"/>
      </w: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808090"/>
          <w:sz w:val="20"/>
          <w:szCs w:val="20"/>
        </w:rPr>
        <w:t xml:space="preserve">— END OF DOCUMENT 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E0E0E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2026-03-07T21:23:07.417Z</dcterms:created>
  <dcterms:modified xsi:type="dcterms:W3CDTF">2026-03-07T21:23:07.418Z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