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4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论文图中文字字号对照</w:t>
      </w:r>
    </w:p>
    <w:p>
      <w:r>
        <w:t>本册收录第1至第6章及附录的56张图片，用于比较图片中的文字与论文正文的字号。每页一张图，按章节顺序排列。</w:t>
      </w:r>
    </w:p>
    <w:p>
      <w:r>
        <w:t>所有图片均按16厘米宽插入，保持原始长宽比，使用当前文件版本。图片上方的正文示例采用宋体小四（12磅），英文和数字采用 Times New Roman，行距为1.3倍。</w:t>
      </w:r>
    </w:p>
    <w:p>
      <w:r>
        <w:t>可在同一页面直接比较示例与图片文字；打印时选择实际大小。图5-2按原来的五列布局保留较小字号，系统截图也一并收入。</w:t>
      </w:r>
    </w:p>
    <w:p>
      <w:pPr>
        <w:spacing w:before="240"/>
      </w:pPr>
      <w:r>
        <w:t>正文示例：本文通过对照实验评估所提方法的有效性。</w:t>
      </w:r>
    </w:p>
    <w:p>
      <w:r>
        <w:t>图片插入宽度 16厘米    正文对照字号 小四12磅</w:t>
      </w:r>
    </w:p>
    <w:p>
      <w:r>
        <w:t>收录范围：第1章2张，第2章5张，第3章7张，第4章6张，第5章22张，第6章5张，附录9张。</w:t>
      </w:r>
    </w:p>
    <w:p>
      <w:pPr>
        <w:pStyle w:val="Heading1"/>
        <w:keepNext/>
        <w:pageBreakBefore/>
        <w:jc w:val="center"/>
      </w:pPr>
      <w:r>
        <w:t>图1-1 现有研究覆盖范围与本文定位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4864000"/>
            <wp:docPr id="1" name="Picture 1" descr="图1-1 现有研究覆盖范围与本文定位" title="图1-1 现有研究覆盖范围与本文定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1-现有研究覆盖范围与本文定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图1-2 核心研究内容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6848000"/>
            <wp:docPr id="2" name="Picture 2" descr="图1-2 核心研究内容" title="图1-2 核心研究内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2-核心研究内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8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图2-1 AI编程智能体的执行循环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4512000"/>
            <wp:docPr id="3" name="Picture 3" descr="图2-1 AI编程智能体的执行循环" title="图2-1 AI编程智能体的执行循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1-AI编程智能体的执行循环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图2-2 代码上下文的处理链条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5152000"/>
            <wp:docPr id="4" name="Picture 4" descr="图2-2 代码上下文的处理链条" title="图2-2 代码上下文的处理链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2-代码上下文的处理链条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图2-3 RAG与图结构检索的检索方式对比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2816000"/>
            <wp:docPr id="5" name="Picture 5" descr="图2-3 RAG与图结构检索的检索方式对比" title="图2-3 RAG与图结构检索的检索方式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3-RAG与图结构检索的检索方式对比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图2-4 软件项目知识图谱示例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4416000"/>
            <wp:docPr id="6" name="Picture 6" descr="图2-4 软件项目知识图谱示例" title="图2-4 软件项目知识图谱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4-软件项目知识图谱示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图2-5 嵌入向量空间中的语义邻近关系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3264000"/>
            <wp:docPr id="7" name="Picture 7" descr="图2-5 嵌入向量空间中的语义邻近关系" title="图2-5 嵌入向量空间中的语义邻近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5-嵌入向量空间中的语义邻近关系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图3-1 方法总体框架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6784000"/>
            <wp:docPr id="8" name="Picture 8" descr="图3-1 方法总体框架" title="图3-1 方法总体框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1-方法总体框架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7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图3-2 能力代码双层本体模型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4448000"/>
            <wp:docPr id="9" name="Picture 9" descr="图3-2 能力代码双层本体模型" title="图3-2 能力代码双层本体模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2-能力代码双层本体模型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图3-3 business_map生成流程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6112000"/>
            <wp:docPr id="10" name="Picture 10" descr="图3-3 business_map生成流程" title="图3-3 business_map生成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3-business_map生成流程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图3-4 图谱驱动任务上下文生成流水线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5664000"/>
            <wp:docPr id="11" name="Picture 11" descr="图3-4 图谱驱动任务上下文生成流水线" title="图3-4 图谱驱动任务上下文生成流水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4-图谱驱动任务上下文生成流水线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图3-5 加权双向BFS子图扩展示意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2268727"/>
            <wp:docPr id="12" name="Picture 12" descr="图3-5 加权双向BFS子图扩展示意" title="图3-5 加权双向BFS子图扩展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5-加权双向BFS子图扩展示意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68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图3-6 三档压缩对比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4405950"/>
            <wp:docPr id="13" name="Picture 13" descr="图3-6 三档压缩对比" title="图3-6 三档压缩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6-三档压缩对比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图3-7 六阶段流程约束架构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4128000"/>
            <wp:docPr id="14" name="Picture 14" descr="图3-7 六阶段流程约束架构" title="图3-7 六阶段流程约束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7-六阶段流程约束架构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图4-1 wpw系统总体用例图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3218824"/>
            <wp:docPr id="15" name="Picture 15" descr="图4-1 wpw系统总体用例图" title="图4-1 wpw系统总体用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1-wpw系统总体用例图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1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图4-2 工作流管理模块用例图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3250286"/>
            <wp:docPr id="16" name="Picture 16" descr="图4-2 工作流管理模块用例图" title="图4-2 工作流管理模块用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2-工作流管理模块用例图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0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图4-3 图谱构建模块用例图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3420000"/>
            <wp:docPr id="17" name="Picture 17" descr="图4-3 图谱构建模块用例图" title="图4-3 图谱构建模块用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3-图谱构建模块用例图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图4-4 上下文生成模块用例图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3218824"/>
            <wp:docPr id="18" name="Picture 18" descr="图4-4 上下文生成模块用例图" title="图4-4 上下文生成模块用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4-上下文生成模块用例图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1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图4-5 增量维护模块用例图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3218824"/>
            <wp:docPr id="19" name="Picture 19" descr="图4-5 增量维护模块用例图" title="图4-5 增量维护模块用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5-增量维护模块用例图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1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图4-6 可视化控制台模块用例图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3420000"/>
            <wp:docPr id="20" name="Picture 20" descr="图4-6 可视化控制台模块用例图" title="图4-6 可视化控制台模块用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6-可视化控制台模块用例图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图5-1 wpw系统总体架构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7040000"/>
            <wp:docPr id="21" name="Picture 21" descr="图5-1 wpw系统总体架构" title="图5-1 wpw系统总体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1-wpw系统总体架构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图5-2 系统功能图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4256000"/>
            <wp:docPr id="22" name="Picture 22" descr="图5-2 系统功能图" title="图5-2 系统功能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2-系统功能图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图5-3 系统逻辑ER图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7049143"/>
            <wp:docPr id="23" name="Picture 23" descr="图5-3 系统逻辑ER图" title="图5-3 系统逻辑ER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3-系统逻辑ER图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04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图5-4 工作流引擎实现架构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5760000"/>
            <wp:docPr id="24" name="Picture 24" descr="图5-4 工作流引擎实现架构" title="图5-4 工作流引擎实现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4-工作流引擎实现架构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图5-5 阶段制品生成与确认流程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6400000"/>
            <wp:docPr id="25" name="Picture 25" descr="图5-5 阶段制品生成与确认流程" title="图5-5 阶段制品生成与确认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5-阶段制品生成与确认流程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图5-6 阶段制品生成与确认时序图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4559186"/>
            <wp:docPr id="26" name="Picture 26" descr="图5-6 阶段制品生成与确认时序图" title="图5-6 阶段制品生成与确认时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6-阶段制品生成与确认时序图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59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图5-7 DAG驱动的阶段门禁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2607158"/>
            <wp:docPr id="27" name="Picture 27" descr="图5-7 DAG驱动的阶段门禁" title="图5-7 DAG驱动的阶段门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7-DAG驱动的阶段门禁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07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图5-8 L3节点JSON实例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6361600"/>
            <wp:docPr id="28" name="Picture 28" descr="图5-8 L3节点JSON实例" title="图5-8 L3节点JSON实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8-L3节点JSON实例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6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图5-9 加权双向BFS子图扩展示意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5120000"/>
            <wp:docPr id="29" name="Picture 29" descr="图5-9 加权双向BFS子图扩展示意" title="图5-9 加权双向BFS子图扩展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9-加权双向BFS子图扩展示意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图5-10 任务上下文生成时序图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4930169"/>
            <wp:docPr id="30" name="Picture 30" descr="图5-10 任务上下文生成时序图" title="图5-10 任务上下文生成时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10-任务上下文生成时序图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3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图5-11 归档与能力沉淀时序图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4591729"/>
            <wp:docPr id="31" name="Picture 31" descr="图5-11 归档与能力沉淀时序图" title="图5-11 归档与能力沉淀时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11-归档与能力沉淀时序图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91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图5-12 可视化控制台模块架构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6656000"/>
            <wp:docPr id="32" name="Picture 32" descr="图5-12 可视化控制台模块架构" title="图5-12 可视化控制台模块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12-可视化控制台模块架构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图5-13 控制台总览页界面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2847000"/>
            <wp:docPr id="33" name="Picture 33" descr="图5-13 控制台总览页界面" title="图5-13 控制台总览页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13-控制台总览页界面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图5-14 控制台工作流看板页界面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2847000"/>
            <wp:docPr id="34" name="Picture 34" descr="图5-14 控制台工作流看板页界面" title="图5-14 控制台工作流看板页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14-控制台工作流看板页界面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图5-15 控制台需求详情抽屉界面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2847000"/>
            <wp:docPr id="35" name="Picture 35" descr="图5-15 控制台需求详情抽屉界面" title="图5-15 控制台需求详情抽屉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15-控制台需求详情抽屉界面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图5-16 工作流看板阶段操作时序图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4917153"/>
            <wp:docPr id="36" name="Picture 36" descr="图5-16 工作流看板阶段操作时序图" title="图5-16 工作流看板阶段操作时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16-工作流看板阶段操作时序图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7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图5-17 控制台图谱可视化页界面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2847000"/>
            <wp:docPr id="37" name="Picture 37" descr="图5-17 控制台图谱可视化页界面" title="图5-17 控制台图谱可视化页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17-控制台图谱可视化页界面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图5-18 控制台图谱统计页界面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2847000"/>
            <wp:docPr id="38" name="Picture 38" descr="图5-18 控制台图谱统计页界面" title="图5-18 控制台图谱统计页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18-控制台图谱统计页界面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图5-19 控制台上下文演示页界面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2847000"/>
            <wp:docPr id="39" name="Picture 39" descr="图5-19 控制台上下文演示页界面" title="图5-19 控制台上下文演示页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19-控制台上下文演示页界面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图5-20 控制台知识库页界面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2847000"/>
            <wp:docPr id="40" name="Picture 40" descr="图5-20 控制台知识库页界面" title="图5-20 控制台知识库页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20-控制台知识库页界面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图5-21 控制台归档中心页界面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2847000"/>
            <wp:docPr id="41" name="Picture 41" descr="图5-21 控制台归档中心页界面" title="图5-21 控制台归档中心页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21-控制台归档中心页界面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图5-22 控制台Token统计页界面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2565000"/>
            <wp:docPr id="42" name="Picture 42" descr="图5-22 控制台Token统计页界面" title="图5-22 控制台Token统计页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22-控制台Token统计页界面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图6-1 T1-T3八任务模型总Token对比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5952000"/>
            <wp:docPr id="43" name="Picture 43" descr="图6-1 T1-T3八任务模型总Token对比" title="图6-1 T1-T3八任务模型总Token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-1-T1-T3八任务模型总Token对比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图6-2 题集与条件配对示意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5760000"/>
            <wp:docPr id="44" name="Picture 44" descr="图6-2 题集与条件配对示意" title="图6-2 题集与条件配对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-2-题集与条件配对示意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图6-3 按查询类别的检索结果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7872000"/>
            <wp:docPr id="45" name="Picture 45" descr="图6-3 按查询类别的检索结果" title="图6-3 按查询类别的检索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-3-按查询类别的检索结果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图6-4 三条件初始上下文Token箱线图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4224000"/>
            <wp:docPr id="46" name="Picture 46" descr="图6-4 三条件初始上下文Token箱线图" title="图6-4 三条件初始上下文Token箱线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-4-三条件初始上下文Token箱线图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图6-5 场景检索的机制对比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7168000"/>
            <wp:docPr id="47" name="Picture 47" descr="图6-5 场景检索的机制对比" title="图6-5 场景检索的机制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-5-场景检索的机制对比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图A-1 控制台总览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2847000"/>
            <wp:docPr id="48" name="Picture 48" descr="图A-1 控制台总览" title="图A-1 控制台总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A-1-控制台总览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图A-2 工作流看板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2847000"/>
            <wp:docPr id="49" name="Picture 49" descr="图A-2 工作流看板" title="图A-2 工作流看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A-2-工作流看板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图A-3 需求详情抽屉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2847000"/>
            <wp:docPr id="50" name="Picture 50" descr="图A-3 需求详情抽屉" title="图A-3 需求详情抽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A-3-需求详情抽屉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图A-4 图谱统计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2847000"/>
            <wp:docPr id="51" name="Picture 51" descr="图A-4 图谱统计" title="图A-4 图谱统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A-4-图谱统计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图A-5 上下文演示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2847000"/>
            <wp:docPr id="52" name="Picture 52" descr="图A-5 上下文演示" title="图A-5 上下文演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A-5-上下文演示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图A-6 知识库能力规范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2847000"/>
            <wp:docPr id="53" name="Picture 53" descr="图A-6 知识库能力规范" title="图A-6 知识库能力规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A-6-知识库能力规范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图A-7 归档中心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2847000"/>
            <wp:docPr id="54" name="Picture 54" descr="图A-7 归档中心" title="图A-7 归档中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A-7-归档中心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图A-8 Token消耗统计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5202189"/>
            <wp:docPr id="55" name="Picture 55" descr="图A-8 Token消耗统计" title="图A-8 Token消耗统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A-8-Token消耗统计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2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jc w:val="center"/>
      </w:pPr>
      <w:r>
        <w:t>图B-1 T1-T3开发任务模型总Token对比</w:t>
      </w:r>
    </w:p>
    <w:p>
      <w:pPr>
        <w:keepNext/>
        <w:spacing w:after="140" w:line="312" w:lineRule="auto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正文示例：本文通过对照实验评估所提方法的有效性。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"/>
        </w:rPr>
        <w:drawing>
          <wp:inline xmlns:a="http://schemas.openxmlformats.org/drawingml/2006/main" xmlns:pic="http://schemas.openxmlformats.org/drawingml/2006/picture">
            <wp:extent cx="5760000" cy="5202189"/>
            <wp:docPr id="56" name="Picture 56" descr="图B-1 T1-T3开发任务模型总Token对比" title="图B-1 T1-T3开发任务模型总Token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A-8-Token消耗统计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218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1020" w:right="1417" w:bottom="1020" w:left="1417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before="24" w:after="24"/>
    </w:pPr>
    <w:rPr>
      <w:rFonts w:ascii="Times New Roman" w:hAnsi="Times New Roman" w:cs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宋体"/>
      <w:b w:val="0"/>
      <w:color w:val="00000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 w:line="312" w:lineRule="auto"/>
      <w:outlineLvl w:val="0"/>
    </w:pPr>
    <w:rPr>
      <w:rFonts w:cstheme="majorBidi" w:ascii="Times New Roman" w:hAnsi="Times New Roman" w:cs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312" w:lineRule="auto" w:before="0"/>
      <w:contextualSpacing/>
    </w:pPr>
    <w:rPr>
      <w:rFonts w:cstheme="majorBidi" w:ascii="Times New Roman" w:hAnsi="Times New Roman" w:cs="Times New Roman" w:eastAsia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论文图中文字字号对照</dc:title>
  <dc:subject>16厘米插图与宋体小四12磅正文对照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