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864"/>
          <w:sz w:val="56"/>
          <w:szCs w:val="56"/>
        </w:rPr>
        <w:t xml:space="preserve">M&amp;A Due Diligence Analyzer</w:t>
      </w:r>
    </w:p>
    <w:p>
      <w:pPr>
        <w:spacing w:before="0" w:after="80"/>
      </w:pPr>
      <w:r>
        <w:rPr>
          <w:rFonts w:ascii="Arial" w:cs="Arial" w:eastAsia="Arial" w:hAnsi="Arial"/>
          <w:color w:val="2E75B6"/>
          <w:sz w:val="28"/>
          <w:szCs w:val="28"/>
        </w:rPr>
        <w:t xml:space="preserve">Agentic AI Project — Implementation Plan</w:t>
      </w:r>
    </w:p>
    <w:p>
      <w:pPr>
        <w:spacing w:before="0" w:after="480"/>
      </w:pPr>
      <w:r>
        <w:rPr>
          <w:rFonts w:ascii="Arial" w:cs="Arial" w:eastAsia="Arial" w:hAnsi="Arial"/>
          <w:i/>
          <w:iCs/>
          <w:color w:val="666666"/>
          <w:sz w:val="22"/>
          <w:szCs w:val="22"/>
        </w:rPr>
        <w:t xml:space="preserve">8-Week Build Plan  |  Taiman Siddiqui  |  2025</w:t>
      </w:r>
    </w:p>
    <w:p>
      <w:pPr>
        <w:pStyle w:val="Heading1"/>
        <w:pBdr>
          <w:bottom w:val="single" w:color="2E75B6" w:sz="6" w:space="4"/>
        </w:pBdr>
        <w:spacing w:before="340" w:after="160"/>
      </w:pPr>
      <w:r>
        <w:rPr>
          <w:rFonts w:ascii="Arial" w:cs="Arial" w:eastAsia="Arial" w:hAnsi="Arial"/>
          <w:b/>
          <w:bCs/>
          <w:color w:val="1F3864"/>
          <w:sz w:val="32"/>
          <w:szCs w:val="32"/>
        </w:rPr>
        <w:t xml:space="preserve">1. Project Overview</w:t>
      </w:r>
    </w:p>
    <w:p>
      <w:pPr>
        <w:spacing w:before="80" w:after="80"/>
      </w:pPr>
      <w:r>
        <w:rPr>
          <w:rFonts w:ascii="Arial" w:cs="Arial" w:eastAsia="Arial" w:hAnsi="Arial"/>
          <w:b w:val="false"/>
          <w:bCs w:val="false"/>
          <w:i w:val="false"/>
          <w:iCs w:val="false"/>
          <w:color w:val="1A1A1A"/>
          <w:sz w:val="22"/>
          <w:szCs w:val="22"/>
        </w:rPr>
        <w:t xml:space="preserve">This project builds a production-grade agentic LLM system that performs structured M&amp;A due diligence analysis on public company SEC filings. A 3-agent LangGraph pipeline — Document Agent, Retrieval Agent, and Analysis Agent — implements the S&amp;P Global Corporate Rating Methodology to evaluate companies across five authoritative due diligence dimensions, producing structured JSON verdict cards and a formatted PDF report per company.</w:t>
      </w:r>
    </w:p>
    <w:p>
      <w:pPr>
        <w:spacing w:before="160" w:after="0"/>
      </w:pPr>
    </w:p>
    <w:p>
      <w:pPr>
        <w:pStyle w:val="Heading2"/>
        <w:spacing w:before="240" w:after="100"/>
      </w:pPr>
      <w:r>
        <w:rPr>
          <w:rFonts w:ascii="Arial" w:cs="Arial" w:eastAsia="Arial" w:hAnsi="Arial"/>
          <w:b/>
          <w:bCs/>
          <w:color w:val="2E75B6"/>
          <w:sz w:val="26"/>
          <w:szCs w:val="26"/>
        </w:rPr>
        <w:t xml:space="preserve">Use Case</w:t>
      </w:r>
    </w:p>
    <w:p>
      <w:pPr>
        <w:spacing w:before="80" w:after="80"/>
      </w:pPr>
      <w:r>
        <w:rPr>
          <w:rFonts w:ascii="Arial" w:cs="Arial" w:eastAsia="Arial" w:hAnsi="Arial"/>
          <w:b w:val="false"/>
          <w:bCs w:val="false"/>
          <w:i w:val="false"/>
          <w:iCs w:val="false"/>
          <w:color w:val="1A1A1A"/>
          <w:sz w:val="22"/>
          <w:szCs w:val="22"/>
        </w:rPr>
        <w:t xml:space="preserve">A target company's most recent 10-K filing (and supplementary filings where applicable) is submitted to the system. The pipeline evaluates the company across five dimensions derived from S&amp;P's published Corporate Rating Methodology and SEC/PCAOB disclosure standards, producing a LOW / MEDIUM / HIGH risk verdict per dimension with evidence citations from the filing, a confidence score, and a final executive summary report. The system is validated against three real companies — Carvana, Peloton, and Shopify — whose ground truth labels are sourced from published S&amp;P/Moody's rating actions, PCAOB audit data, and SEC Comment Letters.</w:t>
      </w:r>
    </w:p>
    <w:p>
      <w:pPr>
        <w:spacing w:before="160" w:after="0"/>
      </w:pPr>
    </w:p>
    <w:p>
      <w:pPr>
        <w:pStyle w:val="Heading2"/>
        <w:spacing w:before="240" w:after="100"/>
      </w:pPr>
      <w:r>
        <w:rPr>
          <w:rFonts w:ascii="Arial" w:cs="Arial" w:eastAsia="Arial" w:hAnsi="Arial"/>
          <w:b/>
          <w:bCs/>
          <w:color w:val="2E75B6"/>
          <w:sz w:val="26"/>
          <w:szCs w:val="26"/>
        </w:rPr>
        <w:t xml:space="preserve">Why This Use Case</w:t>
      </w:r>
    </w:p>
    <w:p>
      <w:pPr>
        <w:pStyle w:val="ListParagraph"/>
        <w:numPr>
          <w:ilvl w:val="0"/>
          <w:numId w:val="2"/>
        </w:numPr>
        <w:spacing w:before="60" w:after="60"/>
      </w:pPr>
      <w:r>
        <w:rPr>
          <w:rFonts w:ascii="Arial" w:cs="Arial" w:eastAsia="Arial" w:hAnsi="Arial"/>
          <w:color w:val="1A1A1A"/>
          <w:sz w:val="22"/>
          <w:szCs w:val="22"/>
        </w:rPr>
        <w:t xml:space="preserve">Dimension framework sourced directly from S&amp;P's published Corporate Rating Methodology — no self-constructed dimensions</w:t>
      </w:r>
    </w:p>
    <w:p>
      <w:pPr>
        <w:pStyle w:val="ListParagraph"/>
        <w:numPr>
          <w:ilvl w:val="0"/>
          <w:numId w:val="2"/>
        </w:numPr>
        <w:spacing w:before="60" w:after="60"/>
      </w:pPr>
      <w:r>
        <w:rPr>
          <w:rFonts w:ascii="Arial" w:cs="Arial" w:eastAsia="Arial" w:hAnsi="Arial"/>
          <w:color w:val="1A1A1A"/>
          <w:sz w:val="22"/>
          <w:szCs w:val="22"/>
        </w:rPr>
        <w:t xml:space="preserve">Ground truth labels sourced from S&amp;P/Moody's rating actions, PCAOB Audit Analytics, and SEC Comment Letters — no manual annotation</w:t>
      </w:r>
    </w:p>
    <w:p>
      <w:pPr>
        <w:pStyle w:val="ListParagraph"/>
        <w:numPr>
          <w:ilvl w:val="0"/>
          <w:numId w:val="2"/>
        </w:numPr>
        <w:spacing w:before="60" w:after="60"/>
      </w:pPr>
      <w:r>
        <w:rPr>
          <w:rFonts w:ascii="Arial" w:cs="Arial" w:eastAsia="Arial" w:hAnsi="Arial"/>
          <w:color w:val="1A1A1A"/>
          <w:sz w:val="22"/>
          <w:szCs w:val="22"/>
        </w:rPr>
        <w:t xml:space="preserve">All data publicly available on SEC EDGAR and agency websites — fully reproducible and interview-ready</w:t>
      </w:r>
    </w:p>
    <w:p>
      <w:pPr>
        <w:pStyle w:val="ListParagraph"/>
        <w:numPr>
          <w:ilvl w:val="0"/>
          <w:numId w:val="2"/>
        </w:numPr>
        <w:spacing w:before="60" w:after="60"/>
      </w:pPr>
      <w:r>
        <w:rPr>
          <w:rFonts w:ascii="Arial" w:cs="Arial" w:eastAsia="Arial" w:hAnsi="Arial"/>
          <w:color w:val="1A1A1A"/>
          <w:sz w:val="22"/>
          <w:szCs w:val="22"/>
        </w:rPr>
        <w:t xml:space="preserve">Five dimensions replace granular clause-by-clause loops: each iteration requires substantive multi-section synthesis, not pattern matching</w:t>
      </w:r>
    </w:p>
    <w:p>
      <w:pPr>
        <w:pStyle w:val="ListParagraph"/>
        <w:numPr>
          <w:ilvl w:val="0"/>
          <w:numId w:val="2"/>
        </w:numPr>
        <w:spacing w:before="60" w:after="60"/>
      </w:pPr>
      <w:r>
        <w:rPr>
          <w:rFonts w:ascii="Arial" w:cs="Arial" w:eastAsia="Arial" w:hAnsi="Arial"/>
          <w:color w:val="1A1A1A"/>
          <w:sz w:val="22"/>
          <w:szCs w:val="22"/>
        </w:rPr>
        <w:t xml:space="preserve">Three-company test set (Carvana, Peloton, Shopify) provides high-variance evaluation: financial distress with clean governance, distressed-recovering, and healthy company profiles</w:t>
      </w:r>
    </w:p>
    <w:p>
      <w:pPr>
        <w:pStyle w:val="ListParagraph"/>
        <w:numPr>
          <w:ilvl w:val="0"/>
          <w:numId w:val="2"/>
        </w:numPr>
        <w:spacing w:before="60" w:after="60"/>
      </w:pPr>
      <w:r>
        <w:rPr>
          <w:rFonts w:ascii="Arial" w:cs="Arial" w:eastAsia="Arial" w:hAnsi="Arial"/>
          <w:color w:val="1A1A1A"/>
          <w:sz w:val="22"/>
          <w:szCs w:val="22"/>
        </w:rPr>
        <w:t xml:space="preserve">Directly relevant to BDO Canada's transaction advisory and financial due diligence practice</w:t>
      </w:r>
    </w:p>
    <w:p>
      <w:pPr>
        <w:pStyle w:val="ListParagraph"/>
        <w:numPr>
          <w:ilvl w:val="0"/>
          <w:numId w:val="2"/>
        </w:numPr>
        <w:spacing w:before="60" w:after="60"/>
      </w:pPr>
      <w:r>
        <w:rPr>
          <w:rFonts w:ascii="Arial" w:cs="Arial" w:eastAsia="Arial" w:hAnsi="Arial"/>
          <w:color w:val="1A1A1A"/>
          <w:sz w:val="22"/>
          <w:szCs w:val="22"/>
        </w:rPr>
        <w:t xml:space="preserve">Demonstrates the full AI engineer skill set: RAG, agentic orchestration, dual observability stack (LangSmith + MLflow), cloud deployment</w:t>
      </w:r>
    </w:p>
    <w:p>
      <w:r>
        <w:br w:type="page"/>
      </w:r>
    </w:p>
    <w:p>
      <w:pPr>
        <w:pStyle w:val="Heading1"/>
        <w:pBdr>
          <w:bottom w:val="single" w:color="2E75B6" w:sz="6" w:space="4"/>
        </w:pBdr>
        <w:spacing w:before="340" w:after="160"/>
      </w:pPr>
      <w:r>
        <w:rPr>
          <w:rFonts w:ascii="Arial" w:cs="Arial" w:eastAsia="Arial" w:hAnsi="Arial"/>
          <w:b/>
          <w:bCs/>
          <w:color w:val="1F3864"/>
          <w:sz w:val="32"/>
          <w:szCs w:val="32"/>
        </w:rPr>
        <w:t xml:space="preserve">2. Dimension Framework</w:t>
      </w:r>
    </w:p>
    <w:p>
      <w:pPr>
        <w:spacing w:before="80" w:after="80"/>
      </w:pPr>
      <w:r>
        <w:rPr>
          <w:rFonts w:ascii="Arial" w:cs="Arial" w:eastAsia="Arial" w:hAnsi="Arial"/>
          <w:b w:val="false"/>
          <w:bCs w:val="false"/>
          <w:i w:val="false"/>
          <w:iCs w:val="false"/>
          <w:color w:val="1A1A1A"/>
          <w:sz w:val="22"/>
          <w:szCs w:val="22"/>
        </w:rPr>
        <w:t xml:space="preserve">Rather than constructing dimensions from intuition, this project directly implements the S&amp;P Global Corporate Rating Methodology (publicly available at spglobal.com). S&amp;P evaluates companies across a Business Risk Profile and a Financial Risk Profile. The five dimensions below are derived from S&amp;P's published sub-factors and SEC/PCAOB disclosure standards, giving the project a defensible, peer-reviewed foundation. Each dimension specifies its authoritative source, mandatory 10-K sections, retrieval queries, and an explicit rating rubric mapped to S&amp;P's own thresholds.</w:t>
      </w:r>
    </w:p>
    <w:p>
      <w:pPr>
        <w:spacing w:before="120" w:after="0"/>
      </w:pPr>
    </w:p>
    <w:p>
      <w:pPr>
        <w:shd w:fill="2E75B6" w:val="clear"/>
        <w:spacing w:before="200" w:after="120"/>
      </w:pPr>
      <w:r>
        <w:rPr>
          <w:rFonts w:ascii="Arial" w:cs="Arial" w:eastAsia="Arial" w:hAnsi="Arial"/>
          <w:b/>
          <w:bCs/>
          <w:color w:val="FFFFFF"/>
          <w:sz w:val="24"/>
          <w:szCs w:val="24"/>
        </w:rPr>
        <w:t xml:space="preserve">  Dimension 1: Financial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Framework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S&amp;P Financial Risk Profile — Cash Flow Adequacy, Leverage &amp; Coverage sub-factors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10-K Sections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Item 7 (MD&amp;A — Liquidity &amp; Capital Resources), Item 8 (Financial Statements,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Retrieval Queries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"revenue growth operating margin trend" | "free cash flow capital expenditure" | "debt obligations interest coverage ratio"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Rating Rubric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LOW: Revenue growing &gt;5% YoY, positive FCF, debt/EBITDA &lt;2x, Altman Z-Score &gt;2.99 (Safe Zone)  |  MEDIUM: Flat/declining revenue, shrinking FCF, debt/EBITDA 2–4x, Z-Score 1.81–2.99 (Grey Zone)  |  HIGH: Declining revenue, negative FCF, debt/EBITDA &gt;4x or covenant risk, Z-Score &lt;1.81 (Distress Zone)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Ground Truth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Altman Z-Score (calculated from EDGAR XBRL financial data — fully objective, no annotation) + S&amp;P/Moody's rating action press releases</w:t>
            </w:r>
          </w:p>
        </w:tc>
      </w:tr>
    </w:tbl>
    <w:p>
      <w:pPr>
        <w:spacing w:before="160" w:after="0"/>
      </w:pPr>
    </w:p>
    <w:p>
      <w:pPr>
        <w:shd w:fill="2E75B6" w:val="clear"/>
        <w:spacing w:before="200" w:after="120"/>
      </w:pPr>
      <w:r>
        <w:rPr>
          <w:rFonts w:ascii="Arial" w:cs="Arial" w:eastAsia="Arial" w:hAnsi="Arial"/>
          <w:b/>
          <w:bCs/>
          <w:color w:val="FFFFFF"/>
          <w:sz w:val="24"/>
          <w:szCs w:val="24"/>
        </w:rPr>
        <w:t xml:space="preserve">  Dimension 2: Going Concern &amp;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Framework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S&amp;P Liquidity Assessment (SCP Scoring) — Short-Term Liquidity sub-factor of Financial Risk Profile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10-K Sections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Auditor's Report (Item 8), MD&amp;A Liquidity &amp; Capital Resources section (Item 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Retrieval Queries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"going concern substantial doubt liquidity" | "cash runway operating losses burn rate" | "debt maturity covenant compliance waiver"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Rating Rubric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LOW: Clean auditor opinion, positive operating cash flow, adequate liquidity disclosed  |  MEDIUM: Liquidity concerns in MD&amp;A but no auditor qualification; near-term debt maturities flagged  |  HIGH: Auditor issued going concern qualification or management discloses substantial doubt (binary, unambiguous)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Ground Truth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PCAOB Audit Analytics (auditanalytics.com) — systematic going concern database + auditor opinion text in 10-K (fully self-labeling and binary)</w:t>
            </w:r>
          </w:p>
        </w:tc>
      </w:tr>
    </w:tbl>
    <w:p>
      <w:pPr>
        <w:spacing w:before="160" w:after="0"/>
      </w:pPr>
    </w:p>
    <w:p>
      <w:pPr>
        <w:shd w:fill="2E75B6" w:val="clear"/>
        <w:spacing w:before="200" w:after="120"/>
      </w:pPr>
      <w:r>
        <w:rPr>
          <w:rFonts w:ascii="Arial" w:cs="Arial" w:eastAsia="Arial" w:hAnsi="Arial"/>
          <w:b/>
          <w:bCs/>
          <w:color w:val="FFFFFF"/>
          <w:sz w:val="24"/>
          <w:szCs w:val="24"/>
        </w:rPr>
        <w:t xml:space="preserve">  Dimension 3: Legal &amp; Regulatory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Framework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S&amp;P Business Risk Profile — Industry Risk and Regulatory Environment sub-factors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10-K Sections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Item 3 (Legal Proceedings — mandatory disclosure), Item 1A (Risk Factors — regulatory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Retrieval Queries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"pending litigation regulatory investigation material" | "government investigation enforcement action" | "legal proceedings settlement contingent liability"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Rating Rubric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LOW: No material litigation; boilerplate risk language only  |  MEDIUM: Active litigation disclosed but no material adverse outcome expected; quantified exposure &lt;5% of revenue  |  HIGH: Quantified exposure &gt;5% of revenue, active government investigation, or consent order in 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Ground Truth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SEC Comment Letters (efts.sec.gov — free, searchable by company CIK) + Item 3 mandatory self-disclosure + Moody's/S&amp;P downgrade rationale citing legal exposure</w:t>
            </w:r>
          </w:p>
        </w:tc>
      </w:tr>
    </w:tbl>
    <w:p>
      <w:pPr>
        <w:spacing w:before="160" w:after="0"/>
      </w:pPr>
    </w:p>
    <w:p>
      <w:pPr>
        <w:shd w:fill="2E75B6" w:val="clear"/>
        <w:spacing w:before="200" w:after="120"/>
      </w:pPr>
      <w:r>
        <w:rPr>
          <w:rFonts w:ascii="Arial" w:cs="Arial" w:eastAsia="Arial" w:hAnsi="Arial"/>
          <w:b/>
          <w:bCs/>
          <w:color w:val="FFFFFF"/>
          <w:sz w:val="24"/>
          <w:szCs w:val="24"/>
        </w:rPr>
        <w:t xml:space="preserve">  Dimension 4: Operational &amp; Third-Party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Framework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S&amp;P Business Risk Profile — Competitive Position sub-factor (operational resilience and supply chain concentration); SEC FR-72 (adequacy of Item 101(c) business description disclosure)</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10-K Sections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Item 1 (Business — description of operations, key partners, suppliers), Item 1A (Risk Factors — dependency and single-source language), Item 7 (MD&amp;A — committed facilities and partnership arrangements), Item 8 (debt footnotes for financial service dependencies)</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Retrieval Queries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"contract manufacturer sole source single supplier" | "third-party logistics provider material adverse effect" | "committed forward flow arrangement purchase finance receivables floor plan facility" | "named provider dependency no alternative substitute" | "key partner agreement termination material impact"</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Rating Rubric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LOW: Operations distributed across multiple providers; no single source dependency named; no material adverse effect language tied to a specific counterparty | MEDIUM: One or two named external providers flagged as significant but with partial mitigation disclosed (e.g., committed bilateral arrangements, alternative sourcing described); language such as “material adverse effect” tied to a specific named counterparty | HIGH: Named sole-source dependency with no disclosed alternative; loss of dependency would materially impair core operations or revenue; Item 1A risk factor names specific counterparty and quantifies exposure or describes irreplaceability</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Ground Truth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Item 1 and Item 1A self-disclosure (mandatory under S-K Item 101(c) and Item 105); FR-72 adequacy standard. Note: verify any named entity is an external counterparty, not an owned subsidiary (check acquisition language and consolidation references before classifying as dependency)</w:t>
            </w:r>
          </w:p>
        </w:tc>
      </w:tr>
    </w:tbl>
    <w:p>
      <w:r>
        <w:br w:type="page"/>
      </w:r>
    </w:p>
    <w:p>
      <w:pPr>
        <w:shd w:fill="2E75B6" w:val="clear"/>
        <w:spacing w:before="200" w:after="120"/>
      </w:pPr>
      <w:r>
        <w:rPr>
          <w:rFonts w:ascii="Arial" w:cs="Arial" w:eastAsia="Arial" w:hAnsi="Arial"/>
          <w:b/>
          <w:bCs/>
          <w:color w:val="FFFFFF"/>
          <w:sz w:val="24"/>
          <w:szCs w:val="24"/>
        </w:rPr>
        <w:t xml:space="preserve">  Dimension 5: Internal Controls &amp; Governance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Framework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SOX Section 404 (management assessment + auditor attestation for large accelerated filers); PCAOB AS 2201 (auditor ICFR evaluation standard); COSO 2013 Internal Control — Integrated Framework (5 components, 17 principles); SEC S-K Item 9A (controls and procedures disclosure) and Item 106 (cybersecurity, effective December 15, 2023)</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10-K Sections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Item 9A (Controls and Procedures — management ICFR conclusion and disclosure controls); Item 8 (Report of Independent Registered Public Accounting Firm — AS 2201 ICFR opinion, separate from financial statement opinion); Item 1A (Risk Factors — internal control risk language, NOTE: treat as hypothetical, not actual weakness evidence); Item 1C (Cybersecurity, for filings after December 15, 2023)</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Retrieval Queries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"management concluded internal control over financial reporting not effective material weakness" | "auditor adverse opinion internal control over financial reporting" | "COSO 2013 control environment risk assessment control activities" | "IT general controls user access change management segregation of duties" | "remediation plan material weakness identified"</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Rating Rubric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LOW: Management concluded ICFR effective; auditor issued unqualified AS 2201 opinion (“the Company maintained...effective internal control over financial reporting”); no material weaknesses or significant deficiencies disclosed in Item 9A | MEDIUM: Significant deficiency (not material weakness) disclosed; or prior-year material weakness with remediation substantially complete and auditor noting improvement; or disclosure controls effective but ICFR not yet assessed | HIGH: Management concluded ICFR NOT effective in Item 9A (explicit: “was not effective as of [date]”); and/or auditor issued adverse AS 2201 opinion (“did not maintain effective internal control”). Binary signal — Item 9A management conclusion is the primary determinant. CRITICAL: mentions of “material weakness” in Item 1A risk factors are forward-looking hypotheticals and are NOT evidence of an actual weakness</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Ground Truth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Item 9A management ICFR conclusion (mandatory SOX 404(a) disclosure — self-labeling and binary); auditor AS 2201 ICFR opinion in Item 8 (SOX 404(b) — applies to all large accelerated filers). Cross-check: auditor unqualified opinion text reads “the Company maintained...effective internal control”; adverse reads “did not maintain effective internal control.” Both contain the word ‘effective’ — read the full sentence</w:t>
            </w:r>
          </w:p>
        </w:tc>
      </w:tr>
    </w:tbl>
    <w:p>
      <w:r>
        <w:br w:type="page"/>
      </w:r>
    </w:p>
    <w:p>
      <w:pPr>
        <w:pStyle w:val="Heading1"/>
        <w:pBdr>
          <w:bottom w:val="single" w:color="2E75B6" w:sz="6" w:space="4"/>
        </w:pBdr>
        <w:spacing w:before="340" w:after="160"/>
      </w:pPr>
      <w:r>
        <w:rPr>
          <w:rFonts w:ascii="Arial" w:cs="Arial" w:eastAsia="Arial" w:hAnsi="Arial"/>
          <w:b/>
          <w:bCs/>
          <w:color w:val="1F3864"/>
          <w:sz w:val="32"/>
          <w:szCs w:val="32"/>
        </w:rPr>
        <w:t xml:space="preserve">3. Test Dataset &amp; Ground Truth</w:t>
      </w:r>
    </w:p>
    <w:p>
      <w:pPr>
        <w:spacing w:before="80" w:after="80"/>
      </w:pPr>
      <w:r>
        <w:rPr>
          <w:rFonts w:ascii="Arial" w:cs="Arial" w:eastAsia="Arial" w:hAnsi="Arial"/>
          <w:b w:val="false"/>
          <w:bCs w:val="false"/>
          <w:i w:val="false"/>
          <w:iCs w:val="false"/>
          <w:color w:val="1A1A1A"/>
          <w:sz w:val="22"/>
          <w:szCs w:val="22"/>
        </w:rPr>
        <w:t xml:space="preserve">The evaluation dataset consists of 15 labeled dimension-company pairs (5 dimensions × 3 companies). All ground truth labels are sourced from authoritative external sources — no manual annotation is required. The three companies are chosen to provide maximum variance across all five dimensions.</w:t>
      </w:r>
    </w:p>
    <w:p>
      <w:pPr>
        <w:spacing w:before="160" w:after="0"/>
      </w:pPr>
    </w:p>
    <w:p>
      <w:pPr>
        <w:pStyle w:val="Heading2"/>
        <w:spacing w:before="240" w:after="100"/>
      </w:pPr>
      <w:r>
        <w:rPr>
          <w:rFonts w:ascii="Arial" w:cs="Arial" w:eastAsia="Arial" w:hAnsi="Arial"/>
          <w:b/>
          <w:bCs/>
          <w:color w:val="2E75B6"/>
          <w:sz w:val="26"/>
          <w:szCs w:val="26"/>
        </w:rPr>
        <w:t xml:space="preserve">Company Profiles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Company / Filing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 Financial Health</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 Going Concern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 Legal Exposure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 Operational Dep.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 Controls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Profile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1A1A1A"/>
                <w:sz w:val="18"/>
                <w:szCs w:val="18"/>
              </w:rPr>
              <w:t xml:space="preserve">Carvana FY2022 10-K</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18"/>
                <w:szCs w:val="18"/>
              </w:rPr>
              <w:t xml:space="preserve">HIGH</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18"/>
                <w:szCs w:val="18"/>
              </w:rPr>
              <w:t xml:space="preserve">MEDIUM</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1E8449"/>
                <w:sz w:val="18"/>
                <w:szCs w:val="18"/>
              </w:rPr>
              <w:t xml:space="preserve">LOW</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18"/>
                <w:szCs w:val="18"/>
              </w:rPr>
              <w:t xml:space="preserve">MEDIUM</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1E8449"/>
                <w:sz w:val="18"/>
                <w:szCs w:val="18"/>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Financial distress, clean governance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1A1A1A"/>
                <w:sz w:val="18"/>
                <w:szCs w:val="18"/>
              </w:rPr>
              <w:t xml:space="preserve">Peloton FY2023 10-K</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18"/>
                <w:szCs w:val="18"/>
              </w:rPr>
              <w:t xml:space="preserve">HIGH</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18"/>
                <w:szCs w:val="18"/>
              </w:rPr>
              <w:t xml:space="preserve">MEDIUM</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18"/>
                <w:szCs w:val="18"/>
              </w:rPr>
              <w:t xml:space="preserve">HIGH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18"/>
                <w:szCs w:val="18"/>
              </w:rPr>
              <w:t xml:space="preserve">HIGH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18"/>
                <w:szCs w:val="18"/>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Distressed / recovering (4/5 HIGH)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1A1A1A"/>
                <w:sz w:val="18"/>
                <w:szCs w:val="18"/>
              </w:rPr>
              <w:t xml:space="preserve">Shopify FY2025 10-K</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1E8449"/>
                <w:sz w:val="18"/>
                <w:szCs w:val="18"/>
              </w:rPr>
              <w:t xml:space="preserve">LOW</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1E8449"/>
                <w:sz w:val="18"/>
                <w:szCs w:val="18"/>
              </w:rPr>
              <w:t xml:space="preserve">LOW</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1E8449"/>
                <w:sz w:val="18"/>
                <w:szCs w:val="18"/>
              </w:rPr>
              <w:t xml:space="preserve">LOW</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18"/>
                <w:szCs w:val="18"/>
              </w:rPr>
              <w:t xml:space="preserve">MEDIUM</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1E8449"/>
                <w:sz w:val="18"/>
                <w:szCs w:val="18"/>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Healthy / neg. control (4/5 LOW)</w:t>
            </w:r>
          </w:p>
        </w:tc>
      </w:tr>
    </w:tbl>
    <w:p>
      <w:pPr>
        <w:spacing w:before="160" w:after="0"/>
      </w:pPr>
    </w:p>
    <w:p>
      <w:pPr>
        <w:spacing w:before="80" w:after="80"/>
      </w:pPr>
      <w:r>
        <w:rPr>
          <w:rFonts w:ascii="Arial" w:cs="Arial" w:eastAsia="Arial" w:hAnsi="Arial"/>
          <w:b w:val="false"/>
          <w:bCs w:val="false"/>
          <w:i w:val="false"/>
          <w:iCs w:val="false"/>
          <w:color w:val="1A1A1A"/>
          <w:sz w:val="22"/>
          <w:szCs w:val="22"/>
        </w:rPr>
        <w:t xml:space="preserve">This three-company set tests both extremes and the middle: Carvana tests whether the pipeline correctly separates D1 HIGH financial distress from D3/D5 LOW governance outcomes in the same filing; Peloton FY2023 provides four-of-five HIGH verdicts with D2 MEDIUM as the nuanced case; Shopify FY2025 is the negative control testing LOW verdicts on four dimensions with D4 MEDIUM as the single catch.</w:t>
      </w:r>
    </w:p>
    <w:p>
      <w:pPr>
        <w:spacing w:before="160" w:after="0"/>
      </w:pPr>
    </w:p>
    <w:p>
      <w:pPr>
        <w:pStyle w:val="Heading2"/>
        <w:spacing w:before="240" w:after="100"/>
      </w:pPr>
      <w:r>
        <w:rPr>
          <w:rFonts w:ascii="Arial" w:cs="Arial" w:eastAsia="Arial" w:hAnsi="Arial"/>
          <w:b/>
          <w:bCs/>
          <w:color w:val="2E75B6"/>
          <w:sz w:val="26"/>
          <w:szCs w:val="26"/>
        </w:rPr>
        <w:t xml:space="preserve">Ground Truth Sources Per Company</w:t>
      </w:r>
    </w:p>
    <w:p>
      <w:pPr>
        <w:spacing w:before="180" w:after="80"/>
      </w:pPr>
      <w:r>
        <w:rPr>
          <w:rFonts w:ascii="Arial" w:cs="Arial" w:eastAsia="Arial" w:hAnsi="Arial"/>
          <w:b/>
          <w:bCs/>
          <w:color w:val="1F3864"/>
          <w:sz w:val="22"/>
          <w:szCs w:val="22"/>
        </w:rPr>
        <w:t xml:space="preserve">Carvana (FY2022 10-K — Financial Distress Anchor)</w:t>
      </w:r>
    </w:p>
    <w:p>
      <w:pPr>
        <w:spacing w:before="80" w:after="80"/>
      </w:pPr>
      <w:r>
        <w:rPr>
          <w:rFonts w:ascii="Arial" w:cs="Arial" w:eastAsia="Arial" w:hAnsi="Arial"/>
          <w:b w:val="false"/>
          <w:bCs w:val="false"/>
          <w:i w:val="false"/>
          <w:iCs w:val="false"/>
          <w:color w:val="1A1A1A"/>
          <w:sz w:val="22"/>
          <w:szCs w:val="22"/>
        </w:rPr>
        <w:t xml:space="preserve">Carvana’s FY2022 10-K is the financial distress anchor: $1.587B net loss attributable to Carvana Co., $7.6B total debt (5.7B Senior Notes + 1.5B floor plan + other), negative OCF of $1.3B, and total stockholders’ deficit of $1.05B. Auditor: Grant Thornton (not KPMG or EY). Critically, D3 and D5 are LOW despite severe D1 distress — Grant Thornton issued a clean ICFR opinion and Item 3 contains boilerplate denial language.</w:t>
      </w:r>
    </w:p>
    <w:p>
      <w:pPr>
        <w:pStyle w:val="ListParagraph"/>
        <w:numPr>
          <w:ilvl w:val="0"/>
          <w:numId w:val="2"/>
        </w:numPr>
        <w:spacing w:before="60" w:after="60"/>
      </w:pPr>
      <w:r>
        <w:rPr>
          <w:rFonts w:ascii="Arial" w:cs="Arial" w:eastAsia="Arial" w:hAnsi="Arial"/>
          <w:color w:val="1A1A1A"/>
          <w:sz w:val="22"/>
          <w:szCs w:val="22"/>
        </w:rPr>
        <w:t xml:space="preserve">Moody's downgrade to Ca (near-default) with written rationale — free at moodys.com. Explicitly cites liquidity deterioration, covenant risk, and legal exposure with specific filing evidence.</w:t>
      </w:r>
    </w:p>
    <w:p>
      <w:pPr>
        <w:pStyle w:val="ListParagraph"/>
        <w:numPr>
          <w:ilvl w:val="0"/>
          <w:numId w:val="2"/>
        </w:numPr>
        <w:spacing w:before="60" w:after="60"/>
      </w:pPr>
      <w:r>
        <w:rPr>
          <w:rFonts w:ascii="Arial" w:cs="Arial" w:eastAsia="Arial" w:hAnsi="Arial"/>
          <w:color w:val="1A1A1A"/>
          <w:sz w:val="22"/>
          <w:szCs w:val="22"/>
        </w:rPr>
        <w:t xml:space="preserve">D3 LOW confirmed: Item 3 contains explicit boilerplate denial (“we do not believe that the ultimate resolution...will have a material adverse effect”). D4 MEDIUM confirmed: Ally Financial committed forward flow arrangement, up to $4B committed purchase of finance receivables. D5 LOW confirmed: Item 9A management conclusion and Grant Thornton AS 2201 opinion both affirm effective ICFR as of December 31, 2022.</w:t>
      </w:r>
    </w:p>
    <w:p>
      <w:pPr>
        <w:pStyle w:val="ListParagraph"/>
        <w:numPr>
          <w:ilvl w:val="0"/>
          <w:numId w:val="2"/>
        </w:numPr>
        <w:spacing w:before="60" w:after="60"/>
      </w:pPr>
      <w:r>
        <w:rPr>
          <w:rFonts w:ascii="Arial" w:cs="Arial" w:eastAsia="Arial" w:hAnsi="Arial"/>
          <w:color w:val="1A1A1A"/>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Altman Z-Score calculated from EDGAR XBRL data — deep distress zone (&lt;1.81). Fully objective, calculable without annotation.</w:t>
      </w:r>
    </w:p>
    <w:p>
      <w:pPr>
        <w:pStyle w:val="ListParagraph"/>
        <w:numPr>
          <w:ilvl w:val="0"/>
          <w:numId w:val="2"/>
        </w:numPr>
        <w:spacing w:before="60" w:after="60"/>
      </w:pPr>
      <w:r>
        <w:rPr>
          <w:rFonts w:ascii="Arial" w:cs="Arial" w:eastAsia="Arial" w:hAnsi="Arial"/>
          <w:color w:val="1A1A1A"/>
          <w:sz w:val="22"/>
          <w:szCs w:val="22"/>
        </w:rPr>
        <w:t xml:space="preserve">SEC Comment Letters on Carvana's filings — searchable at efts.sec.gov by CIK number (CIK: 0001690820).</w:t>
      </w:r>
    </w:p>
    <w:p>
      <w:pPr>
        <w:spacing w:before="120" w:after="0"/>
      </w:pPr>
    </w:p>
    <w:p>
      <w:pPr>
        <w:spacing w:before="180" w:after="80"/>
      </w:pPr>
      <w:r>
        <w:rPr>
          <w:rFonts w:ascii="Arial" w:cs="Arial" w:eastAsia="Arial" w:hAnsi="Arial"/>
          <w:b/>
          <w:bCs/>
          <w:color w:val="1F3864"/>
          <w:sz w:val="22"/>
          <w:szCs w:val="22"/>
        </w:rPr>
        <w:t xml:space="preserve">Peloton (FY2023 10-K)</w:t>
      </w:r>
    </w:p>
    <w:p>
      <w:pPr>
        <w:pStyle w:val="ListParagraph"/>
        <w:numPr>
          <w:ilvl w:val="0"/>
          <w:numId w:val="2"/>
        </w:numPr>
        <w:spacing w:before="60" w:after="60"/>
      </w:pPr>
      <w:r>
        <w:rPr>
          <w:rFonts w:ascii="Arial" w:cs="Arial" w:eastAsia="Arial" w:hAnsi="Arial"/>
          <w:color w:val="1A1A1A"/>
          <w:sz w:val="22"/>
          <w:szCs w:val="22"/>
        </w:rPr>
        <w:t xml:space="preserve">S&amp;P downgrade to B- with liquidity and cash burn concerns explicitly cited — free press release at spglobal.com.</w:t>
      </w:r>
    </w:p>
    <w:p>
      <w:pPr>
        <w:pStyle w:val="ListParagraph"/>
        <w:numPr>
          <w:ilvl w:val="0"/>
          <w:numId w:val="2"/>
        </w:numPr>
        <w:spacing w:before="60" w:after="60"/>
      </w:pPr>
      <w:r>
        <w:rPr>
          <w:rFonts w:ascii="Arial" w:cs="Arial" w:eastAsia="Arial" w:hAnsi="Arial"/>
          <w:color w:val="1A1A1A"/>
          <w:sz w:val="22"/>
          <w:szCs w:val="22"/>
        </w:rPr>
        <w:t xml:space="preserve">SEC sent Peloton a Comment Letter in 2022 specifically about going concern disclosure adequacy — free at efts.sec.gov. This is the SEC's own structured critique of Peloton's risk disclosures.</w:t>
      </w:r>
    </w:p>
    <w:p>
      <w:pPr>
        <w:pStyle w:val="ListParagraph"/>
        <w:numPr>
          <w:ilvl w:val="0"/>
          <w:numId w:val="2"/>
        </w:numPr>
        <w:spacing w:before="60" w:after="60"/>
      </w:pPr>
      <w:r>
        <w:rPr>
          <w:rFonts w:ascii="Arial" w:cs="Arial" w:eastAsia="Arial" w:hAnsi="Arial"/>
          <w:color w:val="1A1A1A"/>
          <w:sz w:val="22"/>
          <w:szCs w:val="22"/>
        </w:rPr>
        <w:t xml:space="preserve">Multiple 8-K filings around the going concern assessment period — structured, dateable, verifiable on EDGAR.</w:t>
      </w:r>
    </w:p>
    <w:p>
      <w:pPr>
        <w:pStyle w:val="ListParagraph"/>
        <w:numPr>
          <w:ilvl w:val="0"/>
          <w:numId w:val="2"/>
        </w:numPr>
        <w:spacing w:before="60" w:after="60"/>
      </w:pPr>
      <w:r>
        <w:rPr>
          <w:rFonts w:ascii="Arial" w:cs="Arial" w:eastAsia="Arial" w:hAnsi="Arial"/>
          <w:color w:val="1A1A1A"/>
          <w:sz w:val="22"/>
          <w:szCs w:val="22"/>
        </w:rPr>
        <w:t xml:space="preserve">Altman Z-Score calculated from EDGAR XBRL data — grey zone (1.81–2.99), consistent with MEDIUM Financial Health label.</w:t>
      </w:r>
    </w:p>
    <w:p>
      <w:pPr>
        <w:pStyle w:val="ListParagraph"/>
        <w:numPr>
          <w:ilvl w:val="0"/>
          <w:numId w:val="2"/>
        </w:numPr>
        <w:spacing w:before="60" w:after="60"/>
      </w:pPr>
      <w:r>
        <w:rPr>
          <w:rFonts w:ascii="Arial" w:cs="Arial" w:eastAsia="Arial" w:hAnsi="Arial"/>
          <w:color w:val="1A1A1A"/>
          <w:sz w:val="22"/>
          <w:szCs w:val="22"/>
        </w:rPr>
        <w:t xml:space="preserve">D2 = MEDIUM, not HIGH: no going concern qualification was issued for FY2023. Grant Thornton’s financial statement opinion is unqualified. D2 MEDIUM is driven by the springing maturity clause on the 2025 Convertible Notes and the overall liquidity structure. D5 = HIGH: adverse ICFR opinion from Grant Thornton; management explicitly concluded ICFR was not effective as of June 30, 2023.</w:t>
      </w:r>
    </w:p>
    <w:p>
      <w:pPr>
        <w:spacing w:before="120" w:after="0"/>
      </w:pPr>
    </w:p>
    <w:p>
      <w:pPr>
        <w:spacing w:before="180" w:after="80"/>
      </w:pPr>
      <w:r>
        <w:rPr>
          <w:rFonts w:ascii="Arial" w:cs="Arial" w:eastAsia="Arial" w:hAnsi="Arial"/>
          <w:b/>
          <w:bCs/>
          <w:color w:val="1F3864"/>
          <w:sz w:val="22"/>
          <w:szCs w:val="22"/>
        </w:rPr>
        <w:t xml:space="preserve">Shopify (FY2022 10-K)</w:t>
      </w:r>
    </w:p>
    <w:p>
      <w:pPr>
        <w:pStyle w:val="ListParagraph"/>
        <w:numPr>
          <w:ilvl w:val="0"/>
          <w:numId w:val="2"/>
        </w:numPr>
        <w:spacing w:before="60" w:after="60"/>
      </w:pPr>
      <w:r>
        <w:rPr>
          <w:rFonts w:ascii="Arial" w:cs="Arial" w:eastAsia="Arial" w:hAnsi="Arial"/>
          <w:color w:val="1A1A1A"/>
          <w:sz w:val="22"/>
          <w:szCs w:val="22"/>
        </w:rPr>
        <w:t xml:space="preserve">S&amp;P investment grade rating rationale — free summary at spglobal.com. Provides explicit LOW-risk justification across financial and business risk dimensions.</w:t>
      </w:r>
    </w:p>
    <w:p>
      <w:pPr>
        <w:pStyle w:val="ListParagraph"/>
        <w:numPr>
          <w:ilvl w:val="0"/>
          <w:numId w:val="2"/>
        </w:numPr>
        <w:spacing w:before="60" w:after="60"/>
      </w:pPr>
      <w:r>
        <w:rPr>
          <w:rFonts w:ascii="Arial" w:cs="Arial" w:eastAsia="Arial" w:hAnsi="Arial"/>
          <w:color w:val="1A1A1A"/>
          <w:sz w:val="22"/>
          <w:szCs w:val="22"/>
        </w:rPr>
        <w:t xml:space="preserve">Clean auditor opinion from Deloitte — unambiguous LOW on Going Concern, directly extractable from filing.</w:t>
      </w:r>
    </w:p>
    <w:p>
      <w:pPr>
        <w:pStyle w:val="ListParagraph"/>
        <w:numPr>
          <w:ilvl w:val="0"/>
          <w:numId w:val="2"/>
        </w:numPr>
        <w:spacing w:before="60" w:after="60"/>
      </w:pPr>
      <w:r>
        <w:rPr>
          <w:rFonts w:ascii="Arial" w:cs="Arial" w:eastAsia="Arial" w:hAnsi="Arial"/>
          <w:color w:val="1A1A1A"/>
          <w:sz w:val="22"/>
          <w:szCs w:val="22"/>
        </w:rPr>
        <w:t xml:space="preserve">No SEC Comment Letters flagging material disclosure issues — itself a ground truth signal (LOW Legal Exposure).</w:t>
      </w:r>
    </w:p>
    <w:p>
      <w:pPr>
        <w:pStyle w:val="ListParagraph"/>
        <w:numPr>
          <w:ilvl w:val="0"/>
          <w:numId w:val="2"/>
        </w:numPr>
        <w:spacing w:before="60" w:after="60"/>
      </w:pPr>
      <w:r>
        <w:rPr>
          <w:rFonts w:ascii="Arial" w:cs="Arial" w:eastAsia="Arial" w:hAnsi="Arial"/>
          <w:color w:val="1A1A1A"/>
          <w:sz w:val="22"/>
          <w:szCs w:val="22"/>
        </w:rPr>
        <w:t xml:space="preserve">Item 9A and auditor opinion confirm effective ICFR (D5 LOW). Item 1C cybersecurity disclosure is present and complete (Shopify FY2025 fiscal year end is after the December 15, 2023 effective date).</w:t>
      </w:r>
    </w:p>
    <w:p>
      <w:pPr>
        <w:pStyle w:val="ListParagraph"/>
        <w:numPr>
          <w:ilvl w:val="0"/>
          <w:numId w:val="2"/>
        </w:numPr>
        <w:spacing w:before="60" w:after="60"/>
      </w:pPr>
      <w:r>
        <w:rPr>
          <w:rFonts w:ascii="Arial" w:cs="Arial" w:eastAsia="Arial" w:hAnsi="Arial"/>
          <w:color w:val="1A1A1A"/>
          <w:sz w:val="22"/>
          <w:szCs w:val="22"/>
        </w:rPr>
        <w:t xml:space="preserve">Altman Z-Score — safe zone (&gt;2.99). Calculable from EDGAR XBRL. Acts as negative control.</w:t>
      </w:r>
    </w:p>
    <w:p>
      <w:pPr>
        <w:spacing w:before="160" w:after="0"/>
      </w:pPr>
    </w:p>
    <w:p>
      <w:pPr>
        <w:pStyle w:val="Heading2"/>
        <w:spacing w:before="240" w:after="100"/>
      </w:pPr>
      <w:r>
        <w:rPr>
          <w:rFonts w:ascii="Arial" w:cs="Arial" w:eastAsia="Arial" w:hAnsi="Arial"/>
          <w:b/>
          <w:bCs/>
          <w:color w:val="2E75B6"/>
          <w:sz w:val="26"/>
          <w:szCs w:val="26"/>
        </w:rPr>
        <w:t xml:space="preserve">Ground Truth Data Access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60"/>
        <w:gridCol w:w="18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It Provides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S&amp;P Rating Action Press Releases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Dimension-level risk verdicts with filing evidence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1A"/>
                <w:sz w:val="20"/>
                <w:szCs w:val="20"/>
              </w:rPr>
              <w:t xml:space="preserve">spglobal.com/ratings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 (public)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Moody's Rating Action Notices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Structured downgrade rationale per company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1A1A1A"/>
                <w:sz w:val="20"/>
                <w:szCs w:val="20"/>
              </w:rPr>
              <w:t xml:space="preserve">moodys.com/credit-ratings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 (public)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PCAOB Audit Analytics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Going concern opinion database, auditor changes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1A"/>
                <w:sz w:val="20"/>
                <w:szCs w:val="20"/>
              </w:rPr>
              <w:t xml:space="preserve">auditanalytics.com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 summary; full via university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SEC Comment Letters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SEC's own critique of specific disclosure deficiencies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1A1A1A"/>
                <w:sz w:val="20"/>
                <w:szCs w:val="20"/>
              </w:rPr>
              <w:t xml:space="preserve">efts.sec.gov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PACER (Bankruptcy Court)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N/A — not used for current test companies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1A"/>
                <w:sz w:val="20"/>
                <w:szCs w:val="20"/>
              </w:rPr>
              <w:t xml:space="preserve">pacer.gov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 registration; small per-page fee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SEC EDGAR XBRL API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Structured financial data for Altman Z-Score calculation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1A1A1A"/>
                <w:sz w:val="20"/>
                <w:szCs w:val="20"/>
              </w:rPr>
              <w:t xml:space="preserve">data.sec.gov/api/xbrl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SEC EDGAR Full-Text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10-K item extraction, going concern text search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1A"/>
                <w:sz w:val="20"/>
                <w:szCs w:val="20"/>
              </w:rPr>
              <w:t xml:space="preserve">efts.sec.gov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w:t>
            </w:r>
          </w:p>
        </w:tc>
      </w:tr>
    </w:tbl>
    <w:p>
      <w:r>
        <w:br w:type="page"/>
      </w:r>
    </w:p>
    <w:p>
      <w:pPr>
        <w:pStyle w:val="Heading1"/>
        <w:pBdr>
          <w:bottom w:val="single" w:color="2E75B6" w:sz="6" w:space="4"/>
        </w:pBdr>
        <w:spacing w:before="340" w:after="160"/>
      </w:pPr>
      <w:r>
        <w:rPr>
          <w:rFonts w:ascii="Arial" w:cs="Arial" w:eastAsia="Arial" w:hAnsi="Arial"/>
          <w:b/>
          <w:bCs/>
          <w:color w:val="1F3864"/>
          <w:sz w:val="32"/>
          <w:szCs w:val="32"/>
        </w:rPr>
        <w:t xml:space="preserve">4. System Architecture</w:t>
      </w:r>
    </w:p>
    <w:p>
      <w:pPr>
        <w:pStyle w:val="Heading2"/>
        <w:spacing w:before="240" w:after="100"/>
      </w:pPr>
      <w:r>
        <w:rPr>
          <w:rFonts w:ascii="Arial" w:cs="Arial" w:eastAsia="Arial" w:hAnsi="Arial"/>
          <w:b/>
          <w:bCs/>
          <w:color w:val="2E75B6"/>
          <w:sz w:val="26"/>
          <w:szCs w:val="26"/>
        </w:rPr>
        <w:t xml:space="preserve">3-Agent LangGraph Pipeline</w:t>
      </w:r>
    </w:p>
    <w:p>
      <w:pPr>
        <w:spacing w:before="80" w:after="80"/>
      </w:pPr>
      <w:r>
        <w:rPr>
          <w:rFonts w:ascii="Arial" w:cs="Arial" w:eastAsia="Arial" w:hAnsi="Arial"/>
          <w:b w:val="false"/>
          <w:bCs w:val="false"/>
          <w:i w:val="false"/>
          <w:iCs w:val="false"/>
          <w:color w:val="1A1A1A"/>
          <w:sz w:val="22"/>
          <w:szCs w:val="22"/>
        </w:rPr>
        <w:t xml:space="preserve">The workflow is a LangGraph StateGraph with a conditional loop across the five dimensions. The Document Agent ingests and segments the 10-K, the Retrieval Agent surfaces relevant evidence per dimension, and the Analysis Agent synthesizes verdicts. A final Report Node renders the structured JSON output into a formatted PDF. LangSmith traces every agent step in real time; MLflow logs aggregate metrics across evaluation runs.</w:t>
      </w:r>
    </w:p>
    <w:p>
      <w:pPr>
        <w:spacing w:before="140" w:after="0"/>
      </w:pPr>
    </w:p>
    <w:p>
      <w:pPr>
        <w:pStyle w:val="Heading2"/>
        <w:spacing w:before="240" w:after="100"/>
      </w:pPr>
      <w:r>
        <w:rPr>
          <w:rFonts w:ascii="Arial" w:cs="Arial" w:eastAsia="Arial" w:hAnsi="Arial"/>
          <w:b/>
          <w:bCs/>
          <w:color w:val="2E75B6"/>
          <w:sz w:val="26"/>
          <w:szCs w:val="26"/>
        </w:rPr>
        <w:t xml:space="preserve">LangGraph State Design</w:t>
      </w:r>
    </w:p>
    <w:p>
      <w:pPr>
        <w:pBdr>
          <w:left w:val="single" w:color="2E75B6" w:sz="10"/>
        </w:pBdr>
        <w:shd w:fill="F5F5F5" w:val="clear"/>
        <w:spacing w:before="80" w:after="80"/>
        <w:ind w:left="360"/>
      </w:pPr>
      <w:r>
        <w:rPr>
          <w:rFonts w:ascii="Courier New" w:cs="Courier New" w:eastAsia="Courier New" w:hAnsi="Courier New"/>
          <w:color w:val="333333"/>
          <w:sz w:val="20"/>
          <w:szCs w:val="20"/>
        </w:rPr>
        <w:t xml:space="preserve">DDState: { filing_chunks, dimensions, current_dim_index, verdicts, retrieval_attempts, confidence_scores, report }</w:t>
      </w:r>
    </w:p>
    <w:p>
      <w:pPr>
        <w:spacing w:before="80" w:after="0"/>
      </w:pPr>
    </w:p>
    <w:p>
      <w:pPr>
        <w:spacing w:before="80" w:after="80"/>
      </w:pPr>
      <w:r>
        <w:rPr>
          <w:rFonts w:ascii="Arial" w:cs="Arial" w:eastAsia="Arial" w:hAnsi="Arial"/>
          <w:b w:val="false"/>
          <w:bCs w:val="false"/>
          <w:i w:val="false"/>
          <w:iCs w:val="false"/>
          <w:color w:val="1A1A1A"/>
          <w:sz w:val="22"/>
          <w:szCs w:val="22"/>
        </w:rPr>
        <w:t xml:space="preserve">The conditional edge after the Analysis Agent checks has_more_dimensions — if True, loops to the next dimension; if False, routes to the Report Node. This replaces any need for a supervisor pattern. The loop runs exactly 5 times per filing.</w:t>
      </w:r>
    </w:p>
    <w:p>
      <w:pPr>
        <w:spacing w:before="160" w:after="0"/>
      </w:pPr>
    </w:p>
    <w:p>
      <w:pPr>
        <w:pStyle w:val="Heading2"/>
        <w:spacing w:before="240" w:after="100"/>
      </w:pPr>
      <w:r>
        <w:rPr>
          <w:rFonts w:ascii="Arial" w:cs="Arial" w:eastAsia="Arial" w:hAnsi="Arial"/>
          <w:b/>
          <w:bCs/>
          <w:color w:val="2E75B6"/>
          <w:sz w:val="26"/>
          <w:szCs w:val="26"/>
        </w:rPr>
        <w:t xml:space="preserve">Agent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Agent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Input</w:t>
            </w:r>
          </w:p>
        </w:tc>
        <w:tc>
          <w:tcPr>
            <w:tcW w:type="dxa" w:w="3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Document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Raw 10-K PDF from SEC EDGAR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Typed section chunks: {section_type, chunk_text, source_page, item_number}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Retrieval Agent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Dimension query string + section-type filter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Top-k chunks with similarity scores; triggers retry if max score &lt; 0.75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Analysis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Dimension spec (rubric + retrieval queries) + retrieved chunks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Structured JSON verdict card: {dimension, rating, reasoning, evidence_citations, flags, confidence}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Report Node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All 4 verdict cards from DDState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Executive summary + risk heatmap + dimension deep-dives — rendered as PDF</w:t>
            </w:r>
          </w:p>
        </w:tc>
      </w:tr>
    </w:tbl>
    <w:p>
      <w:pPr>
        <w:spacing w:before="160" w:after="0"/>
      </w:pPr>
    </w:p>
    <w:p>
      <w:pPr>
        <w:pStyle w:val="Heading2"/>
        <w:spacing w:before="240" w:after="100"/>
      </w:pPr>
      <w:r>
        <w:rPr>
          <w:rFonts w:ascii="Arial" w:cs="Arial" w:eastAsia="Arial" w:hAnsi="Arial"/>
          <w:b/>
          <w:bCs/>
          <w:color w:val="2E75B6"/>
          <w:sz w:val="26"/>
          <w:szCs w:val="26"/>
        </w:rPr>
        <w:t xml:space="preserve">Observability Stack: LangSmith + MLflow</w:t>
      </w:r>
    </w:p>
    <w:p>
      <w:pPr>
        <w:spacing w:before="80" w:after="80"/>
      </w:pPr>
      <w:r>
        <w:rPr>
          <w:rFonts w:ascii="Arial" w:cs="Arial" w:eastAsia="Arial" w:hAnsi="Arial"/>
          <w:b w:val="false"/>
          <w:bCs w:val="false"/>
          <w:i w:val="false"/>
          <w:iCs w:val="false"/>
          <w:color w:val="1A1A1A"/>
          <w:sz w:val="22"/>
          <w:szCs w:val="22"/>
        </w:rPr>
        <w:t xml:space="preserve">The two tools operate at different layers and do not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Responsibility</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It Answers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LangSmith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Runtime observability — traces every LangGraph step, LLM call, retrieval invocation, and retry automatically. Enabled with one environment variable in LangGraph.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"What did the agent do and why?" — used during development to debug wrong verdicts and in production to monitor latency and token usage per run.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MLflow</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Experiment comparison — logs aggregate precision, recall, retrieval scores, and latency across the 15-example test set under different configurations.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"Which configuration performs best across the dataset?" — used to compare chunk size, top-k, model, and prompt version experiments.</w:t>
            </w:r>
          </w:p>
        </w:tc>
      </w:tr>
    </w:tbl>
    <w:p>
      <w:pPr>
        <w:spacing w:before="120" w:after="0"/>
      </w:pPr>
    </w:p>
    <w:p>
      <w:pPr>
        <w:spacing w:before="80" w:after="80"/>
      </w:pPr>
      <w:r>
        <w:rPr>
          <w:rFonts w:ascii="Arial" w:cs="Arial" w:eastAsia="Arial" w:hAnsi="Arial"/>
          <w:b w:val="false"/>
          <w:bCs w:val="false"/>
          <w:i w:val="false"/>
          <w:iCs w:val="false"/>
          <w:color w:val="1A1A1A"/>
          <w:sz w:val="22"/>
          <w:szCs w:val="22"/>
        </w:rPr>
        <w:t xml:space="preserve">Integration point: LangSmith stores individual run traces. After each evaluation run, aggregate scores are extracted from LangSmith and logged to MLflow as a single experiment entry. LangSmith is the trace store; MLflow is the experiment comparator.</w:t>
      </w:r>
    </w:p>
    <w:p>
      <w:pPr>
        <w:spacing w:before="160" w:after="0"/>
      </w:pPr>
    </w:p>
    <w:p>
      <w:pPr>
        <w:pStyle w:val="Heading2"/>
        <w:spacing w:before="240" w:after="100"/>
      </w:pPr>
      <w:r>
        <w:rPr>
          <w:rFonts w:ascii="Arial" w:cs="Arial" w:eastAsia="Arial" w:hAnsi="Arial"/>
          <w:b/>
          <w:bCs/>
          <w:color w:val="2E75B6"/>
          <w:sz w:val="26"/>
          <w:szCs w:val="26"/>
        </w:rPr>
        <w:t xml:space="preserve">Confidence-Based Retry Logic</w:t>
      </w:r>
    </w:p>
    <w:p>
      <w:pPr>
        <w:spacing w:before="80" w:after="80"/>
      </w:pPr>
      <w:r>
        <w:rPr>
          <w:rFonts w:ascii="Arial" w:cs="Arial" w:eastAsia="Arial" w:hAnsi="Arial"/>
          <w:b w:val="false"/>
          <w:bCs w:val="false"/>
          <w:i w:val="false"/>
          <w:iCs w:val="false"/>
          <w:color w:val="1A1A1A"/>
          <w:sz w:val="22"/>
          <w:szCs w:val="22"/>
        </w:rPr>
        <w:t xml:space="preserve">Inside the Analysis Agent's ReAct loop, if the similarity score of retrieved chunks falls below 0.75, the agent reformulates the query using the dimension's alternate retrieval queries and retries once before making its verdict. Retry attempts are logged in DDState and surfaced in both LangSmith (per-step trace) and MLflow (aggregate retry rate metric). This is especially valuable for Going Concern, where the language is nuanced and indirect.</w:t>
      </w:r>
    </w:p>
    <w:p>
      <w:pPr>
        <w:spacing w:before="160" w:after="0"/>
      </w:pPr>
    </w:p>
    <w:p>
      <w:pPr>
        <w:pStyle w:val="Heading1"/>
        <w:pBdr>
          <w:bottom w:val="single" w:color="2E75B6" w:sz="6" w:space="4"/>
        </w:pBdr>
        <w:spacing w:before="340" w:after="160"/>
      </w:pPr>
      <w:r>
        <w:rPr>
          <w:rFonts w:ascii="Arial" w:cs="Arial" w:eastAsia="Arial" w:hAnsi="Arial"/>
          <w:b/>
          <w:bCs/>
          <w:color w:val="1F3864"/>
          <w:sz w:val="32"/>
          <w:szCs w:val="32"/>
        </w:rPr>
        <w:t xml:space="preserve">5. Output Format</w:t>
      </w:r>
    </w:p>
    <w:p>
      <w:pPr>
        <w:spacing w:before="80" w:after="80"/>
      </w:pPr>
      <w:r>
        <w:rPr>
          <w:rFonts w:ascii="Arial" w:cs="Arial" w:eastAsia="Arial" w:hAnsi="Arial"/>
          <w:b w:val="false"/>
          <w:bCs w:val="false"/>
          <w:i w:val="false"/>
          <w:iCs w:val="false"/>
          <w:color w:val="1A1A1A"/>
          <w:sz w:val="22"/>
          <w:szCs w:val="22"/>
        </w:rPr>
        <w:t xml:space="preserve">Output is generated in two stages: the Analysis Agent produces structured JSON verdict cards (machine-readable, used for evaluation), and the Report Node renders those cards into a formatted PDF report (human-readable, used for demo and portfolio). These are kept separate so the evaluation pipeline is independent of report formatting quality.</w:t>
      </w:r>
    </w:p>
    <w:p>
      <w:pPr>
        <w:spacing w:before="160" w:after="0"/>
      </w:pPr>
    </w:p>
    <w:p>
      <w:pPr>
        <w:pStyle w:val="Heading2"/>
        <w:spacing w:before="240" w:after="100"/>
      </w:pPr>
      <w:r>
        <w:rPr>
          <w:rFonts w:ascii="Arial" w:cs="Arial" w:eastAsia="Arial" w:hAnsi="Arial"/>
          <w:b/>
          <w:bCs/>
          <w:color w:val="2E75B6"/>
          <w:sz w:val="26"/>
          <w:szCs w:val="26"/>
        </w:rPr>
        <w:t xml:space="preserve">Stage 1: JSON Verdict Card (Per Dimension)</w:t>
      </w:r>
    </w:p>
    <w:p>
      <w:pPr>
        <w:spacing w:before="80" w:after="80"/>
      </w:pPr>
      <w:r>
        <w:rPr>
          <w:rFonts w:ascii="Arial" w:cs="Arial" w:eastAsia="Arial" w:hAnsi="Arial"/>
          <w:b w:val="false"/>
          <w:bCs w:val="false"/>
          <w:i w:val="false"/>
          <w:iCs w:val="false"/>
          <w:color w:val="1A1A1A"/>
          <w:sz w:val="22"/>
          <w:szCs w:val="22"/>
        </w:rPr>
        <w:t xml:space="preserve">The Analysis Agent outputs one JSON object per dimension. This is what gets logged to MLflow and compared against ground truth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dimension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Dimension name (e.g., "Financial Health")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rating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LOW / MEDIUM / HIGH — the primary verdict, mapped to S&amp;P rubric 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Float 0–1: max similarity score of top retrieved chunk; below 0.75 triggers retry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reasoning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One-paragraph synthesis explaining how retrieved evidence maps to the rating rubric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evidence_citations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Array of {text, source_page, item_number} — specific filing passages that drove the verdict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flags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Array of specific risk signals found in the filing (e.g., 'going concern qualification issued by auditor')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retrieval_attempts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Integer: 1 if first retrieval was sufficient; 2 if retry was triggered</w:t>
            </w:r>
          </w:p>
        </w:tc>
      </w:tr>
    </w:tbl>
    <w:p>
      <w:pPr>
        <w:spacing w:before="160" w:after="0"/>
      </w:pPr>
    </w:p>
    <w:p>
      <w:pPr>
        <w:pStyle w:val="Heading2"/>
        <w:spacing w:before="240" w:after="100"/>
      </w:pPr>
      <w:r>
        <w:rPr>
          <w:rFonts w:ascii="Arial" w:cs="Arial" w:eastAsia="Arial" w:hAnsi="Arial"/>
          <w:b/>
          <w:bCs/>
          <w:color w:val="2E75B6"/>
          <w:sz w:val="26"/>
          <w:szCs w:val="26"/>
        </w:rPr>
        <w:t xml:space="preserve">Stage 2: PDF Report (Per Company)</w:t>
      </w:r>
    </w:p>
    <w:p>
      <w:pPr>
        <w:spacing w:before="80" w:after="80"/>
      </w:pPr>
      <w:r>
        <w:rPr>
          <w:rFonts w:ascii="Arial" w:cs="Arial" w:eastAsia="Arial" w:hAnsi="Arial"/>
          <w:b w:val="false"/>
          <w:bCs w:val="false"/>
          <w:i w:val="false"/>
          <w:iCs w:val="false"/>
          <w:color w:val="1A1A1A"/>
          <w:sz w:val="22"/>
          <w:szCs w:val="22"/>
        </w:rPr>
        <w:t xml:space="preserve">The Report Node renders all four verdict cards into a two-layer formatted report:</w:t>
      </w:r>
    </w:p>
    <w:p>
      <w:pPr>
        <w:spacing w:before="180" w:after="80"/>
      </w:pPr>
      <w:r>
        <w:rPr>
          <w:rFonts w:ascii="Arial" w:cs="Arial" w:eastAsia="Arial" w:hAnsi="Arial"/>
          <w:b/>
          <w:bCs/>
          <w:color w:val="1F3864"/>
          <w:sz w:val="22"/>
          <w:szCs w:val="22"/>
        </w:rPr>
        <w:t xml:space="preserve">Layer 1 — Executive Summary</w:t>
      </w:r>
    </w:p>
    <w:p>
      <w:pPr>
        <w:pStyle w:val="ListParagraph"/>
        <w:numPr>
          <w:ilvl w:val="0"/>
          <w:numId w:val="2"/>
        </w:numPr>
        <w:spacing w:before="60" w:after="60"/>
      </w:pPr>
      <w:r>
        <w:rPr>
          <w:rFonts w:ascii="Arial" w:cs="Arial" w:eastAsia="Arial" w:hAnsi="Arial"/>
          <w:color w:val="1A1A1A"/>
          <w:sz w:val="22"/>
          <w:szCs w:val="22"/>
        </w:rPr>
        <w:t xml:space="preserve">Overall risk score: weighted average of four dimension ratings (configurable weights per dimension)</w:t>
      </w:r>
    </w:p>
    <w:p>
      <w:pPr>
        <w:pStyle w:val="ListParagraph"/>
        <w:numPr>
          <w:ilvl w:val="0"/>
          <w:numId w:val="2"/>
        </w:numPr>
        <w:spacing w:before="60" w:after="60"/>
      </w:pPr>
      <w:r>
        <w:rPr>
          <w:rFonts w:ascii="Arial" w:cs="Arial" w:eastAsia="Arial" w:hAnsi="Arial"/>
          <w:color w:val="1A1A1A"/>
          <w:sz w:val="22"/>
          <w:szCs w:val="22"/>
        </w:rPr>
        <w:t xml:space="preserve">One-paragraph deal narrative: synthesized across all five dimensions into a plain-language risk summary</w:t>
      </w:r>
    </w:p>
    <w:p>
      <w:pPr>
        <w:pStyle w:val="ListParagraph"/>
        <w:numPr>
          <w:ilvl w:val="0"/>
          <w:numId w:val="2"/>
        </w:numPr>
        <w:spacing w:before="60" w:after="60"/>
      </w:pPr>
      <w:r>
        <w:rPr>
          <w:rFonts w:ascii="Arial" w:cs="Arial" w:eastAsia="Arial" w:hAnsi="Arial"/>
          <w:color w:val="1A1A1A"/>
          <w:sz w:val="22"/>
          <w:szCs w:val="22"/>
        </w:rPr>
        <w:t xml:space="preserve">Risk heatmap table: 4-dimension × 1-company matrix showing rating and confidence score at a glance</w:t>
      </w:r>
    </w:p>
    <w:p>
      <w:pPr>
        <w:spacing w:before="180" w:after="80"/>
      </w:pPr>
      <w:r>
        <w:rPr>
          <w:rFonts w:ascii="Arial" w:cs="Arial" w:eastAsia="Arial" w:hAnsi="Arial"/>
          <w:b/>
          <w:bCs/>
          <w:color w:val="1F3864"/>
          <w:sz w:val="22"/>
          <w:szCs w:val="22"/>
        </w:rPr>
        <w:t xml:space="preserve">Layer 2 — Dimension Deep-Dives (one section per dimension)</w:t>
      </w:r>
    </w:p>
    <w:p>
      <w:pPr>
        <w:pStyle w:val="ListParagraph"/>
        <w:numPr>
          <w:ilvl w:val="0"/>
          <w:numId w:val="2"/>
        </w:numPr>
        <w:spacing w:before="60" w:after="60"/>
      </w:pPr>
      <w:r>
        <w:rPr>
          <w:rFonts w:ascii="Arial" w:cs="Arial" w:eastAsia="Arial" w:hAnsi="Arial"/>
          <w:color w:val="1A1A1A"/>
          <w:sz w:val="22"/>
          <w:szCs w:val="22"/>
        </w:rPr>
        <w:t xml:space="preserve">Rating badge (LOW / MEDIUM / HIGH) with confidence score</w:t>
      </w:r>
    </w:p>
    <w:p>
      <w:pPr>
        <w:pStyle w:val="ListParagraph"/>
        <w:numPr>
          <w:ilvl w:val="0"/>
          <w:numId w:val="2"/>
        </w:numPr>
        <w:spacing w:before="60" w:after="60"/>
      </w:pPr>
      <w:r>
        <w:rPr>
          <w:rFonts w:ascii="Arial" w:cs="Arial" w:eastAsia="Arial" w:hAnsi="Arial"/>
          <w:color w:val="1A1A1A"/>
          <w:sz w:val="22"/>
          <w:szCs w:val="22"/>
        </w:rPr>
        <w:t xml:space="preserve">Reasoning paragraph from the JSON verdict card</w:t>
      </w:r>
    </w:p>
    <w:p>
      <w:pPr>
        <w:pStyle w:val="ListParagraph"/>
        <w:numPr>
          <w:ilvl w:val="0"/>
          <w:numId w:val="2"/>
        </w:numPr>
        <w:spacing w:before="60" w:after="60"/>
      </w:pPr>
      <w:r>
        <w:rPr>
          <w:rFonts w:ascii="Arial" w:cs="Arial" w:eastAsia="Arial" w:hAnsi="Arial"/>
          <w:color w:val="1A1A1A"/>
          <w:sz w:val="22"/>
          <w:szCs w:val="22"/>
        </w:rPr>
        <w:t xml:space="preserve">Evidence citations with page references from the 10-K</w:t>
      </w:r>
    </w:p>
    <w:p>
      <w:pPr>
        <w:pStyle w:val="ListParagraph"/>
        <w:numPr>
          <w:ilvl w:val="0"/>
          <w:numId w:val="2"/>
        </w:numPr>
        <w:spacing w:before="60" w:after="60"/>
      </w:pPr>
      <w:r>
        <w:rPr>
          <w:rFonts w:ascii="Arial" w:cs="Arial" w:eastAsia="Arial" w:hAnsi="Arial"/>
          <w:color w:val="1A1A1A"/>
          <w:sz w:val="22"/>
          <w:szCs w:val="22"/>
        </w:rPr>
        <w:t xml:space="preserve">Flags list: specific risk signals surfaced from the filing</w:t>
      </w:r>
    </w:p>
    <w:p>
      <w:pPr>
        <w:spacing w:before="80" w:after="80"/>
      </w:pPr>
      <w:r>
        <w:rPr>
          <w:rFonts w:ascii="Arial" w:cs="Arial" w:eastAsia="Arial" w:hAnsi="Arial"/>
          <w:b w:val="false"/>
          <w:bCs w:val="false"/>
          <w:i w:val="false"/>
          <w:iCs w:val="false"/>
          <w:color w:val="1A1A1A"/>
          <w:sz w:val="22"/>
          <w:szCs w:val="22"/>
        </w:rPr>
        <w:t xml:space="preserve">Export formats: structured JSON (for evaluation pipeline and MLflow logging) and formatted PDF (for Streamlit dashboard download and portfolio demo).</w:t>
      </w:r>
    </w:p>
    <w:p>
      <w:r>
        <w:br w:type="page"/>
      </w:r>
    </w:p>
    <w:p>
      <w:pPr>
        <w:pStyle w:val="Heading1"/>
        <w:pBdr>
          <w:bottom w:val="single" w:color="2E75B6" w:sz="6" w:space="4"/>
        </w:pBdr>
        <w:spacing w:before="340" w:after="160"/>
      </w:pPr>
      <w:r>
        <w:rPr>
          <w:rFonts w:ascii="Arial" w:cs="Arial" w:eastAsia="Arial" w:hAnsi="Arial"/>
          <w:b/>
          <w:bCs/>
          <w:color w:val="1F3864"/>
          <w:sz w:val="32"/>
          <w:szCs w:val="32"/>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Layer</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Orchestration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LangGraph (StateGraph)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Conditional loop edge, auditable state, native LangSmith integration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LLM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Google Gemini 1.5 Flash (free tier)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 tier: 15 RPM, 1M tokens/day, 1M token context window (fits entire 10-K); Gemini 1.5 Flash vs. Pro experiment planned; native LangChain ChatGoogleGenerativeAI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Embeddings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Google text-embedding-004 (free)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 under same Gemini API key; 768-dimension output; comparable retrieval quality to text-embedding-3-small on financial 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Vector Store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Pinecone (serverless)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Hybrid dense+BM25 sparse retrieval; section-type metadata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PDF Parsing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Docling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Preserves section headings and page references from SEC 10-K filings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Chunking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LlamaIndex semantic chunking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Free, open source, runs fully locally (no API calls); respects natural section boundaries; configurable chunk size for experiments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EDGAR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SEC EDGAR XBRL API + full-text 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Structured financial data for Altman Z-Score; full-text for going concern search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Runtime Tracing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LangSmith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Per-step agent tracing, LLM call inspection, retry debugging; one env var to enable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Experiment Tracking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MLflow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Aggregate precision/recall/latency across 15-example test set; config comparison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Backend API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FastAPI (async streaming)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Streams per-dimension verdicts as generated; POST /analyze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Containerization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Docker + docker-compose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FastAPI + MLflow + Pinecone client stack; reproducible local and cloud runs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Cloud Deployment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Azure Kubernetes Service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HPA for scaling; Gemini API key and Pinecone credentials as K8s Secrets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CI/CD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GitHub Actions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Build → eval gate (recall &gt; threshold) → push ACR → deploy AKS on merge to main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Frontend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Streamlit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Risk heatmap dashboard; per-dimension verdict cards; JSON + PDF export</w:t>
            </w:r>
          </w:p>
        </w:tc>
      </w:tr>
    </w:tbl>
    <w:p>
      <w:r>
        <w:br w:type="page"/>
      </w:r>
    </w:p>
    <w:p>
      <w:pPr>
        <w:pStyle w:val="Heading1"/>
        <w:pBdr>
          <w:bottom w:val="single" w:color="2E75B6" w:sz="6" w:space="4"/>
        </w:pBdr>
        <w:spacing w:before="340" w:after="160"/>
      </w:pPr>
      <w:r>
        <w:rPr>
          <w:rFonts w:ascii="Arial" w:cs="Arial" w:eastAsia="Arial" w:hAnsi="Arial"/>
          <w:b/>
          <w:bCs/>
          <w:color w:val="1F3864"/>
          <w:sz w:val="32"/>
          <w:szCs w:val="32"/>
        </w:rPr>
        <w:t xml:space="preserve">7. Week-by-Week Implementation Plan</w:t>
      </w:r>
    </w:p>
    <w:p>
      <w:pPr>
        <w:shd w:fill="1F3864" w:val="clear"/>
        <w:spacing w:before="200" w:after="160"/>
      </w:pPr>
      <w:r>
        <w:rPr>
          <w:rFonts w:ascii="Arial" w:cs="Arial" w:eastAsia="Arial" w:hAnsi="Arial"/>
          <w:b/>
          <w:bCs/>
          <w:color w:val="FFFFFF"/>
          <w:sz w:val="26"/>
          <w:szCs w:val="26"/>
        </w:rPr>
        <w:t xml:space="preserve">  Month 1 — Core Pipeline</w:t>
      </w:r>
    </w:p>
    <w:p>
      <w:pPr>
        <w:pStyle w:val="Heading2"/>
        <w:spacing w:before="240" w:after="100"/>
      </w:pPr>
      <w:r>
        <w:rPr>
          <w:rFonts w:ascii="Arial" w:cs="Arial" w:eastAsia="Arial" w:hAnsi="Arial"/>
          <w:b/>
          <w:bCs/>
          <w:color w:val="2E75B6"/>
          <w:sz w:val="26"/>
          <w:szCs w:val="26"/>
        </w:rPr>
        <w:t xml:space="preserve">Week 1: Environment Setup, Data Acquisition &amp; Ground Truth Construction</w:t>
      </w:r>
    </w:p>
    <w:p>
      <w:pPr>
        <w:spacing w:before="160" w:after="80"/>
      </w:pPr>
      <w:r>
        <w:rPr>
          <w:rFonts w:ascii="Arial" w:cs="Arial" w:hAnsi="Arial"/>
          <w:b/>
          <w:color w:val="1F3864"/>
          <w:sz w:val="22"/>
        </w:rPr>
        <w:t xml:space="preserve">Day 1–2: Environment &amp; API Setup</w:t>
      </w:r>
    </w:p>
    <w:p>
      <w:pPr>
        <w:pStyle w:val="ListParagraph"/>
        <w:numPr>
          <w:ilvl w:val="0"/>
          <w:numId w:val="2"/>
        </w:numPr>
        <w:spacing w:before="60" w:after="60"/>
      </w:pPr>
      <w:r>
        <w:rPr>
          <w:rFonts w:ascii="Arial" w:cs="Arial" w:hAnsi="Arial"/>
          <w:color w:val="1A1A1A"/>
          <w:sz w:val="22"/>
        </w:rPr>
        <w:t xml:space="preserve">Create a Python 3.11 virtual environment and install core dependencies: langgraph langchain-google-genai google-generativeai pinecone-client llama-index docling mlflow langsmith python-dotenv requests pandas sec-edgar-downloader</w:t>
      </w:r>
    </w:p>
    <w:p>
      <w:pPr>
        <w:pStyle w:val="ListParagraph"/>
        <w:numPr>
          <w:ilvl w:val="0"/>
          <w:numId w:val="2"/>
        </w:numPr>
        <w:spacing w:before="60" w:after="60"/>
      </w:pPr>
      <w:r>
        <w:rPr>
          <w:rFonts w:ascii="Arial" w:cs="Arial" w:hAnsi="Arial"/>
          <w:color w:val="1A1A1A"/>
          <w:sz w:val="22"/>
        </w:rPr>
        <w:t xml:space="preserve">Obtain a free Gemini API key: go to aistudio.google.com → Get API key → create key in a new Google Cloud project. Store as GEMINI_API_KEY in a .env file. Verify with a quick test: ChatGoogleGenerativeAI(model="gemini-1.5-flash").invoke("hello"). Free tier gives 15 RPM and 1M tokens/day.</w:t>
      </w:r>
    </w:p>
    <w:p>
      <w:pPr>
        <w:pStyle w:val="ListParagraph"/>
        <w:numPr>
          <w:ilvl w:val="0"/>
          <w:numId w:val="2"/>
        </w:numPr>
        <w:spacing w:before="60" w:after="60"/>
      </w:pPr>
      <w:r>
        <w:rPr>
          <w:rFonts w:ascii="Arial" w:cs="Arial" w:hAnsi="Arial"/>
          <w:color w:val="1A1A1A"/>
          <w:sz w:val="22"/>
        </w:rPr>
        <w:t xml:space="preserve">Set up a free Pinecone account at pinecone.io → Create Index → Serverless, dimension=768 (matching text-embedding-004 output), metric=cosine. Store PINECONE_API_KEY and PINECONE_INDEX_NAME in .env. Verify upsert and query work with a dummy vector before proceeding.</w:t>
      </w:r>
    </w:p>
    <w:p>
      <w:pPr>
        <w:pStyle w:val="ListParagraph"/>
        <w:numPr>
          <w:ilvl w:val="0"/>
          <w:numId w:val="2"/>
        </w:numPr>
        <w:spacing w:before="60" w:after="60"/>
      </w:pPr>
      <w:r>
        <w:rPr>
          <w:rFonts w:ascii="Arial" w:cs="Arial" w:hAnsi="Arial"/>
          <w:color w:val="1A1A1A"/>
          <w:sz w:val="22"/>
        </w:rPr>
        <w:t xml:space="preserve">Set up LangSmith: sign up at smith.langchain.com (free tier, no credit card) → create a project named ma-dd-analyzer → copy the API key. Add LANGCHAIN_TRACING_V2=true, LANGCHAIN_API_KEY, and LANGCHAIN_PROJECT=ma-dd-analyzer to .env. LangGraph will then automatically send all traces to LangSmith with no additional instrumentation code.</w:t>
      </w:r>
    </w:p>
    <w:p>
      <w:pPr>
        <w:pStyle w:val="ListParagraph"/>
        <w:numPr>
          <w:ilvl w:val="0"/>
          <w:numId w:val="2"/>
        </w:numPr>
        <w:spacing w:before="60" w:after="60"/>
      </w:pPr>
      <w:r>
        <w:rPr>
          <w:rFonts w:ascii="Arial" w:cs="Arial" w:hAnsi="Arial"/>
          <w:color w:val="1A1A1A"/>
          <w:sz w:val="22"/>
        </w:rPr>
        <w:t xml:space="preserve">Initialize MLflow locally: run mlflow ui in the terminal to confirm it launches at localhost:5000. In Python, call mlflow.create_experiment("dd-analyzer-eval") and confirm it appears in the UI. Add MLFLOW_TRACKING_URI=http://localhost:5000 to .env.</w:t>
      </w:r>
    </w:p>
    <w:p>
      <w:pPr>
        <w:spacing w:before="160" w:after="80"/>
      </w:pPr>
      <w:r>
        <w:rPr>
          <w:rFonts w:ascii="Arial" w:cs="Arial" w:hAnsi="Arial"/>
          <w:b/>
          <w:color w:val="1F3864"/>
          <w:sz w:val="22"/>
        </w:rPr>
        <w:t xml:space="preserve">Day 2–3: SEC Filing Downloads</w:t>
      </w:r>
    </w:p>
    <w:p>
      <w:pPr>
        <w:pStyle w:val="ListParagraph"/>
        <w:numPr>
          <w:ilvl w:val="0"/>
          <w:numId w:val="2"/>
        </w:numPr>
        <w:spacing w:before="60" w:after="60"/>
      </w:pPr>
      <w:r>
        <w:rPr>
          <w:rFonts w:ascii="Arial" w:cs="Arial" w:hAnsi="Arial"/>
          <w:color w:val="1A1A1A"/>
          <w:sz w:val="22"/>
        </w:rPr>
        <w:t xml:space="preserve">Look up CIK numbers at sec.gov/cgi-bin/browse-edgar by company name — these are used in all EDGAR API calls going forward: Carvana Co. (CIK: 0001690820), Peloton Interactive Inc. (CIK: 0001639825), Shopify Inc. (CIK: 0001594805)</w:t>
      </w:r>
    </w:p>
    <w:p>
      <w:pPr>
        <w:pStyle w:val="ListParagraph"/>
        <w:numPr>
          <w:ilvl w:val="0"/>
          <w:numId w:val="2"/>
        </w:numPr>
        <w:spacing w:before="60" w:after="60"/>
      </w:pPr>
      <w:r>
        <w:rPr>
          <w:rFonts w:ascii="Arial" w:cs="Arial" w:hAnsi="Arial"/>
          <w:color w:val="1A1A1A"/>
          <w:sz w:val="22"/>
        </w:rPr>
        <w:t xml:space="preserve">On each company’s EDGAR filing page navigate to Annual Reports (10-K): Carvana → 10-K filed February 2023 (FY2022, fiscal year ending December 31, 2022); Peloton → 10-K filed September 2023 (FY2023, fiscal year ending June 30, 2023); Shopify → 10-K filed February 2026 (FY2025, fiscal year ending December 31, 2025). Download as PDF. If only HTM is available, use the sec-edgar-downloader library: Downloader().get("10-K", cik, after="2022-01-01", before="2026-06-01"). Store all three in data/filings/</w:t>
      </w:r>
    </w:p>
    <w:p>
      <w:pPr>
        <w:pStyle w:val="ListParagraph"/>
        <w:numPr>
          <w:ilvl w:val="0"/>
          <w:numId w:val="2"/>
        </w:numPr>
        <w:spacing w:before="60" w:after="60"/>
      </w:pPr>
      <w:r>
        <w:rPr>
          <w:rFonts w:ascii="Arial" w:cs="Arial" w:hAnsi="Arial"/>
          <w:color w:val="1A1A1A"/>
          <w:sz w:val="22"/>
        </w:rPr>
        <w:t xml:space="preserve">Peloton FY2023 note: fiscal year ends June 30, 2023; 10-K filed September 2023. D5 = HIGH: management concluded ICFR not effective, Grant Thornton issued adverse AS 2201 opinion. D2 = MEDIUM: no going concern qualification; near-term 2025 Note maturity is the structural trigger. Item 1C (cybersecurity) absent — effective December 15, 2023, after Peloton’s fiscal year end.</w:t>
      </w:r>
    </w:p>
    <w:p>
      <w:pPr>
        <w:pStyle w:val="ListParagraph"/>
        <w:numPr>
          <w:ilvl w:val="0"/>
          <w:numId w:val="2"/>
        </w:numPr>
        <w:spacing w:before="60" w:after="60"/>
      </w:pPr>
      <w:r>
        <w:rPr>
          <w:rFonts w:ascii="Arial" w:cs="Arial" w:hAnsi="Arial"/>
          <w:color w:val="1A1A1A"/>
          <w:sz w:val="22"/>
        </w:rPr>
        <w:t xml:space="preserve">Note on Carvana FY2022: the filing is an HTML-rendered PDF from EDGAR (cvna-20221231.pdf). The going concern assumption phrase “prepared in conformity with GAAP, which contemplate continuation of the Company as a going concern” appears in Note 1 — this is standard GAAP boilerplate, NOT an AS 2415 qualification. The actual D2 ground truth is MEDIUM (near-term 2025 Note maturities), not HIGH. Verify by confirming “substantial doubt” returns 0 hits in the filing.</w:t>
      </w:r>
    </w:p>
    <w:p>
      <w:pPr>
        <w:spacing w:before="160" w:after="80"/>
      </w:pPr>
      <w:r>
        <w:rPr>
          <w:rFonts w:ascii="Arial" w:cs="Arial" w:hAnsi="Arial"/>
          <w:b/>
          <w:color w:val="1F3864"/>
          <w:sz w:val="22"/>
        </w:rPr>
        <w:t xml:space="preserve">Day 3–4: Rating Agency &amp; Regulatory Data Collection</w:t>
      </w:r>
    </w:p>
    <w:p>
      <w:pPr>
        <w:pStyle w:val="ListParagraph"/>
        <w:numPr>
          <w:ilvl w:val="0"/>
          <w:numId w:val="2"/>
        </w:numPr>
        <w:spacing w:before="60" w:after="60"/>
      </w:pPr>
      <w:r>
        <w:rPr>
          <w:rFonts w:ascii="Arial" w:cs="Arial" w:hAnsi="Arial"/>
          <w:color w:val="1A1A1A"/>
          <w:sz w:val="22"/>
        </w:rPr>
        <w:t xml:space="preserve">Collect S&amp;P rating action press releases: go to spglobal.com/ratings → search each company → filter for rating actions from 2021–2022 → download the most recent downgrade or affirmation PDF. These contain the structured risk rationale that provides ground truth labels for Financial Health and Legal Exposure. Store in data/ground_truth/rating_actions/</w:t>
      </w:r>
    </w:p>
    <w:p>
      <w:pPr>
        <w:pStyle w:val="ListParagraph"/>
        <w:numPr>
          <w:ilvl w:val="0"/>
          <w:numId w:val="2"/>
        </w:numPr>
        <w:spacing w:before="60" w:after="60"/>
      </w:pPr>
      <w:r>
        <w:rPr>
          <w:rFonts w:ascii="Arial" w:cs="Arial" w:hAnsi="Arial"/>
          <w:color w:val="1A1A1A"/>
          <w:sz w:val="22"/>
        </w:rPr>
        <w:t xml:space="preserve">Collect Moody’s rating action notices: go to moodys.com/credit-ratings → search each company → navigate to Credit Ratings → download the most recent rating action PDF. For Carvana specifically, find the most recent rating action from 2022–2023 which cites financial leverage and floor plan facility risk.</w:t>
      </w:r>
    </w:p>
    <w:p>
      <w:pPr>
        <w:pStyle w:val="ListParagraph"/>
        <w:numPr>
          <w:ilvl w:val="0"/>
          <w:numId w:val="2"/>
        </w:numPr>
        <w:spacing w:before="60" w:after="60"/>
      </w:pPr>
      <w:r>
        <w:rPr>
          <w:rFonts w:ascii="Arial" w:cs="Arial" w:hAnsi="Arial"/>
          <w:color w:val="1A1A1A"/>
          <w:sz w:val="22"/>
        </w:rPr>
        <w:t xml:space="preserve">Download SEC Comment Letters: go to efts.sec.gov → select Comment Letters from the filing type dropdown → enter each company’s CIK → download all letters from 2020–2022. For Peloton specifically, look for letters referencing going concern disclosure adequacy. Store in data/ground_truth/comment_letters/</w:t>
      </w:r>
    </w:p>
    <w:p>
      <w:pPr>
        <w:pStyle w:val="ListParagraph"/>
        <w:numPr>
          <w:ilvl w:val="0"/>
          <w:numId w:val="2"/>
        </w:numPr>
        <w:spacing w:before="60" w:after="60"/>
      </w:pPr>
      <w:r>
        <w:rPr>
          <w:rFonts w:ascii="Arial" w:cs="Arial" w:hAnsi="Arial"/>
          <w:color w:val="1A1A1A"/>
          <w:sz w:val="22"/>
        </w:rPr>
        <w:t xml:space="preserve">Verify going concern labels via PCAOB Audit Analytics at auditanalytics.com → search each company → check the Going Concern flag for the relevant fiscal year. This cross-validates what you will also extract directly from each 10-K auditor report in the next step.</w:t>
      </w:r>
    </w:p>
    <w:p>
      <w:pPr>
        <w:spacing w:before="160" w:after="80"/>
      </w:pPr>
      <w:r>
        <w:rPr>
          <w:rFonts w:ascii="Arial" w:cs="Arial" w:hAnsi="Arial"/>
          <w:b/>
          <w:color w:val="1F3864"/>
          <w:sz w:val="22"/>
        </w:rPr>
        <w:t xml:space="preserve">Day 4–5: Altman Z-Score Calculation (Financial Health Ground Truth)</w:t>
      </w:r>
    </w:p>
    <w:p>
      <w:pPr>
        <w:pStyle w:val="ListParagraph"/>
        <w:numPr>
          <w:ilvl w:val="0"/>
          <w:numId w:val="2"/>
        </w:numPr>
        <w:spacing w:before="60" w:after="60"/>
      </w:pPr>
      <w:r>
        <w:rPr>
          <w:rFonts w:ascii="Arial" w:cs="Arial" w:hAnsi="Arial"/>
          <w:color w:val="1A1A1A"/>
          <w:sz w:val="22"/>
        </w:rPr>
        <w:t xml:space="preserve">Pull structured financial data from the SEC EDGAR XBRL API. For each company make a GET request to https://data.sec.gov/api/xbrl/companyfacts/CIK{padded_cik}.json (pad CIK to 10 digits with leading zeros). This returns all reported XBRL financial facts for the company in a single JSON response — no authentication required.</w:t>
      </w:r>
    </w:p>
    <w:p>
      <w:pPr>
        <w:pStyle w:val="ListParagraph"/>
        <w:numPr>
          <w:ilvl w:val="0"/>
          <w:numId w:val="2"/>
        </w:numPr>
        <w:spacing w:before="60" w:after="60"/>
      </w:pPr>
      <w:r>
        <w:rPr>
          <w:rFonts w:ascii="Arial" w:cs="Arial" w:hAnsi="Arial"/>
          <w:color w:val="1A1A1A"/>
          <w:sz w:val="22"/>
        </w:rPr>
        <w:t xml:space="preserve">Extract the five Altman Z-Score inputs using these standard XBRL tags — T1 (Working Capital / Total Assets): us-gaap/AssetsCurrent, us-gaap/LiabilitiesCurrent, us-gaap/Assets — T2 (Retained Earnings / Total Assets): us-gaap/RetainedEarningsAccumulatedDeficit — T3 (EBIT / Total Assets): us-gaap/OperatingIncomeLoss — T4 (Market Cap / Total Liabilities): us-gaap/Liabilities plus share count times closing price on fiscal year-end date (use Yahoo Finance or yfinance library for historical price) — T5 (Revenue / Total Assets): us-gaap/RevenueFromContractWithCustomerExcludingAssessedTax</w:t>
      </w:r>
    </w:p>
    <w:p>
      <w:pPr>
        <w:pStyle w:val="ListParagraph"/>
        <w:numPr>
          <w:ilvl w:val="0"/>
          <w:numId w:val="2"/>
        </w:numPr>
        <w:spacing w:before="60" w:after="60"/>
      </w:pPr>
      <w:r>
        <w:rPr>
          <w:rFonts w:ascii="Arial" w:cs="Arial" w:hAnsi="Arial"/>
          <w:color w:val="1A1A1A"/>
          <w:sz w:val="22"/>
        </w:rPr>
        <w:t xml:space="preserve">Compute Z = 1.2×T1 + 1.4×T2 + 3.3×T3 + 0.6×T4 + 1.0×T5 and map to ground truth label: below 1.81 = HIGH (distress zone), 1.81 to 2.99 = MEDIUM (grey zone), above 2.99 = LOW (safe zone). Write this as scripts/compute_zscore.py so the calculation is reproducible and citeable in the README.</w:t>
      </w:r>
    </w:p>
    <w:p>
      <w:pPr>
        <w:spacing w:before="160" w:after="80"/>
      </w:pPr>
      <w:r>
        <w:rPr>
          <w:rFonts w:ascii="Arial" w:cs="Arial" w:hAnsi="Arial"/>
          <w:b/>
          <w:color w:val="1F3864"/>
          <w:sz w:val="22"/>
        </w:rPr>
        <w:t xml:space="preserve">Day 5–6: Remaining Ground Truth Labels</w:t>
      </w:r>
    </w:p>
    <w:p>
      <w:pPr>
        <w:pStyle w:val="ListParagraph"/>
        <w:numPr>
          <w:ilvl w:val="0"/>
          <w:numId w:val="2"/>
        </w:numPr>
        <w:spacing w:before="60" w:after="60"/>
      </w:pPr>
      <w:r>
        <w:rPr>
          <w:rFonts w:ascii="Arial" w:cs="Arial" w:hAnsi="Arial"/>
          <w:color w:val="1A1A1A"/>
          <w:sz w:val="22"/>
        </w:rPr>
        <w:t xml:space="preserve">Going Concern labels: open each 10-K PDF and search for the phrases going concern and substantial doubt. If either appears in the auditor’s report section (not just MD&amp;A boilerplate), label = HIGH. If only in MD&amp;A with no auditor qualification, label = MEDIUM. If neither phrase is found, label = LOW. Cross-check result against the PCAOB Audit Analytics flag collected in Day 3–4.</w:t>
      </w:r>
    </w:p>
    <w:p>
      <w:pPr>
        <w:pStyle w:val="ListParagraph"/>
        <w:numPr>
          <w:ilvl w:val="0"/>
          <w:numId w:val="2"/>
        </w:numPr>
        <w:spacing w:before="60" w:after="60"/>
      </w:pPr>
      <w:r>
        <w:rPr>
          <w:rFonts w:ascii="Arial" w:cs="Arial" w:hAnsi="Arial"/>
          <w:color w:val="1A1A1A"/>
          <w:sz w:val="22"/>
        </w:rPr>
        <w:t xml:space="preserve">Legal Exposure labels: read Item 3 (Legal Proceedings) in each 10-K. No material proceedings disclosed = LOW. Proceedings disclosed but management states no material adverse outcome expected = MEDIUM. Quantified financial exposure disclosed or active government investigation = HIGH. Cross-check against S&amp;P/Moody’s rating rationale and any SEC Comment Letters mentioning legal disclosure deficiencies.</w:t>
      </w:r>
    </w:p>
    <w:p>
      <w:pPr>
        <w:pStyle w:val="ListParagraph"/>
        <w:numPr>
          <w:ilvl w:val="0"/>
          <w:numId w:val="2"/>
        </w:numPr>
        <w:spacing w:before="60" w:after="60"/>
      </w:pPr>
      <w:r>
        <w:rPr>
          <w:rFonts w:ascii="Arial" w:cs="Arial" w:hAnsi="Arial"/>
          <w:color w:val="1A1A1A"/>
          <w:sz w:val="22"/>
        </w:rPr>
        <w:t xml:space="preserve">Internal Controls labels: open Item 9A (Controls and Procedures) in each 10-K. If management concludes ICFR was effective and the auditor issued an unqualified AS 2201 opinion, label = LOW. If a significant deficiency is disclosed or a prior-year weakness is under remediation, label = MEDIUM. If management concludes ICFR was NOT effective or the auditor issued an adverse opinion, label = HIGH. CRITICAL: mentions of “material weakness” in Item 1A risk factors are hypothetical forward-looking language — they are not actual disclosures. Only Item 9A contains the actual conclusion.</w:t>
      </w:r>
    </w:p>
    <w:p>
      <w:pPr>
        <w:spacing w:before="160" w:after="80"/>
      </w:pPr>
      <w:r>
        <w:rPr>
          <w:rFonts w:ascii="Arial" w:cs="Arial" w:hAnsi="Arial"/>
          <w:b/>
          <w:color w:val="1F3864"/>
          <w:sz w:val="22"/>
        </w:rPr>
        <w:t xml:space="preserve">Day 6–7: Build Ground Truth Dataset &amp; Validate</w:t>
      </w:r>
    </w:p>
    <w:p>
      <w:pPr>
        <w:pStyle w:val="ListParagraph"/>
        <w:numPr>
          <w:ilvl w:val="0"/>
          <w:numId w:val="2"/>
        </w:numPr>
        <w:spacing w:before="60" w:after="60"/>
      </w:pPr>
      <w:r>
        <w:rPr>
          <w:rFonts w:ascii="Arial" w:cs="Arial" w:hAnsi="Arial"/>
          <w:color w:val="1A1A1A"/>
          <w:sz w:val="22"/>
        </w:rPr>
        <w:t xml:space="preserve">Create data/ground_truth/labels.json as the canonical evaluation file. Each of the 15 entries (5 dimensions x 3 companies) must contain: company, filing_year, dimension, expected_rating, primary_source, primary_source_url, secondary_source, secondary_source_url, notes</w:t>
      </w:r>
    </w:p>
    <w:p>
      <w:pPr>
        <w:pStyle w:val="ListParagraph"/>
        <w:numPr>
          <w:ilvl w:val="0"/>
          <w:numId w:val="2"/>
        </w:numPr>
        <w:spacing w:before="60" w:after="60"/>
      </w:pPr>
      <w:r>
        <w:rPr>
          <w:rFonts w:ascii="Arial" w:cs="Arial" w:hAnsi="Arial"/>
          <w:color w:val="1A1A1A"/>
          <w:sz w:val="22"/>
        </w:rPr>
        <w:t xml:space="preserve">Every label must be backed by at least two independent sources. Financial Health: Altman Z-Score plus S&amp;P/Moody’s rationale. Going Concern: auditor report text plus PCAOB Audit Analytics. Legal Exposure: Item 3 self-disclosure plus S&amp;P or SEC Comment Letter. Internal Controls: Item 9A management ICFR conclusion plus auditor AS 2201 opinion in Item 8. If two sources produce conflicting labels, document the conflict in the notes field and use the more conservative (higher risk) label.</w:t>
      </w:r>
    </w:p>
    <w:p>
      <w:pPr>
        <w:pStyle w:val="ListParagraph"/>
        <w:numPr>
          <w:ilvl w:val="0"/>
          <w:numId w:val="2"/>
        </w:numPr>
        <w:spacing w:before="60" w:after="60"/>
      </w:pPr>
      <w:r>
        <w:rPr>
          <w:rFonts w:ascii="Arial" w:cs="Arial" w:hAnsi="Arial"/>
          <w:color w:val="1A1A1A"/>
          <w:sz w:val="22"/>
        </w:rPr>
        <w:t xml:space="preserve">Write scripts/validate_gt.py: checks that all 12 entries exist, all required fields are populated, all ratings are one of LOW/MEDIUM/HIGH, and all source URLs return HTTP 200. This script will be added to the CI pipeline in Week 7 as part of the eval gate.</w:t>
      </w:r>
    </w:p>
    <w:p>
      <w:pPr>
        <w:pStyle w:val="ListParagraph"/>
        <w:numPr>
          <w:ilvl w:val="0"/>
          <w:numId w:val="2"/>
        </w:numPr>
        <w:spacing w:before="60" w:after="60"/>
      </w:pPr>
      <w:r>
        <w:rPr>
          <w:rFonts w:ascii="Arial" w:cs="Arial" w:hAnsi="Arial"/>
          <w:color w:val="1A1A1A"/>
          <w:sz w:val="22"/>
        </w:rPr>
        <w:t xml:space="preserve">End-of-week deliverable: a fully validated labels.json with 15 labeled examples each backed by two sources, all three 10-K PDFs downloaded and stored, all supplementary source documents saved, and all four services (Gemini API, Pinecone, LangSmith, MLflow) confirmed working with successful test calls with successful test calls.</w:t>
      </w:r>
    </w:p>
    <w:p>
      <w:pPr>
        <w:spacing w:before="120" w:after="0"/>
      </w:pPr>
    </w:p>
    <w:p>
      <w:pPr>
        <w:pStyle w:val="Heading2"/>
        <w:spacing w:before="240" w:after="100"/>
      </w:pPr>
      <w:r>
        <w:rPr>
          <w:rFonts w:ascii="Arial" w:cs="Arial" w:eastAsia="Arial" w:hAnsi="Arial"/>
          <w:b/>
          <w:bCs/>
          <w:color w:val="2E75B6"/>
          <w:sz w:val="26"/>
          <w:szCs w:val="26"/>
        </w:rPr>
        <w:t xml:space="preserve">Week 2: Document Agent + Corpus Indexing</w:t>
      </w:r>
    </w:p>
    <w:p>
      <w:pPr>
        <w:pStyle w:val="ListParagraph"/>
        <w:numPr>
          <w:ilvl w:val="0"/>
          <w:numId w:val="2"/>
        </w:numPr>
        <w:spacing w:before="60" w:after="60"/>
      </w:pPr>
      <w:r>
        <w:rPr>
          <w:rFonts w:ascii="Arial" w:cs="Arial" w:eastAsia="Arial" w:hAnsi="Arial"/>
          <w:color w:val="1A1A1A"/>
          <w:sz w:val="22"/>
          <w:szCs w:val="22"/>
        </w:rPr>
        <w:t xml:space="preserve">Parse all three 10-K PDFs using Docling — extract clean text, preserve section headings, page numbers, and Item numbers</w:t>
      </w:r>
    </w:p>
    <w:p>
      <w:pPr>
        <w:pStyle w:val="ListParagraph"/>
        <w:numPr>
          <w:ilvl w:val="0"/>
          <w:numId w:val="2"/>
        </w:numPr>
        <w:spacing w:before="60" w:after="60"/>
      </w:pPr>
      <w:r>
        <w:rPr>
          <w:rFonts w:ascii="Arial" w:cs="Arial" w:eastAsia="Arial" w:hAnsi="Arial"/>
          <w:color w:val="1A1A1A"/>
          <w:sz w:val="22"/>
          <w:szCs w:val="22"/>
        </w:rPr>
        <w:t xml:space="preserve">Build section-type labeler: map each chunk to its 10-K Item (Item 1, 1A, 3, 7, 8) for metadata filtering in retrieval</w:t>
      </w:r>
    </w:p>
    <w:p>
      <w:pPr>
        <w:pStyle w:val="ListParagraph"/>
        <w:numPr>
          <w:ilvl w:val="0"/>
          <w:numId w:val="2"/>
        </w:numPr>
        <w:spacing w:before="60" w:after="60"/>
      </w:pPr>
      <w:r>
        <w:rPr>
          <w:rFonts w:ascii="Arial" w:cs="Arial" w:eastAsia="Arial" w:hAnsi="Arial"/>
          <w:color w:val="1A1A1A"/>
          <w:sz w:val="22"/>
          <w:szCs w:val="22"/>
        </w:rPr>
        <w:t xml:space="preserve">Chunk documents using LlamaIndex semantic chunking (target: 512 tokens); upsert to Pinecone with section-type metadata</w:t>
      </w:r>
    </w:p>
    <w:p>
      <w:pPr>
        <w:pStyle w:val="ListParagraph"/>
        <w:numPr>
          <w:ilvl w:val="0"/>
          <w:numId w:val="2"/>
        </w:numPr>
        <w:spacing w:before="60" w:after="60"/>
      </w:pPr>
      <w:r>
        <w:rPr>
          <w:rFonts w:ascii="Arial" w:cs="Arial" w:eastAsia="Arial" w:hAnsi="Arial"/>
          <w:color w:val="1A1A1A"/>
          <w:sz w:val="22"/>
          <w:szCs w:val="22"/>
        </w:rPr>
        <w:t xml:space="preserve">Build dimension config JSON: {dimension_id, name, sp_source, retrieval_queries[], rubric{LOW, MEDIUM, HIGH}, gt_source}</w:t>
      </w:r>
    </w:p>
    <w:p>
      <w:pPr>
        <w:pStyle w:val="ListParagraph"/>
        <w:numPr>
          <w:ilvl w:val="0"/>
          <w:numId w:val="2"/>
        </w:numPr>
        <w:spacing w:before="60" w:after="60"/>
      </w:pPr>
      <w:r>
        <w:rPr>
          <w:rFonts w:ascii="Arial" w:cs="Arial" w:eastAsia="Arial" w:hAnsi="Arial"/>
          <w:color w:val="1A1A1A"/>
          <w:sz w:val="22"/>
          <w:szCs w:val="22"/>
        </w:rPr>
        <w:t xml:space="preserve">Set up Pinecone hybrid index (dense + BM25 sparse); test retrieval manually with 8 sample queries (2 per dimension) before building any agents</w:t>
      </w:r>
    </w:p>
    <w:p>
      <w:pPr>
        <w:pStyle w:val="ListParagraph"/>
        <w:numPr>
          <w:ilvl w:val="0"/>
          <w:numId w:val="2"/>
        </w:numPr>
        <w:spacing w:before="60" w:after="60"/>
      </w:pPr>
      <w:r>
        <w:rPr>
          <w:rFonts w:ascii="Arial" w:cs="Arial" w:eastAsia="Arial" w:hAnsi="Arial"/>
          <w:color w:val="1A1A1A"/>
          <w:sz w:val="22"/>
          <w:szCs w:val="22"/>
        </w:rPr>
        <w:t xml:space="preserve">Enable LangSmith tracing: set LANGCHAIN_TRACING_V2=true and LANGCHAIN_API_KEY; verify traces appear in LangSmith dashboard</w:t>
      </w:r>
    </w:p>
    <w:p>
      <w:pPr>
        <w:pStyle w:val="ListParagraph"/>
        <w:numPr>
          <w:ilvl w:val="0"/>
          <w:numId w:val="2"/>
        </w:numPr>
        <w:spacing w:before="60" w:after="60"/>
      </w:pPr>
      <w:r>
        <w:rPr>
          <w:rFonts w:ascii="Arial" w:cs="Arial" w:eastAsia="Arial" w:hAnsi="Arial"/>
          <w:color w:val="1A1A1A"/>
          <w:sz w:val="22"/>
          <w:szCs w:val="22"/>
        </w:rPr>
        <w:t xml:space="preserve">Initialize MLflow tracking server locally; define experiment schema: {run_id, company, config, per_dimension_metrics, aggregate_metrics}</w:t>
      </w:r>
    </w:p>
    <w:p>
      <w:pPr>
        <w:spacing w:before="120" w:after="0"/>
      </w:pPr>
    </w:p>
    <w:p>
      <w:pPr>
        <w:pStyle w:val="Heading2"/>
        <w:spacing w:before="240" w:after="100"/>
      </w:pPr>
      <w:r>
        <w:rPr>
          <w:rFonts w:ascii="Arial" w:cs="Arial" w:eastAsia="Arial" w:hAnsi="Arial"/>
          <w:b/>
          <w:bCs/>
          <w:color w:val="2E75B6"/>
          <w:sz w:val="26"/>
          <w:szCs w:val="26"/>
        </w:rPr>
        <w:t xml:space="preserve">Week 3: Retrieval Agent + Analysis Agent</w:t>
      </w:r>
    </w:p>
    <w:p>
      <w:pPr>
        <w:pStyle w:val="ListParagraph"/>
        <w:numPr>
          <w:ilvl w:val="0"/>
          <w:numId w:val="2"/>
        </w:numPr>
        <w:spacing w:before="60" w:after="60"/>
      </w:pPr>
      <w:r>
        <w:rPr>
          <w:rFonts w:ascii="Arial" w:cs="Arial" w:eastAsia="Arial" w:hAnsi="Arial"/>
          <w:color w:val="1A1A1A"/>
          <w:sz w:val="22"/>
          <w:szCs w:val="22"/>
        </w:rPr>
        <w:t xml:space="preserve">Build Retrieval Agent as a callable LangGraph tool: takes dimension query + section-type filter, runs Pinecone hybrid search, returns top-k chunks with scores</w:t>
      </w:r>
    </w:p>
    <w:p>
      <w:pPr>
        <w:pStyle w:val="ListParagraph"/>
        <w:numPr>
          <w:ilvl w:val="0"/>
          <w:numId w:val="2"/>
        </w:numPr>
        <w:spacing w:before="60" w:after="60"/>
      </w:pPr>
      <w:r>
        <w:rPr>
          <w:rFonts w:ascii="Arial" w:cs="Arial" w:eastAsia="Arial" w:hAnsi="Arial"/>
          <w:color w:val="1A1A1A"/>
          <w:sz w:val="22"/>
          <w:szCs w:val="22"/>
        </w:rPr>
        <w:t xml:space="preserve">Build Analysis Agent with ReAct loop: for each dimension, call Retrieval Agent, evaluate chunks against S&amp;P rubric, output structured JSON verdict card</w:t>
      </w:r>
    </w:p>
    <w:p>
      <w:pPr>
        <w:pStyle w:val="ListParagraph"/>
        <w:numPr>
          <w:ilvl w:val="0"/>
          <w:numId w:val="2"/>
        </w:numPr>
        <w:spacing w:before="60" w:after="60"/>
      </w:pPr>
      <w:r>
        <w:rPr>
          <w:rFonts w:ascii="Arial" w:cs="Arial" w:eastAsia="Arial" w:hAnsi="Arial"/>
          <w:color w:val="1A1A1A"/>
          <w:sz w:val="22"/>
          <w:szCs w:val="22"/>
        </w:rPr>
        <w:t xml:space="preserve">Implement confidence threshold logic: if max similarity score &lt; 0.75, use alternate retrieval query from dimension config and retry once; log retrieval_attempts</w:t>
      </w:r>
    </w:p>
    <w:p>
      <w:pPr>
        <w:pStyle w:val="ListParagraph"/>
        <w:numPr>
          <w:ilvl w:val="0"/>
          <w:numId w:val="2"/>
        </w:numPr>
        <w:spacing w:before="60" w:after="60"/>
      </w:pPr>
      <w:r>
        <w:rPr>
          <w:rFonts w:ascii="Arial" w:cs="Arial" w:eastAsia="Arial" w:hAnsi="Arial"/>
          <w:color w:val="1A1A1A"/>
          <w:sz w:val="22"/>
          <w:szCs w:val="22"/>
        </w:rPr>
        <w:t xml:space="preserve">Define DDState TypedDict: {filing_chunks, dimensions, current_dim_index, verdicts, retrieval_attempts, confidence_scores, report}</w:t>
      </w:r>
    </w:p>
    <w:p>
      <w:pPr>
        <w:pStyle w:val="ListParagraph"/>
        <w:numPr>
          <w:ilvl w:val="0"/>
          <w:numId w:val="2"/>
        </w:numPr>
        <w:spacing w:before="60" w:after="60"/>
      </w:pPr>
      <w:r>
        <w:rPr>
          <w:rFonts w:ascii="Arial" w:cs="Arial" w:eastAsia="Arial" w:hAnsi="Arial"/>
          <w:color w:val="1A1A1A"/>
          <w:sz w:val="22"/>
          <w:szCs w:val="22"/>
        </w:rPr>
        <w:t xml:space="preserve">Wire Document Agent → Retrieval Agent → Analysis Agent into LangGraph StateGraph with conditional loop edge (has_more_dimensions)</w:t>
      </w:r>
    </w:p>
    <w:p>
      <w:pPr>
        <w:pStyle w:val="ListParagraph"/>
        <w:numPr>
          <w:ilvl w:val="0"/>
          <w:numId w:val="2"/>
        </w:numPr>
        <w:spacing w:before="60" w:after="60"/>
      </w:pPr>
      <w:r>
        <w:rPr>
          <w:rFonts w:ascii="Arial" w:cs="Arial" w:eastAsia="Arial" w:hAnsi="Arial"/>
          <w:color w:val="1A1A1A"/>
          <w:sz w:val="22"/>
          <w:szCs w:val="22"/>
        </w:rPr>
        <w:t xml:space="preserve">Run end-to-end test on all 5 dimensions for Shopify (negative control) — verify pipeline correctly outputs LOW verdicts when evidence is absent</w:t>
      </w:r>
    </w:p>
    <w:p>
      <w:pPr>
        <w:spacing w:before="120" w:after="0"/>
      </w:pPr>
    </w:p>
    <w:p>
      <w:pPr>
        <w:pStyle w:val="Heading2"/>
        <w:spacing w:before="240" w:after="100"/>
      </w:pPr>
      <w:r>
        <w:rPr>
          <w:rFonts w:ascii="Arial" w:cs="Arial" w:eastAsia="Arial" w:hAnsi="Arial"/>
          <w:b/>
          <w:bCs/>
          <w:color w:val="2E75B6"/>
          <w:sz w:val="26"/>
          <w:szCs w:val="26"/>
        </w:rPr>
        <w:t xml:space="preserve">Week 4: Report Node + Evaluation Framework</w:t>
      </w:r>
    </w:p>
    <w:p>
      <w:pPr>
        <w:pStyle w:val="ListParagraph"/>
        <w:numPr>
          <w:ilvl w:val="0"/>
          <w:numId w:val="2"/>
        </w:numPr>
        <w:spacing w:before="60" w:after="60"/>
      </w:pPr>
      <w:r>
        <w:rPr>
          <w:rFonts w:ascii="Arial" w:cs="Arial" w:eastAsia="Arial" w:hAnsi="Arial"/>
          <w:color w:val="1A1A1A"/>
          <w:sz w:val="22"/>
          <w:szCs w:val="22"/>
        </w:rPr>
        <w:t xml:space="preserve">Build Report Node: consumes all 4 verdict cards from DDState, renders executive summary (overall risk score, deal narrative, heatmap table) + dimension deep-dives</w:t>
      </w:r>
    </w:p>
    <w:p>
      <w:pPr>
        <w:pStyle w:val="ListParagraph"/>
        <w:numPr>
          <w:ilvl w:val="0"/>
          <w:numId w:val="2"/>
        </w:numPr>
        <w:spacing w:before="60" w:after="60"/>
      </w:pPr>
      <w:r>
        <w:rPr>
          <w:rFonts w:ascii="Arial" w:cs="Arial" w:eastAsia="Arial" w:hAnsi="Arial"/>
          <w:color w:val="1A1A1A"/>
          <w:sz w:val="22"/>
          <w:szCs w:val="22"/>
        </w:rPr>
        <w:t xml:space="preserve">Implement two export formats: structured JSON (evaluation pipeline) and formatted PDF (Streamlit dashboard)</w:t>
      </w:r>
    </w:p>
    <w:p>
      <w:pPr>
        <w:pStyle w:val="ListParagraph"/>
        <w:numPr>
          <w:ilvl w:val="0"/>
          <w:numId w:val="2"/>
        </w:numPr>
        <w:spacing w:before="60" w:after="60"/>
      </w:pPr>
      <w:r>
        <w:rPr>
          <w:rFonts w:ascii="Arial" w:cs="Arial" w:eastAsia="Arial" w:hAnsi="Arial"/>
          <w:color w:val="1A1A1A"/>
          <w:sz w:val="22"/>
          <w:szCs w:val="22"/>
        </w:rPr>
        <w:t xml:space="preserve">Run full pipeline against all 3 companies × 5 dimensions = 15 evaluation examples</w:t>
      </w:r>
    </w:p>
    <w:p>
      <w:pPr>
        <w:pStyle w:val="ListParagraph"/>
        <w:numPr>
          <w:ilvl w:val="0"/>
          <w:numId w:val="2"/>
        </w:numPr>
        <w:spacing w:before="60" w:after="60"/>
      </w:pPr>
      <w:r>
        <w:rPr>
          <w:rFonts w:ascii="Arial" w:cs="Arial" w:eastAsia="Arial" w:hAnsi="Arial"/>
          <w:color w:val="1A1A1A"/>
          <w:sz w:val="22"/>
          <w:szCs w:val="22"/>
        </w:rPr>
        <w:t xml:space="preserve">Compare agent verdicts against ground truth labels; compute precision, recall, and F1 per dimension class (LOW/MEDIUM/HIGH)</w:t>
      </w:r>
    </w:p>
    <w:p>
      <w:pPr>
        <w:pStyle w:val="ListParagraph"/>
        <w:numPr>
          <w:ilvl w:val="0"/>
          <w:numId w:val="2"/>
        </w:numPr>
        <w:spacing w:before="60" w:after="60"/>
      </w:pPr>
      <w:r>
        <w:rPr>
          <w:rFonts w:ascii="Arial" w:cs="Arial" w:eastAsia="Arial" w:hAnsi="Arial"/>
          <w:color w:val="1A1A1A"/>
          <w:sz w:val="22"/>
          <w:szCs w:val="22"/>
        </w:rPr>
        <w:t xml:space="preserve">Log all eval metrics to MLflow: {company, dimension, expected_rating, agent_rating, confidence, retrieval_score, retry_flag}</w:t>
      </w:r>
    </w:p>
    <w:p>
      <w:pPr>
        <w:pStyle w:val="ListParagraph"/>
        <w:numPr>
          <w:ilvl w:val="0"/>
          <w:numId w:val="2"/>
        </w:numPr>
        <w:spacing w:before="60" w:after="60"/>
      </w:pPr>
      <w:r>
        <w:rPr>
          <w:rFonts w:ascii="Arial" w:cs="Arial" w:eastAsia="Arial" w:hAnsi="Arial"/>
          <w:color w:val="1A1A1A"/>
          <w:sz w:val="22"/>
          <w:szCs w:val="22"/>
        </w:rPr>
        <w:t xml:space="preserve">Run first MLflow experiment: dense-only vs. hybrid retrieval — does BM25 sparse component improve evidence recall for financial terminology?</w:t>
      </w:r>
    </w:p>
    <w:p>
      <w:pPr>
        <w:pStyle w:val="ListParagraph"/>
        <w:numPr>
          <w:ilvl w:val="0"/>
          <w:numId w:val="2"/>
        </w:numPr>
        <w:spacing w:before="60" w:after="60"/>
      </w:pPr>
      <w:r>
        <w:rPr>
          <w:rFonts w:ascii="Arial" w:cs="Arial" w:eastAsia="Arial" w:hAnsi="Arial"/>
          <w:color w:val="1A1A1A"/>
          <w:sz w:val="22"/>
          <w:szCs w:val="22"/>
        </w:rPr>
        <w:t xml:space="preserve">Review LangSmith traces for any wrong verdicts — use step-level trace to identify whether error is in retrieval or in Analysis Agent reasoning</w:t>
      </w:r>
    </w:p>
    <w:p>
      <w:pPr>
        <w:shd w:fill="1F3864" w:val="clear"/>
        <w:spacing w:before="200" w:after="160"/>
      </w:pPr>
      <w:r>
        <w:rPr>
          <w:rFonts w:ascii="Arial" w:cs="Arial" w:eastAsia="Arial" w:hAnsi="Arial"/>
          <w:b/>
          <w:bCs/>
          <w:color w:val="FFFFFF"/>
          <w:sz w:val="26"/>
          <w:szCs w:val="26"/>
        </w:rPr>
        <w:t xml:space="preserve">  Month 2 — MLOps, Deployment &amp; Polish</w:t>
      </w:r>
    </w:p>
    <w:p>
      <w:pPr>
        <w:pStyle w:val="Heading2"/>
        <w:spacing w:before="240" w:after="100"/>
      </w:pPr>
      <w:r>
        <w:rPr>
          <w:rFonts w:ascii="Arial" w:cs="Arial" w:eastAsia="Arial" w:hAnsi="Arial"/>
          <w:b/>
          <w:bCs/>
          <w:color w:val="2E75B6"/>
          <w:sz w:val="26"/>
          <w:szCs w:val="26"/>
        </w:rPr>
        <w:t xml:space="preserve">Week 5: FastAPI Backend + Docker</w:t>
      </w:r>
    </w:p>
    <w:p>
      <w:pPr>
        <w:pStyle w:val="ListParagraph"/>
        <w:numPr>
          <w:ilvl w:val="0"/>
          <w:numId w:val="2"/>
        </w:numPr>
        <w:spacing w:before="60" w:after="60"/>
      </w:pPr>
      <w:r>
        <w:rPr>
          <w:rFonts w:ascii="Arial" w:cs="Arial" w:eastAsia="Arial" w:hAnsi="Arial"/>
          <w:color w:val="1A1A1A"/>
          <w:sz w:val="22"/>
          <w:szCs w:val="22"/>
        </w:rPr>
        <w:t xml:space="preserve">Wrap LangGraph pipeline in FastAPI: POST /analyze accepts {company_name, filing_pdf OR edgar_url} returns {dd_report}</w:t>
      </w:r>
    </w:p>
    <w:p>
      <w:pPr>
        <w:pStyle w:val="ListParagraph"/>
        <w:numPr>
          <w:ilvl w:val="0"/>
          <w:numId w:val="2"/>
        </w:numPr>
        <w:spacing w:before="60" w:after="60"/>
      </w:pPr>
      <w:r>
        <w:rPr>
          <w:rFonts w:ascii="Arial" w:cs="Arial" w:eastAsia="Arial" w:hAnsi="Arial"/>
          <w:color w:val="1A1A1A"/>
          <w:sz w:val="22"/>
          <w:szCs w:val="22"/>
        </w:rPr>
        <w:t xml:space="preserve">Add async streaming: stream per-dimension JSON verdict cards as they are generated rather than waiting for all 4</w:t>
      </w:r>
    </w:p>
    <w:p>
      <w:pPr>
        <w:pStyle w:val="ListParagraph"/>
        <w:numPr>
          <w:ilvl w:val="0"/>
          <w:numId w:val="2"/>
        </w:numPr>
        <w:spacing w:before="60" w:after="60"/>
      </w:pPr>
      <w:r>
        <w:rPr>
          <w:rFonts w:ascii="Arial" w:cs="Arial" w:eastAsia="Arial" w:hAnsi="Arial"/>
          <w:color w:val="1A1A1A"/>
          <w:sz w:val="22"/>
          <w:szCs w:val="22"/>
        </w:rPr>
        <w:t xml:space="preserve">Add EDGAR URL fetch option: accept a direct EDGAR filing URL and download the PDF server-side (removes manual upload step)</w:t>
      </w:r>
    </w:p>
    <w:p>
      <w:pPr>
        <w:pStyle w:val="ListParagraph"/>
        <w:numPr>
          <w:ilvl w:val="0"/>
          <w:numId w:val="2"/>
        </w:numPr>
        <w:spacing w:before="60" w:after="60"/>
      </w:pPr>
      <w:r>
        <w:rPr>
          <w:rFonts w:ascii="Arial" w:cs="Arial" w:eastAsia="Arial" w:hAnsi="Arial"/>
          <w:color w:val="1A1A1A"/>
          <w:sz w:val="22"/>
          <w:szCs w:val="22"/>
        </w:rPr>
        <w:t xml:space="preserve">Dockerize: Dockerfile for FastAPI app; docker-compose for FastAPI + MLflow + Pinecone client</w:t>
      </w:r>
    </w:p>
    <w:p>
      <w:pPr>
        <w:pStyle w:val="ListParagraph"/>
        <w:numPr>
          <w:ilvl w:val="0"/>
          <w:numId w:val="2"/>
        </w:numPr>
        <w:spacing w:before="60" w:after="60"/>
      </w:pPr>
      <w:r>
        <w:rPr>
          <w:rFonts w:ascii="Arial" w:cs="Arial" w:eastAsia="Arial" w:hAnsi="Arial"/>
          <w:color w:val="1A1A1A"/>
          <w:sz w:val="22"/>
          <w:szCs w:val="22"/>
        </w:rPr>
        <w:t xml:space="preserve">Test full Docker stack locally end-to-end with all three company filings</w:t>
      </w:r>
    </w:p>
    <w:p>
      <w:pPr>
        <w:spacing w:before="120" w:after="0"/>
      </w:pPr>
    </w:p>
    <w:p>
      <w:pPr>
        <w:pStyle w:val="Heading2"/>
        <w:spacing w:before="240" w:after="100"/>
      </w:pPr>
      <w:r>
        <w:rPr>
          <w:rFonts w:ascii="Arial" w:cs="Arial" w:eastAsia="Arial" w:hAnsi="Arial"/>
          <w:b/>
          <w:bCs/>
          <w:color w:val="2E75B6"/>
          <w:sz w:val="26"/>
          <w:szCs w:val="26"/>
        </w:rPr>
        <w:t xml:space="preserve">Week 6: Kubernetes Deployment on Azure</w:t>
      </w:r>
    </w:p>
    <w:p>
      <w:pPr>
        <w:pStyle w:val="ListParagraph"/>
        <w:numPr>
          <w:ilvl w:val="0"/>
          <w:numId w:val="2"/>
        </w:numPr>
        <w:spacing w:before="60" w:after="60"/>
      </w:pPr>
      <w:r>
        <w:rPr>
          <w:rFonts w:ascii="Arial" w:cs="Arial" w:eastAsia="Arial" w:hAnsi="Arial"/>
          <w:color w:val="1A1A1A"/>
          <w:sz w:val="22"/>
          <w:szCs w:val="22"/>
        </w:rPr>
        <w:t xml:space="preserve">Write Kubernetes manifests: Deployment, Service, ConfigMap, HPA for FastAPI service</w:t>
      </w:r>
    </w:p>
    <w:p>
      <w:pPr>
        <w:pStyle w:val="ListParagraph"/>
        <w:numPr>
          <w:ilvl w:val="0"/>
          <w:numId w:val="2"/>
        </w:numPr>
        <w:spacing w:before="60" w:after="60"/>
      </w:pPr>
      <w:r>
        <w:rPr>
          <w:rFonts w:ascii="Arial" w:cs="Arial" w:eastAsia="Arial" w:hAnsi="Arial"/>
          <w:color w:val="1A1A1A"/>
          <w:sz w:val="22"/>
          <w:szCs w:val="22"/>
        </w:rPr>
        <w:t xml:space="preserve">Deploy to Azure Kubernetes Service (AKS) via Azure CLI; configure Gemini API key and Pinecone credentials as K8s Secrets</w:t>
      </w:r>
    </w:p>
    <w:p>
      <w:pPr>
        <w:pStyle w:val="ListParagraph"/>
        <w:numPr>
          <w:ilvl w:val="0"/>
          <w:numId w:val="2"/>
        </w:numPr>
        <w:spacing w:before="60" w:after="60"/>
      </w:pPr>
      <w:r>
        <w:rPr>
          <w:rFonts w:ascii="Arial" w:cs="Arial" w:eastAsia="Arial" w:hAnsi="Arial"/>
          <w:color w:val="1A1A1A"/>
          <w:sz w:val="22"/>
          <w:szCs w:val="22"/>
        </w:rPr>
        <w:t xml:space="preserve">Set up Ingress controller for external HTTPS access</w:t>
      </w:r>
    </w:p>
    <w:p>
      <w:pPr>
        <w:pStyle w:val="ListParagraph"/>
        <w:numPr>
          <w:ilvl w:val="0"/>
          <w:numId w:val="2"/>
        </w:numPr>
        <w:spacing w:before="60" w:after="60"/>
      </w:pPr>
      <w:r>
        <w:rPr>
          <w:rFonts w:ascii="Arial" w:cs="Arial" w:eastAsia="Arial" w:hAnsi="Arial"/>
          <w:color w:val="1A1A1A"/>
          <w:sz w:val="22"/>
          <w:szCs w:val="22"/>
        </w:rPr>
        <w:t xml:space="preserve">Configure LangSmith and MLflow endpoints as environment variables in K8s ConfigMap</w:t>
      </w:r>
    </w:p>
    <w:p>
      <w:pPr>
        <w:pStyle w:val="ListParagraph"/>
        <w:numPr>
          <w:ilvl w:val="0"/>
          <w:numId w:val="2"/>
        </w:numPr>
        <w:spacing w:before="60" w:after="60"/>
      </w:pPr>
      <w:r>
        <w:rPr>
          <w:rFonts w:ascii="Arial" w:cs="Arial" w:eastAsia="Arial" w:hAnsi="Arial"/>
          <w:color w:val="1A1A1A"/>
          <w:sz w:val="22"/>
          <w:szCs w:val="22"/>
        </w:rPr>
        <w:t xml:space="preserve">Verify end-to-end pipeline runs correctly on AKS with a live analysis request for the Shopify filing</w:t>
      </w:r>
    </w:p>
    <w:p>
      <w:pPr>
        <w:spacing w:before="120" w:after="0"/>
      </w:pPr>
    </w:p>
    <w:p>
      <w:pPr>
        <w:pStyle w:val="Heading2"/>
        <w:spacing w:before="240" w:after="100"/>
      </w:pPr>
      <w:r>
        <w:rPr>
          <w:rFonts w:ascii="Arial" w:cs="Arial" w:eastAsia="Arial" w:hAnsi="Arial"/>
          <w:b/>
          <w:bCs/>
          <w:color w:val="2E75B6"/>
          <w:sz w:val="26"/>
          <w:szCs w:val="26"/>
        </w:rPr>
        <w:t xml:space="preserve">Week 7: CI/CD + MLflow Experiments</w:t>
      </w:r>
    </w:p>
    <w:p>
      <w:pPr>
        <w:pStyle w:val="ListParagraph"/>
        <w:numPr>
          <w:ilvl w:val="0"/>
          <w:numId w:val="2"/>
        </w:numPr>
        <w:spacing w:before="60" w:after="60"/>
      </w:pPr>
      <w:r>
        <w:rPr>
          <w:rFonts w:ascii="Arial" w:cs="Arial" w:eastAsia="Arial" w:hAnsi="Arial"/>
          <w:color w:val="1A1A1A"/>
          <w:sz w:val="22"/>
          <w:szCs w:val="22"/>
        </w:rPr>
        <w:t xml:space="preserve">Set up GitHub Actions: on push to main → build Docker image → push to Azure Container Registry (ACR) → deploy to AKS</w:t>
      </w:r>
    </w:p>
    <w:p>
      <w:pPr>
        <w:pStyle w:val="ListParagraph"/>
        <w:numPr>
          <w:ilvl w:val="0"/>
          <w:numId w:val="2"/>
        </w:numPr>
        <w:spacing w:before="60" w:after="60"/>
      </w:pPr>
      <w:r>
        <w:rPr>
          <w:rFonts w:ascii="Arial" w:cs="Arial" w:eastAsia="Arial" w:hAnsi="Arial"/>
          <w:color w:val="1A1A1A"/>
          <w:sz w:val="22"/>
          <w:szCs w:val="22"/>
        </w:rPr>
        <w:t xml:space="preserve">Add automated eval gate in CI: run 15-example test set, assert evidence recall &gt; 0.70 per dimension, fail build if not met</w:t>
      </w:r>
    </w:p>
    <w:p>
      <w:pPr>
        <w:pStyle w:val="ListParagraph"/>
        <w:numPr>
          <w:ilvl w:val="0"/>
          <w:numId w:val="2"/>
        </w:numPr>
        <w:spacing w:before="60" w:after="60"/>
      </w:pPr>
      <w:r>
        <w:rPr>
          <w:rFonts w:ascii="Arial" w:cs="Arial" w:eastAsia="Arial" w:hAnsi="Arial"/>
          <w:color w:val="1A1A1A"/>
          <w:sz w:val="22"/>
          <w:szCs w:val="22"/>
        </w:rPr>
        <w:t xml:space="preserve">Run 3 MLflow experiments across the full test set:</w:t>
      </w:r>
    </w:p>
    <w:p>
      <w:pPr>
        <w:pStyle w:val="ListParagraph"/>
        <w:numPr>
          <w:ilvl w:val="0"/>
          <w:numId w:val="3"/>
        </w:numPr>
        <w:spacing w:before="40" w:after="40"/>
      </w:pPr>
      <w:r>
        <w:rPr>
          <w:rFonts w:ascii="Arial" w:cs="Arial" w:eastAsia="Arial" w:hAnsi="Arial"/>
          <w:color w:val="444444"/>
          <w:sz w:val="20"/>
          <w:szCs w:val="20"/>
        </w:rPr>
        <w:t xml:space="preserve">Gemini 1.5 Flash vs. Gemini 1.5 Pro: rating accuracy vs. cost tradeoff across all 12 dimension-company pairs</w:t>
      </w:r>
    </w:p>
    <w:p>
      <w:pPr>
        <w:pStyle w:val="ListParagraph"/>
        <w:numPr>
          <w:ilvl w:val="0"/>
          <w:numId w:val="3"/>
        </w:numPr>
        <w:spacing w:before="40" w:after="40"/>
      </w:pPr>
      <w:r>
        <w:rPr>
          <w:rFonts w:ascii="Arial" w:cs="Arial" w:eastAsia="Arial" w:hAnsi="Arial"/>
          <w:color w:val="444444"/>
          <w:sz w:val="20"/>
          <w:szCs w:val="20"/>
        </w:rPr>
        <w:t xml:space="preserve">top-k=3 vs. top-k=5: does more retrieved context improve verdict accuracy or introduce noise?</w:t>
      </w:r>
    </w:p>
    <w:p>
      <w:pPr>
        <w:pStyle w:val="ListParagraph"/>
        <w:numPr>
          <w:ilvl w:val="0"/>
          <w:numId w:val="3"/>
        </w:numPr>
        <w:spacing w:before="40" w:after="40"/>
      </w:pPr>
      <w:r>
        <w:rPr>
          <w:rFonts w:ascii="Arial" w:cs="Arial" w:eastAsia="Arial" w:hAnsi="Arial"/>
          <w:color w:val="444444"/>
          <w:sz w:val="20"/>
          <w:szCs w:val="20"/>
        </w:rPr>
        <w:t xml:space="preserve">chunk_size=512 vs. chunk_size=1024: which produces higher retrieval scores for financial filings?</w:t>
      </w:r>
    </w:p>
    <w:p>
      <w:pPr>
        <w:pStyle w:val="ListParagraph"/>
        <w:numPr>
          <w:ilvl w:val="0"/>
          <w:numId w:val="2"/>
        </w:numPr>
        <w:spacing w:before="60" w:after="60"/>
      </w:pPr>
      <w:r>
        <w:rPr>
          <w:rFonts w:ascii="Arial" w:cs="Arial" w:eastAsia="Arial" w:hAnsi="Arial"/>
          <w:color w:val="1A1A1A"/>
          <w:sz w:val="22"/>
          <w:szCs w:val="22"/>
        </w:rPr>
        <w:t xml:space="preserve">Document experiment results in a findings table — key portfolio talking point</w:t>
      </w:r>
    </w:p>
    <w:p>
      <w:pPr>
        <w:pStyle w:val="ListParagraph"/>
        <w:numPr>
          <w:ilvl w:val="0"/>
          <w:numId w:val="2"/>
        </w:numPr>
        <w:spacing w:before="60" w:after="60"/>
      </w:pPr>
      <w:r>
        <w:rPr>
          <w:rFonts w:ascii="Arial" w:cs="Arial" w:eastAsia="Arial" w:hAnsi="Arial"/>
          <w:color w:val="1A1A1A"/>
          <w:sz w:val="22"/>
          <w:szCs w:val="22"/>
        </w:rPr>
        <w:t xml:space="preserve">Review LangSmith traces for all experiment runs: compare agent reasoning paths across configurations</w:t>
      </w:r>
    </w:p>
    <w:p>
      <w:pPr>
        <w:spacing w:before="120" w:after="0"/>
      </w:pPr>
    </w:p>
    <w:p>
      <w:pPr>
        <w:pStyle w:val="Heading2"/>
        <w:spacing w:before="240" w:after="100"/>
      </w:pPr>
      <w:r>
        <w:rPr>
          <w:rFonts w:ascii="Arial" w:cs="Arial" w:eastAsia="Arial" w:hAnsi="Arial"/>
          <w:b/>
          <w:bCs/>
          <w:color w:val="2E75B6"/>
          <w:sz w:val="26"/>
          <w:szCs w:val="26"/>
        </w:rPr>
        <w:t xml:space="preserve">Week 8: Streamlit Dashboard + Documentation</w:t>
      </w:r>
    </w:p>
    <w:p>
      <w:pPr>
        <w:pStyle w:val="ListParagraph"/>
        <w:numPr>
          <w:ilvl w:val="0"/>
          <w:numId w:val="2"/>
        </w:numPr>
        <w:spacing w:before="60" w:after="60"/>
      </w:pPr>
      <w:r>
        <w:rPr>
          <w:rFonts w:ascii="Arial" w:cs="Arial" w:eastAsia="Arial" w:hAnsi="Arial"/>
          <w:color w:val="1A1A1A"/>
          <w:sz w:val="22"/>
          <w:szCs w:val="22"/>
        </w:rPr>
        <w:t xml:space="preserve">Build Streamlit dashboard: enter company name or EDGAR URL, trigger analysis, display per-dimension verdict cards with color-coded ratings (green/amber/red)</w:t>
      </w:r>
    </w:p>
    <w:p>
      <w:pPr>
        <w:pStyle w:val="ListParagraph"/>
        <w:numPr>
          <w:ilvl w:val="0"/>
          <w:numId w:val="2"/>
        </w:numPr>
        <w:spacing w:before="60" w:after="60"/>
      </w:pPr>
      <w:r>
        <w:rPr>
          <w:rFonts w:ascii="Arial" w:cs="Arial" w:eastAsia="Arial" w:hAnsi="Arial"/>
          <w:color w:val="1A1A1A"/>
          <w:sz w:val="22"/>
          <w:szCs w:val="22"/>
        </w:rPr>
        <w:t xml:space="preserve">Add risk heatmap view: 4-dimension matrix showing rating, confidence score, and retry flag at a glance</w:t>
      </w:r>
    </w:p>
    <w:p>
      <w:pPr>
        <w:pStyle w:val="ListParagraph"/>
        <w:numPr>
          <w:ilvl w:val="0"/>
          <w:numId w:val="2"/>
        </w:numPr>
        <w:spacing w:before="60" w:after="60"/>
      </w:pPr>
      <w:r>
        <w:rPr>
          <w:rFonts w:ascii="Arial" w:cs="Arial" w:eastAsia="Arial" w:hAnsi="Arial"/>
          <w:color w:val="1A1A1A"/>
          <w:sz w:val="22"/>
          <w:szCs w:val="22"/>
        </w:rPr>
        <w:t xml:space="preserve">Add report export: download findings as structured JSON and formatted PDF summary</w:t>
      </w:r>
    </w:p>
    <w:p>
      <w:pPr>
        <w:pStyle w:val="ListParagraph"/>
        <w:numPr>
          <w:ilvl w:val="0"/>
          <w:numId w:val="2"/>
        </w:numPr>
        <w:spacing w:before="60" w:after="60"/>
      </w:pPr>
      <w:r>
        <w:rPr>
          <w:rFonts w:ascii="Arial" w:cs="Arial" w:eastAsia="Arial" w:hAnsi="Arial"/>
          <w:color w:val="1A1A1A"/>
          <w:sz w:val="22"/>
          <w:szCs w:val="22"/>
        </w:rPr>
        <w:t xml:space="preserve">Write comprehensive README: architecture diagram, dimension specs with S&amp;P source citations, setup instructions, experiment results, example output for all 3 companies</w:t>
      </w:r>
    </w:p>
    <w:p>
      <w:pPr>
        <w:pStyle w:val="ListParagraph"/>
        <w:numPr>
          <w:ilvl w:val="0"/>
          <w:numId w:val="2"/>
        </w:numPr>
        <w:spacing w:before="60" w:after="60"/>
      </w:pPr>
      <w:r>
        <w:rPr>
          <w:rFonts w:ascii="Arial" w:cs="Arial" w:eastAsia="Arial" w:hAnsi="Arial"/>
          <w:color w:val="1A1A1A"/>
          <w:sz w:val="22"/>
          <w:szCs w:val="22"/>
        </w:rPr>
        <w:t xml:space="preserve">Record a 3-minute demo video: live analysis of Peloton 10-K showing D1/D3/D4/D5 HIGH verdicts with evidence citations, contrasted with Shopify LOW verdicts across all five dimensions</w:t>
      </w:r>
    </w:p>
    <w:p>
      <w:pPr>
        <w:pStyle w:val="ListParagraph"/>
        <w:numPr>
          <w:ilvl w:val="0"/>
          <w:numId w:val="2"/>
        </w:numPr>
        <w:spacing w:before="60" w:after="60"/>
      </w:pPr>
      <w:r>
        <w:rPr>
          <w:rFonts w:ascii="Arial" w:cs="Arial" w:eastAsia="Arial" w:hAnsi="Arial"/>
          <w:color w:val="1A1A1A"/>
          <w:sz w:val="22"/>
          <w:szCs w:val="22"/>
        </w:rPr>
        <w:t xml:space="preserve">Final cleanup: all credentials in environment variables, repo public and fully reproducible from EDGAR downloads</w:t>
      </w:r>
    </w:p>
    <w:p>
      <w:r>
        <w:br w:type="page"/>
      </w:r>
    </w:p>
    <w:p>
      <w:pPr>
        <w:pStyle w:val="Heading1"/>
        <w:pBdr>
          <w:bottom w:val="single" w:color="2E75B6" w:sz="6" w:space="4"/>
        </w:pBdr>
        <w:spacing w:before="340" w:after="160"/>
      </w:pPr>
      <w:r>
        <w:rPr>
          <w:rFonts w:ascii="Arial" w:cs="Arial" w:eastAsia="Arial" w:hAnsi="Arial"/>
          <w:b/>
          <w:bCs/>
          <w:color w:val="1F3864"/>
          <w:sz w:val="32"/>
          <w:szCs w:val="32"/>
        </w:rPr>
        <w:t xml:space="preserve">8. Evaluation Strategy</w:t>
      </w:r>
    </w:p>
    <w:p>
      <w:pPr>
        <w:spacing w:before="80" w:after="80"/>
      </w:pPr>
      <w:r>
        <w:rPr>
          <w:rFonts w:ascii="Arial" w:cs="Arial" w:eastAsia="Arial" w:hAnsi="Arial"/>
          <w:b w:val="false"/>
          <w:bCs w:val="false"/>
          <w:i w:val="false"/>
          <w:iCs w:val="false"/>
          <w:color w:val="1A1A1A"/>
          <w:sz w:val="22"/>
          <w:szCs w:val="22"/>
        </w:rPr>
        <w:t xml:space="preserve">The evaluation strategy is designed around two principles: all ground truth labels come from external authoritative sources (no self-annotation), and all metrics are logged systematically to enable reproducible experiment comparison. The result is a 15-example labeled dataset that covers high-variance company profiles and all five dimensions.</w:t>
      </w:r>
    </w:p>
    <w:p>
      <w:pPr>
        <w:spacing w:before="160" w:after="0"/>
      </w:pPr>
    </w:p>
    <w:p>
      <w:pPr>
        <w:pStyle w:val="Heading2"/>
        <w:spacing w:before="240" w:after="100"/>
      </w:pPr>
      <w:r>
        <w:rPr>
          <w:rFonts w:ascii="Arial" w:cs="Arial" w:eastAsia="Arial" w:hAnsi="Arial"/>
          <w:b/>
          <w:bCs/>
          <w:color w:val="2E75B6"/>
          <w:sz w:val="26"/>
          <w:szCs w:val="26"/>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1680"/>
        <w:gridCol w:w="1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Definition</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Logged In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Rating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 of 12 dimension-company pairs where agent rating matches ground truth label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MLflow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&gt; 0.75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Evidence Recall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 of ground truth risk flags (from S&amp;P rationale) surfaced by the agent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MLflow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&gt; 0.70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Retrieval Retry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 of dimensions requiring a second retrieval call (confidence &lt; 0.75)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MLflow + LangSmith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&lt; 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Avg Retrieval Confidence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Mean max similarity score of top-1 chunk per dimension across all runs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MLflow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&gt; 0.80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Per-Step Latency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Time per LLM call, retrieval call, and full dimension loop — traced per step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LangSmith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&lt; 90s total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Token Usage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Prompt + completion tokens per dimension; total per filing run</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LangSmith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Tracked for cost analysis</w:t>
            </w:r>
          </w:p>
        </w:tc>
      </w:tr>
    </w:tbl>
    <w:p>
      <w:pPr>
        <w:spacing w:before="160" w:after="0"/>
      </w:pPr>
    </w:p>
    <w:p>
      <w:pPr>
        <w:pStyle w:val="Heading2"/>
        <w:spacing w:before="240" w:after="100"/>
      </w:pPr>
      <w:r>
        <w:rPr>
          <w:rFonts w:ascii="Arial" w:cs="Arial" w:eastAsia="Arial" w:hAnsi="Arial"/>
          <w:b/>
          <w:bCs/>
          <w:color w:val="2E75B6"/>
          <w:sz w:val="26"/>
          <w:szCs w:val="26"/>
        </w:rPr>
        <w:t xml:space="preserve">MLflow Experiments</w:t>
      </w:r>
    </w:p>
    <w:p>
      <w:pPr>
        <w:pStyle w:val="ListParagraph"/>
        <w:numPr>
          <w:ilvl w:val="0"/>
          <w:numId w:val="2"/>
        </w:numPr>
        <w:spacing w:before="60" w:after="60"/>
      </w:pPr>
      <w:r>
        <w:rPr>
          <w:rFonts w:ascii="Arial" w:cs="Arial" w:eastAsia="Arial" w:hAnsi="Arial"/>
          <w:color w:val="1A1A1A"/>
          <w:sz w:val="22"/>
          <w:szCs w:val="22"/>
        </w:rPr>
        <w:t xml:space="preserve">Dense-only vs. hybrid retrieval: does BM25 sparse component improve evidence recall for financial filings with dense numerical and legal language?</w:t>
      </w:r>
    </w:p>
    <w:p>
      <w:pPr>
        <w:pStyle w:val="ListParagraph"/>
        <w:numPr>
          <w:ilvl w:val="0"/>
          <w:numId w:val="2"/>
        </w:numPr>
        <w:spacing w:before="60" w:after="60"/>
      </w:pPr>
      <w:r>
        <w:rPr>
          <w:rFonts w:ascii="Arial" w:cs="Arial" w:eastAsia="Arial" w:hAnsi="Arial"/>
          <w:color w:val="1A1A1A"/>
          <w:sz w:val="22"/>
          <w:szCs w:val="22"/>
        </w:rPr>
        <w:t xml:space="preserve">Gemini 1.5 Flash vs. Gemini 1.5 Pro: rating accuracy vs. cost tradeoff across all 12 dimension-company pairs</w:t>
      </w:r>
    </w:p>
    <w:p>
      <w:pPr>
        <w:pStyle w:val="ListParagraph"/>
        <w:numPr>
          <w:ilvl w:val="0"/>
          <w:numId w:val="2"/>
        </w:numPr>
        <w:spacing w:before="60" w:after="60"/>
      </w:pPr>
      <w:r>
        <w:rPr>
          <w:rFonts w:ascii="Arial" w:cs="Arial" w:eastAsia="Arial" w:hAnsi="Arial"/>
          <w:color w:val="1A1A1A"/>
          <w:sz w:val="22"/>
          <w:szCs w:val="22"/>
        </w:rPr>
        <w:t xml:space="preserve">Chunk size 512 vs. 1024 tokens: do larger chunks preserve more multi-paragraph context for Going Concern and Legal Exposure dimensions?</w:t>
      </w:r>
    </w:p>
    <w:p>
      <w:pPr>
        <w:pStyle w:val="ListParagraph"/>
        <w:numPr>
          <w:ilvl w:val="0"/>
          <w:numId w:val="2"/>
        </w:numPr>
        <w:spacing w:before="60" w:after="60"/>
      </w:pPr>
      <w:r>
        <w:rPr>
          <w:rFonts w:ascii="Arial" w:cs="Arial" w:eastAsia="Arial" w:hAnsi="Arial"/>
          <w:color w:val="1A1A1A"/>
          <w:sz w:val="22"/>
          <w:szCs w:val="22"/>
        </w:rPr>
        <w:t xml:space="preserve">Section-filtered retrieval vs. global retrieval: does biasing queries to the correct 10-K Item reduce retry rate and improve confidence scores?</w:t>
      </w:r>
    </w:p>
    <w:p>
      <w:pPr>
        <w:spacing w:before="160" w:after="0"/>
      </w:pPr>
    </w:p>
    <w:p>
      <w:pPr>
        <w:pStyle w:val="Heading2"/>
        <w:spacing w:before="240" w:after="100"/>
      </w:pPr>
      <w:r>
        <w:rPr>
          <w:rFonts w:ascii="Arial" w:cs="Arial" w:eastAsia="Arial" w:hAnsi="Arial"/>
          <w:b/>
          <w:bCs/>
          <w:color w:val="2E75B6"/>
          <w:sz w:val="26"/>
          <w:szCs w:val="26"/>
        </w:rPr>
        <w:t xml:space="preserve">LangSmith Usage</w:t>
      </w:r>
    </w:p>
    <w:p>
      <w:pPr>
        <w:pStyle w:val="ListParagraph"/>
        <w:numPr>
          <w:ilvl w:val="0"/>
          <w:numId w:val="2"/>
        </w:numPr>
        <w:spacing w:before="60" w:after="60"/>
      </w:pPr>
      <w:r>
        <w:rPr>
          <w:rFonts w:ascii="Arial" w:cs="Arial" w:eastAsia="Arial" w:hAnsi="Arial"/>
          <w:color w:val="1A1A1A"/>
          <w:sz w:val="22"/>
          <w:szCs w:val="22"/>
        </w:rPr>
        <w:t xml:space="preserve">Development: inspect per-step traces for any wrong verdicts to identify whether errors originate in retrieval quality or in Analysis Agent reasoning</w:t>
      </w:r>
    </w:p>
    <w:p>
      <w:pPr>
        <w:pStyle w:val="ListParagraph"/>
        <w:numPr>
          <w:ilvl w:val="0"/>
          <w:numId w:val="2"/>
        </w:numPr>
        <w:spacing w:before="60" w:after="60"/>
      </w:pPr>
      <w:r>
        <w:rPr>
          <w:rFonts w:ascii="Arial" w:cs="Arial" w:eastAsia="Arial" w:hAnsi="Arial"/>
          <w:color w:val="1A1A1A"/>
          <w:sz w:val="22"/>
          <w:szCs w:val="22"/>
        </w:rPr>
        <w:t xml:space="preserve">Experiment comparison: compare agent reasoning paths across Gemini 1.5 Flash vs. 1.5 Pro runs to understand qualitative differences beyond aggregate metrics</w:t>
      </w:r>
    </w:p>
    <w:p>
      <w:pPr>
        <w:pStyle w:val="ListParagraph"/>
        <w:numPr>
          <w:ilvl w:val="0"/>
          <w:numId w:val="2"/>
        </w:numPr>
        <w:spacing w:before="60" w:after="60"/>
      </w:pPr>
      <w:r>
        <w:rPr>
          <w:rFonts w:ascii="Arial" w:cs="Arial" w:eastAsia="Arial" w:hAnsi="Arial"/>
          <w:color w:val="1A1A1A"/>
          <w:sz w:val="22"/>
          <w:szCs w:val="22"/>
        </w:rPr>
        <w:t xml:space="preserve">Production monitoring: track latency and token usage per run in the deployed AKS environment</w:t>
      </w:r>
    </w:p>
    <w:p>
      <w:pPr>
        <w:pStyle w:val="Heading1"/>
        <w:pBdr>
          <w:bottom w:val="single" w:color="2E75B6" w:sz="6" w:space="4"/>
        </w:pBdr>
        <w:spacing w:before="340" w:after="160"/>
      </w:pPr>
      <w:r>
        <w:rPr>
          <w:rFonts w:ascii="Arial" w:cs="Arial" w:eastAsia="Arial" w:hAnsi="Arial"/>
          <w:b/>
          <w:bCs/>
          <w:color w:val="1F3864"/>
          <w:sz w:val="32"/>
          <w:szCs w:val="32"/>
        </w:rPr>
        <w:t xml:space="preserve">9. Interview Talking Points</w:t>
      </w:r>
    </w:p>
    <w:p>
      <w:pPr>
        <w:pStyle w:val="Heading2"/>
        <w:spacing w:before="240" w:after="100"/>
      </w:pPr>
      <w:r>
        <w:rPr>
          <w:rFonts w:ascii="Arial" w:cs="Arial" w:eastAsia="Arial" w:hAnsi="Arial"/>
          <w:b/>
          <w:bCs/>
          <w:color w:val="2E75B6"/>
          <w:sz w:val="26"/>
          <w:szCs w:val="26"/>
        </w:rPr>
        <w:t xml:space="preserve">On Dimension Design</w:t>
      </w:r>
    </w:p>
    <w:p>
      <w:pPr>
        <w:pBdr>
          <w:left w:val="single" w:color="2E75B6" w:sz="12"/>
        </w:pBdr>
        <w:shd w:fill="F0F5FB" w:val="clear"/>
        <w:spacing w:before="80" w:after="100"/>
        <w:ind w:left="360" w:right="360"/>
      </w:pPr>
      <w:r>
        <w:rPr>
          <w:rFonts w:ascii="Arial" w:cs="Arial" w:eastAsia="Arial" w:hAnsi="Arial"/>
          <w:i/>
          <w:iCs/>
          <w:color w:val="333333"/>
          <w:sz w:val="20"/>
          <w:szCs w:val="20"/>
        </w:rPr>
        <w:t xml:space="preserve">"I didn't construct the due diligence dimensions myself — I implemented S&amp;P's published Corporate Rating Methodology, which is the same framework institutional investors and credit analysts use. Each dimension maps to a named S&amp;P sub-factor with published thresholds. That means my agent's verdicts are directly comparable to S&amp;P's own published rating actions on the same companies, which is how I validate it."</w:t>
      </w:r>
    </w:p>
    <w:p>
      <w:pPr>
        <w:spacing w:before="120" w:after="0"/>
      </w:pPr>
    </w:p>
    <w:p>
      <w:pPr>
        <w:pStyle w:val="Heading2"/>
        <w:spacing w:before="240" w:after="100"/>
      </w:pPr>
      <w:r>
        <w:rPr>
          <w:rFonts w:ascii="Arial" w:cs="Arial" w:eastAsia="Arial" w:hAnsi="Arial"/>
          <w:b/>
          <w:bCs/>
          <w:color w:val="2E75B6"/>
          <w:sz w:val="26"/>
          <w:szCs w:val="26"/>
        </w:rPr>
        <w:t xml:space="preserve">On Ground Truth</w:t>
      </w:r>
    </w:p>
    <w:p>
      <w:pPr>
        <w:pBdr>
          <w:left w:val="single" w:color="2E75B6" w:sz="12"/>
        </w:pBdr>
        <w:shd w:fill="F0F5FB" w:val="clear"/>
        <w:spacing w:before="80" w:after="100"/>
        <w:ind w:left="360" w:right="360"/>
      </w:pPr>
      <w:r>
        <w:rPr>
          <w:rFonts w:ascii="Arial" w:cs="Arial" w:eastAsia="Arial" w:hAnsi="Arial"/>
          <w:i/>
          <w:iCs/>
          <w:color w:val="333333"/>
          <w:sz w:val="20"/>
          <w:szCs w:val="20"/>
        </w:rPr>
        <w:t xml:space="preserve">"All 12 ground truth labels come from external authoritative sources — S&amp;P and Moody's rating action rationale, PCAOB Audit Analytics, SEC Comment Letters, and direct filing text analysis. I didn't annotate a single label myself. That's a much stronger evaluation story than eyeballing outputs or self-labeling."</w:t>
      </w:r>
    </w:p>
    <w:p>
      <w:pPr>
        <w:spacing w:before="120" w:after="0"/>
      </w:pPr>
    </w:p>
    <w:p>
      <w:pPr>
        <w:pStyle w:val="Heading2"/>
        <w:spacing w:before="240" w:after="100"/>
      </w:pPr>
      <w:r>
        <w:rPr>
          <w:rFonts w:ascii="Arial" w:cs="Arial" w:eastAsia="Arial" w:hAnsi="Arial"/>
          <w:b/>
          <w:bCs/>
          <w:color w:val="2E75B6"/>
          <w:sz w:val="26"/>
          <w:szCs w:val="26"/>
        </w:rPr>
        <w:t xml:space="preserve">On the Observability Stack</w:t>
      </w:r>
    </w:p>
    <w:p>
      <w:pPr>
        <w:pBdr>
          <w:left w:val="single" w:color="2E75B6" w:sz="12"/>
        </w:pBdr>
        <w:shd w:fill="F0F5FB" w:val="clear"/>
        <w:spacing w:before="80" w:after="100"/>
        <w:ind w:left="360" w:right="360"/>
      </w:pPr>
      <w:r>
        <w:rPr>
          <w:rFonts w:ascii="Arial" w:cs="Arial" w:eastAsia="Arial" w:hAnsi="Arial"/>
          <w:i/>
          <w:iCs/>
          <w:color w:val="333333"/>
          <w:sz w:val="20"/>
          <w:szCs w:val="20"/>
        </w:rPr>
        <w:t xml:space="preserve">"LangSmith and MLflow solve different problems. LangSmith gives me runtime observability — I can inspect every LLM call, retrieval invocation, and retry step for any individual run. MLflow gives me experiment comparison — I can aggregate precision and recall across 15 test examples under different configurations and compare them in a single view. They integrate at the evaluation loop: LangSmith stores the traces, MLflow stores the aggregate scores."</w:t>
      </w:r>
    </w:p>
    <w:p>
      <w:pPr>
        <w:spacing w:before="120" w:after="0"/>
      </w:pPr>
    </w:p>
    <w:p>
      <w:pPr>
        <w:pStyle w:val="Heading2"/>
        <w:spacing w:before="240" w:after="100"/>
      </w:pPr>
      <w:r>
        <w:rPr>
          <w:rFonts w:ascii="Arial" w:cs="Arial" w:eastAsia="Arial" w:hAnsi="Arial"/>
          <w:b/>
          <w:bCs/>
          <w:color w:val="2E75B6"/>
          <w:sz w:val="26"/>
          <w:szCs w:val="26"/>
        </w:rPr>
        <w:t xml:space="preserve">On Why Five Dimensions, Not More</w:t>
      </w:r>
    </w:p>
    <w:p>
      <w:pPr>
        <w:pBdr>
          <w:left w:val="single" w:color="2E75B6" w:sz="12"/>
        </w:pBdr>
        <w:shd w:fill="F0F5FB" w:val="clear"/>
        <w:spacing w:before="80" w:after="100"/>
        <w:ind w:left="360" w:right="360"/>
      </w:pPr>
      <w:r>
        <w:rPr>
          <w:rFonts w:ascii="Arial" w:cs="Arial" w:eastAsia="Arial" w:hAnsi="Arial"/>
          <w:i/>
          <w:iCs/>
          <w:color w:val="333333"/>
          <w:sz w:val="20"/>
          <w:szCs w:val="20"/>
        </w:rPr>
        <w:t xml:space="preserve">"I started with nine dimensions but cut to five after applying a single filter: does an authoritative external source provide a verifiable ground truth label for this dimension without manual annotation? Five passed that bar cleanly. The others required judgment calls I couldn't objectively validate. Five well-tested dimensions with external ground truth is more credible than nine dimensions where half the labels are opinions. The fifth dimension — Internal Controls — was added because SOX 404 and PCAOB AS 2201 provide a fully binary, auditor-attested ground truth signal with zero annotation required."</w:t>
      </w:r>
    </w:p>
    <w:p>
      <w:pPr>
        <w:spacing w:before="120" w:after="0"/>
      </w:pPr>
    </w:p>
    <w:p>
      <w:pPr>
        <w:pStyle w:val="Heading2"/>
        <w:spacing w:before="240" w:after="100"/>
      </w:pPr>
      <w:r>
        <w:rPr>
          <w:rFonts w:ascii="Arial" w:cs="Arial" w:eastAsia="Arial" w:hAnsi="Arial"/>
          <w:b/>
          <w:bCs/>
          <w:color w:val="2E75B6"/>
          <w:sz w:val="26"/>
          <w:szCs w:val="26"/>
        </w:rPr>
        <w:t xml:space="preserve">On Company Selection</w:t>
      </w:r>
    </w:p>
    <w:p>
      <w:pPr>
        <w:pBdr>
          <w:left w:val="single" w:color="2E75B6" w:sz="12"/>
        </w:pBdr>
        <w:shd w:fill="F0F5FB" w:val="clear"/>
        <w:spacing w:before="80" w:after="100"/>
        <w:ind w:left="360" w:right="360"/>
      </w:pPr>
      <w:r>
        <w:rPr>
          <w:rFonts w:ascii="Arial" w:cs="Arial" w:eastAsia="Arial" w:hAnsi="Arial"/>
          <w:i/>
          <w:iCs/>
          <w:color w:val="333333"/>
          <w:sz w:val="20"/>
          <w:szCs w:val="20"/>
        </w:rPr>
        <w:t xml:space="preserve">"The three companies are chosen for maximum variance. Peloton FY2023 is the most demanding test case — the pipeline must output HIGH on four of five dimensions while correctly identifying D2 as MEDIUM, not HIGH, despite severe financial distress. That requires reading the actual auditor opinion, not keyword-matching on “going concern.” Carvana FY2022 tests a distressed company with clean governance: D1 HIGH from $7.6B debt and $1.6B net loss, but D3 and D5 both LOW. Shopify FY2025 is the negative control, testing whether the pipeline outputs LOW on four dimensions while catching D4 MEDIUM from named payment processor dependencies."</w:t>
      </w:r>
    </w:p>
    <w:p>
      <w:pPr>
        <w:spacing w:before="200" w:after="0"/>
      </w:pPr>
    </w:p>
    <w:p>
      <w:pPr>
        <w:pStyle w:val="Heading1"/>
        <w:pBdr>
          <w:bottom w:val="single" w:color="2E75B6" w:sz="6" w:space="4"/>
        </w:pBdr>
        <w:spacing w:before="340" w:after="160"/>
      </w:pPr>
      <w:r>
        <w:rPr>
          <w:rFonts w:ascii="Arial" w:cs="Arial" w:eastAsia="Arial" w:hAnsi="Arial"/>
          <w:b/>
          <w:bCs/>
          <w:color w:val="1F3864"/>
          <w:sz w:val="32"/>
          <w:szCs w:val="32"/>
        </w:rPr>
        <w:t xml:space="preserve">10. Final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Deliverable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LangGraph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3-agent StateGraph (Document, Retrieval, Analysis + Report Node) with conditional loop, retry logic, and LangSmith tracing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Ground Truth Dataset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15-example labeled JSON dataset with source citations — fully reproducible from public EDGAR, PACER, and agency websites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FastAPI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Async streaming API with EDGAR URL fetch option; Docker + docker-compose stack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AKS Deployment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Kubernetes manifests, AKS deployment, GitHub Actions CI/CD with automated recall-gated eval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MLflow Experiments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4 documented experiments with findings table: retrieval strategy, model, chunk size, section filtering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LangSmith Traces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Annotated trace examples showing correct vs. incorrect verdicts and retry behavior for portfolio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Streamlit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Risk heatmap UI with color-coded verdict cards, evidence citations, and JSON + PDF report export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README + Demo Video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Architecture diagram, S&amp;P methodology citations, setup instructions, 3-minute walkthrough of Peloton vs. Shopify contrast</w:t>
            </w:r>
          </w:p>
        </w:tc>
      </w:tr>
    </w:tbl>
    <w:p>
      <w:pPr>
        <w:spacing w:before="240" w:after="0"/>
      </w:pP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after="0"/>
    </w:pPr>
    <w:r>
      <w:rPr>
        <w:rFonts w:ascii="Arial" w:cs="Arial" w:eastAsia="Arial" w:hAnsi="Arial"/>
        <w:color w:val="888888"/>
        <w:sz w:val="18"/>
        <w:szCs w:val="18"/>
      </w:rPr>
      <w:t xml:space="preserve">Taiman Siddiqui  |  2025</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00"/>
    </w:pPr>
    <w:r>
      <w:rPr>
        <w:rFonts w:ascii="Arial" w:cs="Arial" w:eastAsia="Arial" w:hAnsi="Arial"/>
        <w:color w:val="888888"/>
        <w:sz w:val="18"/>
        <w:szCs w:val="18"/>
      </w:rPr>
      <w:t xml:space="preserve">M&amp;A Due Diligence Analyzer  |  Agentic AI Project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2026-03-07T02:16:43.233Z</dcterms:created>
  <dcterms:modified xsi:type="dcterms:W3CDTF">2026-03-07T02:16:43.233Z</dcterms:modified>
</cp:coreProperties>
</file>

<file path=docProps/custom.xml><?xml version="1.0" encoding="utf-8"?>
<Properties xmlns="http://schemas.openxmlformats.org/officeDocument/2006/custom-properties" xmlns:vt="http://schemas.openxmlformats.org/officeDocument/2006/docPropsVTypes"/>
</file>