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JAY观海公众发布修复与建设路线图</w:t>
      </w:r>
    </w:p>
    <w:p>
      <w:pPr>
        <w:spacing w:after="680"/>
        <w:jc w:val="center"/>
      </w:pPr>
      <w:r>
        <w:rPr>
          <w:rFonts w:ascii="Microsoft YaHei" w:hAnsi="Microsoft YaHei" w:eastAsia="Microsoft YaHei"/>
          <w:color w:val="24445C"/>
          <w:sz w:val="27"/>
        </w:rPr>
        <w:t>公众发布前的修复顺序 数据架构和验收标准</w:t>
      </w:r>
    </w:p>
    <w:p>
      <w:pPr>
        <w:jc w:val="center"/>
      </w:pPr>
      <w:r>
        <w:rPr>
          <w:rFonts w:ascii="Microsoft YaHei" w:hAnsi="Microsoft YaHei" w:eastAsia="Microsoft YaHei"/>
          <w:b/>
          <w:color w:val="626C73"/>
          <w:sz w:val="20"/>
        </w:rPr>
        <w:t xml:space="preserve">基线日期  </w:t>
      </w:r>
      <w:r>
        <w:rPr>
          <w:rFonts w:ascii="Microsoft YaHei" w:hAnsi="Microsoft YaHei" w:eastAsia="Microsoft YaHei"/>
          <w:color w:val="000000"/>
          <w:sz w:val="19"/>
        </w:rPr>
        <w:t>2026年9月11日</w:t>
      </w:r>
    </w:p>
    <w:p>
      <w:pPr>
        <w:jc w:val="center"/>
      </w:pPr>
      <w:r>
        <w:rPr>
          <w:rFonts w:ascii="Microsoft YaHei" w:hAnsi="Microsoft YaHei" w:eastAsia="Microsoft YaHei"/>
          <w:b/>
          <w:color w:val="626C73"/>
          <w:sz w:val="20"/>
        </w:rPr>
        <w:t xml:space="preserve">正式发布版本  </w:t>
      </w:r>
      <w:r>
        <w:rPr>
          <w:rFonts w:ascii="Consolas" w:hAnsi="Consolas" w:eastAsia="Consolas"/>
          <w:color w:val="000000"/>
          <w:sz w:val="19"/>
        </w:rPr>
        <w:t>8068bd6081c157cba421abd1864ff846dbebb71b</w:t>
      </w:r>
    </w:p>
    <w:p>
      <w:pPr>
        <w:jc w:val="center"/>
      </w:pPr>
      <w:r>
        <w:rPr>
          <w:rFonts w:ascii="Microsoft YaHei" w:hAnsi="Microsoft YaHei" w:eastAsia="Microsoft YaHei"/>
          <w:b/>
          <w:color w:val="626C73"/>
          <w:sz w:val="20"/>
        </w:rPr>
        <w:t xml:space="preserve">正式站  </w:t>
      </w:r>
      <w:hyperlink r:id="rId11">
        <w:r>
          <w:rPr>
            <w:rFonts w:ascii="Microsoft YaHei" w:hAnsi="Microsoft YaHei" w:eastAsia="Microsoft YaHei"/>
            <w:color w:val="3D6B84"/>
            <w:u w:val="single"/>
          </w:rPr>
          <w:t>https://lidengrong3-prog.github.io/mercator/</w:t>
        </w:r>
      </w:hyperlink>
    </w:p>
    <w:p>
      <w:pPr>
        <w:spacing w:before="680"/>
        <w:ind w:left="864" w:right="864"/>
        <w:jc w:val="both"/>
      </w:pPr>
      <w:r>
        <w:rPr>
          <w:rFonts w:ascii="Microsoft YaHei" w:hAnsi="Microsoft YaHei" w:eastAsia="Microsoft YaHei"/>
          <w:color w:val="38434A"/>
          <w:sz w:val="21"/>
        </w:rPr>
        <w:t>本路线图汇总系统审计、跨电脑实机测试、公众发布架构、数据存储、数据采集、TikHub、多 AI、资源中心和商业化要求，并将其整理为可执行、可验收的实施顺序。</w:t>
      </w:r>
    </w:p>
    <w:p>
      <w:r>
        <w:br w:type="page"/>
      </w:r>
    </w:p>
    <w:p>
      <w:pPr>
        <w:pStyle w:val="Heading1"/>
        <w:spacing w:before="0"/>
      </w:pPr>
      <w:r>
        <w:t>文档目录</w:t>
      </w:r>
    </w:p>
    <w:p>
      <w:pPr>
        <w:spacing w:after="100"/>
        <w:ind w:left="259"/>
      </w:pPr>
      <w:r>
        <w:rPr>
          <w:rFonts w:ascii="Microsoft YaHei" w:hAnsi="Microsoft YaHei" w:eastAsia="Microsoft YaHei"/>
          <w:color w:val="000000"/>
          <w:sz w:val="22"/>
        </w:rPr>
        <w:t>一 最终结论</w:t>
      </w:r>
    </w:p>
    <w:p>
      <w:pPr>
        <w:spacing w:after="100"/>
        <w:ind w:left="259"/>
      </w:pPr>
      <w:r>
        <w:rPr>
          <w:rFonts w:ascii="Microsoft YaHei" w:hAnsi="Microsoft YaHei" w:eastAsia="Microsoft YaHei"/>
          <w:color w:val="000000"/>
          <w:sz w:val="22"/>
        </w:rPr>
        <w:t>二 当前生产基线</w:t>
      </w:r>
    </w:p>
    <w:p>
      <w:pPr>
        <w:spacing w:after="100"/>
        <w:ind w:left="259"/>
      </w:pPr>
      <w:r>
        <w:rPr>
          <w:rFonts w:ascii="Microsoft YaHei" w:hAnsi="Microsoft YaHei" w:eastAsia="Microsoft YaHei"/>
          <w:color w:val="000000"/>
          <w:sz w:val="22"/>
        </w:rPr>
        <w:t>三 目标生产架构</w:t>
      </w:r>
    </w:p>
    <w:p>
      <w:pPr>
        <w:spacing w:after="100"/>
        <w:ind w:left="259"/>
      </w:pPr>
      <w:r>
        <w:rPr>
          <w:rFonts w:ascii="Microsoft YaHei" w:hAnsi="Microsoft YaHei" w:eastAsia="Microsoft YaHei"/>
          <w:color w:val="000000"/>
          <w:sz w:val="22"/>
        </w:rPr>
        <w:t>四 数据存储边界</w:t>
      </w:r>
    </w:p>
    <w:p>
      <w:pPr>
        <w:spacing w:after="100"/>
        <w:ind w:left="259"/>
      </w:pPr>
      <w:r>
        <w:rPr>
          <w:rFonts w:ascii="Microsoft YaHei" w:hAnsi="Microsoft YaHei" w:eastAsia="Microsoft YaHei"/>
          <w:color w:val="000000"/>
          <w:sz w:val="22"/>
        </w:rPr>
        <w:t>五 按顺序执行的修复与建设步骤</w:t>
      </w:r>
    </w:p>
    <w:p>
      <w:pPr>
        <w:spacing w:after="100"/>
        <w:ind w:left="259"/>
      </w:pPr>
      <w:r>
        <w:rPr>
          <w:rFonts w:ascii="Microsoft YaHei" w:hAnsi="Microsoft YaHei" w:eastAsia="Microsoft YaHei"/>
          <w:color w:val="000000"/>
          <w:sz w:val="22"/>
        </w:rPr>
        <w:t>六 推荐执行排期</w:t>
      </w:r>
    </w:p>
    <w:p>
      <w:pPr>
        <w:spacing w:after="100"/>
        <w:ind w:left="259"/>
      </w:pPr>
      <w:r>
        <w:rPr>
          <w:rFonts w:ascii="Microsoft YaHei" w:hAnsi="Microsoft YaHei" w:eastAsia="Microsoft YaHei"/>
          <w:color w:val="000000"/>
          <w:sz w:val="22"/>
        </w:rPr>
        <w:t>七 公众发布闸门</w:t>
      </w:r>
    </w:p>
    <w:p>
      <w:pPr>
        <w:spacing w:after="100"/>
        <w:ind w:left="259"/>
      </w:pPr>
      <w:r>
        <w:rPr>
          <w:rFonts w:ascii="Microsoft YaHei" w:hAnsi="Microsoft YaHei" w:eastAsia="Microsoft YaHei"/>
          <w:color w:val="000000"/>
          <w:sz w:val="22"/>
        </w:rPr>
        <w:t>八 立即执行顺序</w:t>
      </w:r>
    </w:p>
    <w:p>
      <w:pPr>
        <w:spacing w:before="240"/>
      </w:pPr>
      <w:r>
        <w:rPr>
          <w:rFonts w:ascii="Microsoft YaHei" w:hAnsi="Microsoft YaHei" w:eastAsia="Microsoft YaHei"/>
          <w:b/>
          <w:color w:val="24445C"/>
          <w:sz w:val="21"/>
        </w:rPr>
        <w:t xml:space="preserve">阶段划分  </w:t>
      </w:r>
      <w:r>
        <w:rPr>
          <w:rFonts w:ascii="Microsoft YaHei" w:hAnsi="Microsoft YaHei" w:eastAsia="Microsoft YaHei"/>
          <w:color w:val="38434A"/>
          <w:sz w:val="20"/>
        </w:rPr>
        <w:t>A 公众内测阻断项  B 长期数据情报库  C TikHub 数据  D 多 AI  E 资源与学院  F 收费与发布</w:t>
      </w:r>
    </w:p>
    <w:p>
      <w:pPr>
        <w:spacing w:before="280"/>
      </w:pPr>
      <w:r>
        <w:rPr>
          <w:rFonts w:ascii="Microsoft YaHei" w:hAnsi="Microsoft YaHei" w:eastAsia="Microsoft YaHei"/>
          <w:b/>
          <w:color w:val="24445C"/>
          <w:sz w:val="21"/>
        </w:rPr>
        <w:t xml:space="preserve">首批执行  </w:t>
      </w:r>
      <w:r>
        <w:rPr>
          <w:rFonts w:ascii="Microsoft YaHei" w:hAnsi="Microsoft YaHei" w:eastAsia="Microsoft YaHei"/>
          <w:color w:val="000000"/>
          <w:sz w:val="21"/>
        </w:rPr>
        <w:t>步骤 1 至 5 完成后重新部署并执行双账号验收，再进入历史数据库与 TikHub 建设。</w:t>
      </w:r>
    </w:p>
    <w:p>
      <w:r>
        <w:br w:type="page"/>
      </w:r>
    </w:p>
    <w:p>
      <w:pPr>
        <w:pStyle w:val="Heading1"/>
        <w:spacing w:before="320"/>
      </w:pPr>
      <w:r>
        <w:t>一 最终结论</w:t>
      </w:r>
    </w:p>
    <w:p>
      <w:pPr>
        <w:jc w:val="both"/>
      </w:pPr>
      <w:r>
        <w:rPr>
          <w:rFonts w:ascii="Microsoft YaHei" w:hAnsi="Microsoft YaHei" w:eastAsia="Microsoft YaHei"/>
          <w:color w:val="000000"/>
          <w:sz w:val="21"/>
        </w:rPr>
        <w:t>JAY观海已经具备一条真实可运行的基础闭环：</w:t>
      </w:r>
    </w:p>
    <w:p>
      <w:pPr>
        <w:jc w:val="both"/>
      </w:pPr>
      <w:r>
        <w:rPr>
          <w:rFonts w:ascii="Consolas" w:hAnsi="Consolas" w:eastAsia="Consolas"/>
          <w:color w:val="38434A"/>
          <w:sz w:val="20"/>
        </w:rPr>
        <w:t>注册/登录 -&gt; 导入商品 -&gt; 加入素材池 -&gt; AI 报告 -&gt; 云端保存 -&gt; PDF/DOCX 导出 -&gt; 邀请成员协作</w:t>
      </w:r>
    </w:p>
    <w:p>
      <w:pPr>
        <w:jc w:val="both"/>
      </w:pPr>
      <w:r>
        <w:rPr>
          <w:rFonts w:ascii="Microsoft YaHei" w:hAnsi="Microsoft YaHei" w:eastAsia="Microsoft YaHei"/>
          <w:color w:val="000000"/>
          <w:sz w:val="21"/>
        </w:rPr>
        <w:t>但目前还不适合直接无条件开放给全部公众。正式开放前必须先解决四个核心问题：</w:t>
      </w:r>
    </w:p>
    <w:p>
      <w:pPr>
        <w:spacing w:after="60"/>
        <w:ind w:left="461" w:hanging="317"/>
      </w:pPr>
      <w:r>
        <w:rPr>
          <w:rFonts w:ascii="Microsoft YaHei" w:hAnsi="Microsoft YaHei" w:eastAsia="Microsoft YaHei"/>
          <w:b/>
          <w:color w:val="24445C"/>
          <w:sz w:val="20"/>
        </w:rPr>
        <w:t xml:space="preserve">1. </w:t>
      </w:r>
      <w:r>
        <w:rPr>
          <w:rFonts w:ascii="Microsoft YaHei" w:hAnsi="Microsoft YaHei" w:eastAsia="Microsoft YaHei"/>
          <w:color w:val="000000"/>
          <w:sz w:val="20"/>
        </w:rPr>
        <w:t>决策总览 AI 与报告 AI 调用链不一致，失败时没有真实错误信息。</w:t>
      </w:r>
    </w:p>
    <w:p>
      <w:pPr>
        <w:spacing w:after="60"/>
        <w:ind w:left="461" w:hanging="317"/>
      </w:pPr>
      <w:r>
        <w:rPr>
          <w:rFonts w:ascii="Microsoft YaHei" w:hAnsi="Microsoft YaHei" w:eastAsia="Microsoft YaHei"/>
          <w:b/>
          <w:color w:val="24445C"/>
          <w:sz w:val="20"/>
        </w:rPr>
        <w:t xml:space="preserve">2. </w:t>
      </w:r>
      <w:r>
        <w:rPr>
          <w:rFonts w:ascii="Microsoft YaHei" w:hAnsi="Microsoft YaHei" w:eastAsia="Microsoft YaHei"/>
          <w:color w:val="000000"/>
          <w:sz w:val="20"/>
        </w:rPr>
        <w:t>工作区成员的角色与套餐权益分离，受邀成员不能自然继承团队的 AI 和导出能力。</w:t>
      </w:r>
    </w:p>
    <w:p>
      <w:pPr>
        <w:spacing w:after="60"/>
        <w:ind w:left="461" w:hanging="317"/>
      </w:pPr>
      <w:r>
        <w:rPr>
          <w:rFonts w:ascii="Microsoft YaHei" w:hAnsi="Microsoft YaHei" w:eastAsia="Microsoft YaHei"/>
          <w:b/>
          <w:color w:val="24445C"/>
          <w:sz w:val="20"/>
        </w:rPr>
        <w:t xml:space="preserve">3. </w:t>
      </w:r>
      <w:r>
        <w:rPr>
          <w:rFonts w:ascii="Microsoft YaHei" w:hAnsi="Microsoft YaHei" w:eastAsia="Microsoft YaHei"/>
          <w:color w:val="000000"/>
          <w:sz w:val="20"/>
        </w:rPr>
        <w:t>当前政策和规则只是有限增量集合，不是完整、永久、可检索的历史情报库。</w:t>
      </w:r>
    </w:p>
    <w:p>
      <w:pPr>
        <w:spacing w:after="60"/>
        <w:ind w:left="461" w:hanging="317"/>
      </w:pPr>
      <w:r>
        <w:rPr>
          <w:rFonts w:ascii="Microsoft YaHei" w:hAnsi="Microsoft YaHei" w:eastAsia="Microsoft YaHei"/>
          <w:b/>
          <w:color w:val="24445C"/>
          <w:sz w:val="20"/>
        </w:rPr>
        <w:t xml:space="preserve">4. </w:t>
      </w:r>
      <w:r>
        <w:rPr>
          <w:rFonts w:ascii="Microsoft YaHei" w:hAnsi="Microsoft YaHei" w:eastAsia="Microsoft YaHei"/>
          <w:color w:val="000000"/>
          <w:sz w:val="20"/>
        </w:rPr>
        <w:t>原始数据、第三方付费数据和公众可发布数据还需要形成更严格的物理存储边界。</w:t>
      </w:r>
    </w:p>
    <w:p>
      <w:pPr>
        <w:jc w:val="both"/>
      </w:pPr>
      <w:r>
        <w:rPr>
          <w:rFonts w:ascii="Microsoft YaHei" w:hAnsi="Microsoft YaHei" w:eastAsia="Microsoft YaHei"/>
          <w:color w:val="000000"/>
          <w:sz w:val="21"/>
        </w:rPr>
        <w:t>公众发布的目标不能定义为“所有页面都能打开”，而应定义为：</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所有用户都能稳定注册、登录和访问允许公开的正式数据。</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同一工作区的成员按照角色共享数据，并按照工作区套餐共享功能权益。</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所有 AI 请求都有供应商、模型、用量、耗时、错误和请求编号。</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政策、规则、商品和店铺数据按时间长期保存，可以查询历史与变化。</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第三方数据符合授权要求，API Key、原始数据和用户数据不进入公开仓库。</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系统有备份、限流、告警、恢复和数据删除能力。</w:t>
      </w:r>
    </w:p>
    <w:p>
      <w:pPr>
        <w:pStyle w:val="Heading1"/>
        <w:spacing w:before="320"/>
      </w:pPr>
      <w:r>
        <w:t>二 当前生产基线</w:t>
      </w:r>
    </w:p>
    <w:p>
      <w:pPr>
        <w:pStyle w:val="Heading2"/>
      </w:pPr>
      <w:r>
        <w:t>2 1 已完成并应保留的能力</w:t>
      </w:r>
    </w:p>
    <w:tbl>
      <w:tblPr>
        <w:tblW w:type="dxa" w:w="9864"/>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088"/>
            <w:shd w:fill="24445C"/>
            <w:tcMar>
              <w:top w:w="110" w:type="dxa"/>
              <w:start w:w="120" w:type="dxa"/>
              <w:bottom w:w="110" w:type="dxa"/>
              <w:end w:w="120" w:type="dxa"/>
            </w:tcMar>
            <w:vAlign w:val="center"/>
          </w:tcPr>
          <w:p>
            <w:pPr>
              <w:spacing w:after="0"/>
              <w:jc w:val="center"/>
            </w:pPr>
            <w:r>
              <w:rPr>
                <w:rFonts w:ascii="Microsoft YaHei" w:hAnsi="Microsoft YaHei" w:eastAsia="Microsoft YaHei"/>
                <w:b/>
                <w:color w:val="FFFFFF"/>
                <w:sz w:val="18"/>
              </w:rPr>
              <w:t>原修复项</w:t>
            </w:r>
          </w:p>
        </w:tc>
        <w:tc>
          <w:tcPr>
            <w:tcW w:type="dxa" w:w="1656"/>
            <w:shd w:fill="24445C"/>
            <w:tcMar>
              <w:top w:w="110" w:type="dxa"/>
              <w:start w:w="120" w:type="dxa"/>
              <w:bottom w:w="110" w:type="dxa"/>
              <w:end w:w="120" w:type="dxa"/>
            </w:tcMar>
            <w:vAlign w:val="center"/>
          </w:tcPr>
          <w:p>
            <w:pPr>
              <w:spacing w:after="0"/>
              <w:jc w:val="center"/>
            </w:pPr>
            <w:r>
              <w:rPr>
                <w:rFonts w:ascii="Microsoft YaHei" w:hAnsi="Microsoft YaHei" w:eastAsia="Microsoft YaHei"/>
                <w:b/>
                <w:color w:val="FFFFFF"/>
                <w:sz w:val="18"/>
              </w:rPr>
              <w:t>当前状态</w:t>
            </w:r>
          </w:p>
        </w:tc>
        <w:tc>
          <w:tcPr>
            <w:tcW w:type="dxa" w:w="6120"/>
            <w:shd w:fill="24445C"/>
            <w:tcMar>
              <w:top w:w="110" w:type="dxa"/>
              <w:start w:w="120" w:type="dxa"/>
              <w:bottom w:w="110" w:type="dxa"/>
              <w:end w:w="120" w:type="dxa"/>
            </w:tcMar>
            <w:vAlign w:val="center"/>
          </w:tcPr>
          <w:p>
            <w:pPr>
              <w:spacing w:after="0"/>
              <w:jc w:val="center"/>
            </w:pPr>
            <w:r>
              <w:rPr>
                <w:rFonts w:ascii="Microsoft YaHei" w:hAnsi="Microsoft YaHei" w:eastAsia="Microsoft YaHei"/>
                <w:b/>
                <w:color w:val="FFFFFF"/>
                <w:sz w:val="18"/>
              </w:rPr>
              <w:t>说明</w:t>
            </w:r>
          </w:p>
        </w:tc>
      </w:tr>
      <w:tr>
        <w:trPr>
          <w:cantSplit/>
        </w:trPr>
        <w:tc>
          <w:tcPr>
            <w:tcW w:type="dxa" w:w="2088"/>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15 数据底座状态</w:t>
            </w:r>
          </w:p>
        </w:tc>
        <w:tc>
          <w:tcPr>
            <w:tcW w:type="dxa" w:w="1656"/>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已完成</w:t>
            </w:r>
          </w:p>
        </w:tc>
        <w:tc>
          <w:tcPr>
            <w:tcW w:type="dxa" w:w="6120"/>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总状态、单项状态、错误数与发布闸门来自同一次质量校验</w:t>
            </w:r>
          </w:p>
        </w:tc>
      </w:tr>
      <w:tr>
        <w:trPr>
          <w:cantSplit/>
        </w:trPr>
        <w:tc>
          <w:tcPr>
            <w:tcW w:type="dxa" w:w="2088"/>
            <w:shd w:fill="F3F6F8"/>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16 清理旧静态 PDF</w:t>
            </w:r>
          </w:p>
        </w:tc>
        <w:tc>
          <w:tcPr>
            <w:tcW w:type="dxa" w:w="1656"/>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已完成</w:t>
            </w:r>
          </w:p>
        </w:tc>
        <w:tc>
          <w:tcPr>
            <w:tcW w:type="dxa" w:w="6120"/>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旧的美国八品类静态 PDF 不再发布</w:t>
            </w:r>
          </w:p>
        </w:tc>
      </w:tr>
      <w:tr>
        <w:trPr>
          <w:cantSplit/>
        </w:trPr>
        <w:tc>
          <w:tcPr>
            <w:tcW w:type="dxa" w:w="2088"/>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17 PDF/DOCX 导出</w:t>
            </w:r>
          </w:p>
        </w:tc>
        <w:tc>
          <w:tcPr>
            <w:tcW w:type="dxa" w:w="1656"/>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已完成</w:t>
            </w:r>
          </w:p>
        </w:tc>
        <w:tc>
          <w:tcPr>
            <w:tcW w:type="dxa" w:w="6120"/>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服务端正式导出已支持表格、图表、中文、页码和引用链接</w:t>
            </w:r>
          </w:p>
        </w:tc>
      </w:tr>
      <w:tr>
        <w:trPr>
          <w:cantSplit/>
        </w:trPr>
        <w:tc>
          <w:tcPr>
            <w:tcW w:type="dxa" w:w="2088"/>
            <w:shd w:fill="F3F6F8"/>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18 存储型 XSS</w:t>
            </w:r>
          </w:p>
        </w:tc>
        <w:tc>
          <w:tcPr>
            <w:tcW w:type="dxa" w:w="1656"/>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已完成</w:t>
            </w:r>
          </w:p>
        </w:tc>
        <w:tc>
          <w:tcPr>
            <w:tcW w:type="dxa" w:w="6120"/>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静态扫描与真实浏览器持久化攻击测试通过</w:t>
            </w:r>
          </w:p>
        </w:tc>
      </w:tr>
      <w:tr>
        <w:trPr>
          <w:cantSplit/>
        </w:trPr>
        <w:tc>
          <w:tcPr>
            <w:tcW w:type="dxa" w:w="2088"/>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19 运维监控拆分</w:t>
            </w:r>
          </w:p>
        </w:tc>
        <w:tc>
          <w:tcPr>
            <w:tcW w:type="dxa" w:w="1656"/>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已完成</w:t>
            </w:r>
          </w:p>
        </w:tc>
        <w:tc>
          <w:tcPr>
            <w:tcW w:type="dxa" w:w="6120"/>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数据质量失败不再阻止网站、数据库、Storage 和 Functions 检查</w:t>
            </w:r>
          </w:p>
        </w:tc>
      </w:tr>
      <w:tr>
        <w:trPr>
          <w:cantSplit/>
        </w:trPr>
        <w:tc>
          <w:tcPr>
            <w:tcW w:type="dxa" w:w="2088"/>
            <w:shd w:fill="F3F6F8"/>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20 收费闭环</w:t>
            </w:r>
          </w:p>
        </w:tc>
        <w:tc>
          <w:tcPr>
            <w:tcW w:type="dxa" w:w="1656"/>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未完成</w:t>
            </w:r>
          </w:p>
        </w:tc>
        <w:tc>
          <w:tcPr>
            <w:tcW w:type="dxa" w:w="6120"/>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 xml:space="preserve">Stripe Functions 已部署，但 </w:t>
            </w:r>
            <w:r>
              <w:rPr>
                <w:rFonts w:ascii="Consolas" w:hAnsi="Consolas" w:eastAsia="Consolas"/>
                <w:color w:val="38434A"/>
                <w:sz w:val="17"/>
              </w:rPr>
              <w:t>BILLING_ENABLED=false</w:t>
            </w:r>
          </w:p>
        </w:tc>
      </w:tr>
      <w:tr>
        <w:trPr>
          <w:cantSplit/>
        </w:trPr>
        <w:tc>
          <w:tcPr>
            <w:tcW w:type="dxa" w:w="2088"/>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21 团队协作</w:t>
            </w:r>
          </w:p>
        </w:tc>
        <w:tc>
          <w:tcPr>
            <w:tcW w:type="dxa" w:w="1656"/>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核心完成</w:t>
            </w:r>
          </w:p>
        </w:tc>
        <w:tc>
          <w:tcPr>
            <w:tcW w:type="dxa" w:w="6120"/>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工作区、角色、RLS 和 Resend 邀请可用；工作区级套餐尚未完成</w:t>
            </w:r>
          </w:p>
        </w:tc>
      </w:tr>
      <w:tr>
        <w:trPr>
          <w:cantSplit/>
        </w:trPr>
        <w:tc>
          <w:tcPr>
            <w:tcW w:type="dxa" w:w="2088"/>
            <w:shd w:fill="F3F6F8"/>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22 原始/正式数据隔离</w:t>
            </w:r>
          </w:p>
        </w:tc>
        <w:tc>
          <w:tcPr>
            <w:tcW w:type="dxa" w:w="1656"/>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Pages 已完成</w:t>
            </w:r>
          </w:p>
        </w:tc>
        <w:tc>
          <w:tcPr>
            <w:tcW w:type="dxa" w:w="6120"/>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Pages 不发布原始文件；公开 GitHub 仓库仍不是第三方付费原始数据的合适存储位置</w:t>
            </w:r>
          </w:p>
        </w:tc>
      </w:tr>
      <w:tr>
        <w:trPr>
          <w:cantSplit/>
        </w:trPr>
        <w:tc>
          <w:tcPr>
            <w:tcW w:type="dxa" w:w="2088"/>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23 数据库可重建</w:t>
            </w:r>
          </w:p>
        </w:tc>
        <w:tc>
          <w:tcPr>
            <w:tcW w:type="dxa" w:w="1656"/>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已完成</w:t>
            </w:r>
          </w:p>
        </w:tc>
        <w:tc>
          <w:tcPr>
            <w:tcW w:type="dxa" w:w="6120"/>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基础 SQL 已进入迁移链，生产迁移头已验证</w:t>
            </w:r>
          </w:p>
        </w:tc>
      </w:tr>
      <w:tr>
        <w:trPr>
          <w:cantSplit/>
        </w:trPr>
        <w:tc>
          <w:tcPr>
            <w:tcW w:type="dxa" w:w="2088"/>
            <w:shd w:fill="F3F6F8"/>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24 生产异常验收</w:t>
            </w:r>
          </w:p>
        </w:tc>
        <w:tc>
          <w:tcPr>
            <w:tcW w:type="dxa" w:w="1656"/>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功能完成、清理未完成</w:t>
            </w:r>
          </w:p>
        </w:tc>
        <w:tc>
          <w:tcPr>
            <w:tcW w:type="dxa" w:w="6120"/>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401、403、429、超时、额度、断网和幂等通过；验收数据需要自动清理</w:t>
            </w:r>
          </w:p>
        </w:tc>
      </w:tr>
    </w:tbl>
    <w:p>
      <w:pPr>
        <w:spacing w:after="20"/>
      </w:pPr>
    </w:p>
    <w:p>
      <w:pPr>
        <w:pStyle w:val="Heading2"/>
      </w:pPr>
      <w:r>
        <w:t>2 2 当前数据状态</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总体质量：</w:t>
      </w:r>
      <w:r>
        <w:rPr>
          <w:rFonts w:ascii="Consolas" w:hAnsi="Consolas" w:eastAsia="Consolas"/>
          <w:color w:val="38434A"/>
          <w:sz w:val="19"/>
        </w:rPr>
        <w:t>degraded</w:t>
      </w:r>
      <w:r>
        <w:rPr>
          <w:rFonts w:ascii="Microsoft YaHei" w:hAnsi="Microsoft YaHei" w:eastAsia="Microsoft YaHei"/>
          <w:color w:val="000000"/>
          <w:sz w:val="20"/>
        </w:rPr>
        <w:t>，但允许发布。</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正式数据：540 条。</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健康数据集：6 个。</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降级数据集：3 个。</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未接入数据集：税收与关税、市场准入。</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正式市场：美国。</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 xml:space="preserve">印尼：只有目录和结构，仍为 </w:t>
      </w:r>
      <w:r>
        <w:rPr>
          <w:rFonts w:ascii="Consolas" w:hAnsi="Consolas" w:eastAsia="Consolas"/>
          <w:color w:val="38434A"/>
          <w:sz w:val="19"/>
        </w:rPr>
        <w:t>schema_only</w:t>
      </w:r>
      <w:r>
        <w:rPr>
          <w:rFonts w:ascii="Microsoft YaHei" w:hAnsi="Microsoft YaHei" w:eastAsia="Microsoft YaHei"/>
          <w:color w:val="000000"/>
          <w:sz w:val="20"/>
        </w:rPr>
        <w:t>。</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AliExpress、eBay：没有自动规则采集器。</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Amazon：规则采集存在部分失败。</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商品、店铺和内容：目前主要依赖用户上传，没有完整的平台实时数据源。</w:t>
      </w:r>
    </w:p>
    <w:p>
      <w:pPr>
        <w:pStyle w:val="Heading1"/>
        <w:spacing w:before="320"/>
      </w:pPr>
      <w:r>
        <w:t>三 目标生产架构</w:t>
      </w:r>
    </w:p>
    <w:p>
      <w:pPr>
        <w:pStyle w:val="RoadmapCode"/>
      </w:pPr>
      <w:r>
        <w:rPr>
          <w:rFonts w:ascii="Consolas" w:hAnsi="Consolas" w:eastAsia="Consolas"/>
          <w:color w:val="28343A"/>
          <w:sz w:val="17"/>
        </w:rPr>
        <w:t>公众用户</w:t>
        <w:br/>
      </w:r>
      <w:r>
        <w:rPr>
          <w:rFonts w:ascii="Consolas" w:hAnsi="Consolas" w:eastAsia="Consolas"/>
          <w:color w:val="28343A"/>
          <w:sz w:val="17"/>
        </w:rPr>
        <w:t xml:space="preserve">   |</w:t>
        <w:br/>
      </w:r>
      <w:r>
        <w:rPr>
          <w:rFonts w:ascii="Consolas" w:hAnsi="Consolas" w:eastAsia="Consolas"/>
          <w:color w:val="28343A"/>
          <w:sz w:val="17"/>
        </w:rPr>
        <w:t xml:space="preserve">   v</w:t>
        <w:br/>
      </w:r>
      <w:r>
        <w:rPr>
          <w:rFonts w:ascii="Consolas" w:hAnsi="Consolas" w:eastAsia="Consolas"/>
          <w:color w:val="28343A"/>
          <w:sz w:val="17"/>
        </w:rPr>
        <w:t>GitHub Pages / CDN 前端</w:t>
        <w:br/>
      </w:r>
      <w:r>
        <w:rPr>
          <w:rFonts w:ascii="Consolas" w:hAnsi="Consolas" w:eastAsia="Consolas"/>
          <w:color w:val="28343A"/>
          <w:sz w:val="17"/>
        </w:rPr>
        <w:t xml:space="preserve">   |</w:t>
        <w:br/>
      </w:r>
      <w:r>
        <w:rPr>
          <w:rFonts w:ascii="Consolas" w:hAnsi="Consolas" w:eastAsia="Consolas"/>
          <w:color w:val="28343A"/>
          <w:sz w:val="17"/>
        </w:rPr>
        <w:t xml:space="preserve">   +--&gt; Supabase Auth：注册、登录、密码和会话</w:t>
        <w:br/>
      </w:r>
      <w:r>
        <w:rPr>
          <w:rFonts w:ascii="Consolas" w:hAnsi="Consolas" w:eastAsia="Consolas"/>
          <w:color w:val="28343A"/>
          <w:sz w:val="17"/>
        </w:rPr>
        <w:t xml:space="preserve">   +--&gt; Supabase PostgreSQL：业务数据、工作区、历史情报、课程进度</w:t>
        <w:br/>
      </w:r>
      <w:r>
        <w:rPr>
          <w:rFonts w:ascii="Consolas" w:hAnsi="Consolas" w:eastAsia="Consolas"/>
          <w:color w:val="28343A"/>
          <w:sz w:val="17"/>
        </w:rPr>
        <w:t xml:space="preserve">   +--&gt; Supabase Storage：报告、附件、图片和受控下载</w:t>
        <w:br/>
      </w:r>
      <w:r>
        <w:rPr>
          <w:rFonts w:ascii="Consolas" w:hAnsi="Consolas" w:eastAsia="Consolas"/>
          <w:color w:val="28343A"/>
          <w:sz w:val="17"/>
        </w:rPr>
        <w:t xml:space="preserve">   +--&gt; Edge Functions：AI Gateway、报告、邀请、支付和通知</w:t>
        <w:br/>
      </w:r>
      <w:r>
        <w:rPr>
          <w:rFonts w:ascii="Consolas" w:hAnsi="Consolas" w:eastAsia="Consolas"/>
          <w:color w:val="28343A"/>
          <w:sz w:val="17"/>
        </w:rPr>
        <w:t xml:space="preserve">   |</w:t>
        <w:br/>
      </w:r>
      <w:r>
        <w:rPr>
          <w:rFonts w:ascii="Consolas" w:hAnsi="Consolas" w:eastAsia="Consolas"/>
          <w:color w:val="28343A"/>
          <w:sz w:val="17"/>
        </w:rPr>
        <w:t xml:space="preserve">   v</w:t>
        <w:br/>
      </w:r>
      <w:r>
        <w:rPr>
          <w:rFonts w:ascii="Consolas" w:hAnsi="Consolas" w:eastAsia="Consolas"/>
          <w:color w:val="28343A"/>
          <w:sz w:val="17"/>
        </w:rPr>
        <w:t>独立数据采集 Worker</w:t>
        <w:br/>
      </w:r>
      <w:r>
        <w:rPr>
          <w:rFonts w:ascii="Consolas" w:hAnsi="Consolas" w:eastAsia="Consolas"/>
          <w:color w:val="28343A"/>
          <w:sz w:val="17"/>
        </w:rPr>
        <w:t xml:space="preserve">   +--&gt; 官方 API：Federal Register、CPSC、FRED/BLS 等</w:t>
        <w:br/>
      </w:r>
      <w:r>
        <w:rPr>
          <w:rFonts w:ascii="Consolas" w:hAnsi="Consolas" w:eastAsia="Consolas"/>
          <w:color w:val="28343A"/>
          <w:sz w:val="17"/>
        </w:rPr>
        <w:t xml:space="preserve">   +--&gt; 平台公告和规则页</w:t>
        <w:br/>
      </w:r>
      <w:r>
        <w:rPr>
          <w:rFonts w:ascii="Consolas" w:hAnsi="Consolas" w:eastAsia="Consolas"/>
          <w:color w:val="28343A"/>
          <w:sz w:val="17"/>
        </w:rPr>
        <w:t xml:space="preserve">   +--&gt; TikHub 等第三方 API</w:t>
        <w:br/>
      </w:r>
      <w:r>
        <w:rPr>
          <w:rFonts w:ascii="Consolas" w:hAnsi="Consolas" w:eastAsia="Consolas"/>
          <w:color w:val="28343A"/>
          <w:sz w:val="17"/>
        </w:rPr>
        <w:t xml:space="preserve">   +--&gt; 历史回填、增量采集、失败重试和费用控制</w:t>
        <w:br/>
      </w:r>
      <w:r>
        <w:rPr>
          <w:rFonts w:ascii="Consolas" w:hAnsi="Consolas" w:eastAsia="Consolas"/>
          <w:color w:val="28343A"/>
          <w:sz w:val="17"/>
        </w:rPr>
        <w:t xml:space="preserve">   |</w:t>
        <w:br/>
      </w:r>
      <w:r>
        <w:rPr>
          <w:rFonts w:ascii="Consolas" w:hAnsi="Consolas" w:eastAsia="Consolas"/>
          <w:color w:val="28343A"/>
          <w:sz w:val="17"/>
        </w:rPr>
        <w:t xml:space="preserve">   v</w:t>
        <w:br/>
      </w:r>
      <w:r>
        <w:rPr>
          <w:rFonts w:ascii="Consolas" w:hAnsi="Consolas" w:eastAsia="Consolas"/>
          <w:color w:val="28343A"/>
          <w:sz w:val="17"/>
        </w:rPr>
        <w:t>私有原始层 -&gt; 标准历史层 -&gt; 正式发布层 -&gt; 搜索/页面/AI 报告</w:t>
      </w:r>
    </w:p>
    <w:p>
      <w:pPr>
        <w:jc w:val="both"/>
      </w:pPr>
      <w:r>
        <w:rPr>
          <w:rFonts w:ascii="Microsoft YaHei" w:hAnsi="Microsoft YaHei" w:eastAsia="Microsoft YaHei"/>
          <w:color w:val="000000"/>
          <w:sz w:val="21"/>
        </w:rPr>
        <w:t>前期不需要购买和维护传统网站服务器。GitHub Pages 和 Supabase 已经承担前端、数据库、认证、文件和 API 服务。接入大量历史数据和 TikHub 后，需要增加一个独立采集 Worker，但它可以运行在 Cloud Run、函数计算或其他托管容器中，不必购买物理服务器。</w:t>
      </w:r>
    </w:p>
    <w:p>
      <w:pPr>
        <w:pStyle w:val="Heading1"/>
        <w:spacing w:before="320"/>
      </w:pPr>
      <w:r>
        <w:t>四 数据存储边界</w:t>
      </w:r>
    </w:p>
    <w:tbl>
      <w:tblPr>
        <w:tblW w:type="dxa" w:w="9936"/>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1800"/>
            <w:shd w:fill="24445C"/>
            <w:tcMar>
              <w:top w:w="110" w:type="dxa"/>
              <w:start w:w="120" w:type="dxa"/>
              <w:bottom w:w="110" w:type="dxa"/>
              <w:end w:w="120" w:type="dxa"/>
            </w:tcMar>
            <w:vAlign w:val="center"/>
          </w:tcPr>
          <w:p>
            <w:pPr>
              <w:spacing w:after="0"/>
              <w:jc w:val="center"/>
            </w:pPr>
            <w:r>
              <w:rPr>
                <w:rFonts w:ascii="Microsoft YaHei" w:hAnsi="Microsoft YaHei" w:eastAsia="Microsoft YaHei"/>
                <w:b/>
                <w:color w:val="FFFFFF"/>
                <w:sz w:val="18"/>
              </w:rPr>
              <w:t>数据</w:t>
            </w:r>
          </w:p>
        </w:tc>
        <w:tc>
          <w:tcPr>
            <w:tcW w:type="dxa" w:w="2376"/>
            <w:shd w:fill="24445C"/>
            <w:tcMar>
              <w:top w:w="110" w:type="dxa"/>
              <w:start w:w="120" w:type="dxa"/>
              <w:bottom w:w="110" w:type="dxa"/>
              <w:end w:w="120" w:type="dxa"/>
            </w:tcMar>
            <w:vAlign w:val="center"/>
          </w:tcPr>
          <w:p>
            <w:pPr>
              <w:spacing w:after="0"/>
              <w:jc w:val="center"/>
            </w:pPr>
            <w:r>
              <w:rPr>
                <w:rFonts w:ascii="Microsoft YaHei" w:hAnsi="Microsoft YaHei" w:eastAsia="Microsoft YaHei"/>
                <w:b/>
                <w:color w:val="FFFFFF"/>
                <w:sz w:val="18"/>
              </w:rPr>
              <w:t>推荐位置</w:t>
            </w:r>
          </w:p>
        </w:tc>
        <w:tc>
          <w:tcPr>
            <w:tcW w:type="dxa" w:w="3240"/>
            <w:shd w:fill="24445C"/>
            <w:tcMar>
              <w:top w:w="110" w:type="dxa"/>
              <w:start w:w="120" w:type="dxa"/>
              <w:bottom w:w="110" w:type="dxa"/>
              <w:end w:w="120" w:type="dxa"/>
            </w:tcMar>
            <w:vAlign w:val="center"/>
          </w:tcPr>
          <w:p>
            <w:pPr>
              <w:spacing w:after="0"/>
              <w:jc w:val="center"/>
            </w:pPr>
            <w:r>
              <w:rPr>
                <w:rFonts w:ascii="Microsoft YaHei" w:hAnsi="Microsoft YaHei" w:eastAsia="Microsoft YaHei"/>
                <w:b/>
                <w:color w:val="FFFFFF"/>
                <w:sz w:val="18"/>
              </w:rPr>
              <w:t>保留方式</w:t>
            </w:r>
          </w:p>
        </w:tc>
        <w:tc>
          <w:tcPr>
            <w:tcW w:type="dxa" w:w="2520"/>
            <w:shd w:fill="24445C"/>
            <w:tcMar>
              <w:top w:w="110" w:type="dxa"/>
              <w:start w:w="120" w:type="dxa"/>
              <w:bottom w:w="110" w:type="dxa"/>
              <w:end w:w="120" w:type="dxa"/>
            </w:tcMar>
            <w:vAlign w:val="center"/>
          </w:tcPr>
          <w:p>
            <w:pPr>
              <w:spacing w:after="0"/>
              <w:jc w:val="center"/>
            </w:pPr>
            <w:r>
              <w:rPr>
                <w:rFonts w:ascii="Microsoft YaHei" w:hAnsi="Microsoft YaHei" w:eastAsia="Microsoft YaHei"/>
                <w:b/>
                <w:color w:val="FFFFFF"/>
                <w:sz w:val="18"/>
              </w:rPr>
              <w:t>访问边界</w:t>
            </w:r>
          </w:p>
        </w:tc>
      </w:tr>
      <w:tr>
        <w:trPr>
          <w:cantSplit/>
        </w:trPr>
        <w:tc>
          <w:tcPr>
            <w:tcW w:type="dxa" w:w="1800"/>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账号、邮箱、资料</w:t>
            </w:r>
          </w:p>
        </w:tc>
        <w:tc>
          <w:tcPr>
            <w:tcW w:type="dxa" w:w="2376"/>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Supabase Auth + PostgreSQL</w:t>
            </w:r>
          </w:p>
        </w:tc>
        <w:tc>
          <w:tcPr>
            <w:tcW w:type="dxa" w:w="3240"/>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账号有效期内保留，支持删除</w:t>
            </w:r>
          </w:p>
        </w:tc>
        <w:tc>
          <w:tcPr>
            <w:tcW w:type="dxa" w:w="2520"/>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仅本人和服务端管理员</w:t>
            </w:r>
          </w:p>
        </w:tc>
      </w:tr>
      <w:tr>
        <w:trPr>
          <w:cantSplit/>
        </w:trPr>
        <w:tc>
          <w:tcPr>
            <w:tcW w:type="dxa" w:w="1800"/>
            <w:shd w:fill="F3F6F8"/>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工作区、成员、角色</w:t>
            </w:r>
          </w:p>
        </w:tc>
        <w:tc>
          <w:tcPr>
            <w:tcW w:type="dxa" w:w="2376"/>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PostgreSQL</w:t>
            </w:r>
          </w:p>
        </w:tc>
        <w:tc>
          <w:tcPr>
            <w:tcW w:type="dxa" w:w="3240"/>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长期保留成员操作历史</w:t>
            </w:r>
          </w:p>
        </w:tc>
        <w:tc>
          <w:tcPr>
            <w:tcW w:type="dxa" w:w="2520"/>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工作区成员；管理操作限 owner/admin</w:t>
            </w:r>
          </w:p>
        </w:tc>
      </w:tr>
      <w:tr>
        <w:trPr>
          <w:cantSplit/>
        </w:trPr>
        <w:tc>
          <w:tcPr>
            <w:tcW w:type="dxa" w:w="1800"/>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商品、店铺、内容标准记录</w:t>
            </w:r>
          </w:p>
        </w:tc>
        <w:tc>
          <w:tcPr>
            <w:tcW w:type="dxa" w:w="2376"/>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PostgreSQL</w:t>
            </w:r>
          </w:p>
        </w:tc>
        <w:tc>
          <w:tcPr>
            <w:tcW w:type="dxa" w:w="3240"/>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当前记录 + 时间序列快照</w:t>
            </w:r>
          </w:p>
        </w:tc>
        <w:tc>
          <w:tcPr>
            <w:tcW w:type="dxa" w:w="2520"/>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按工作区或数据授权范围</w:t>
            </w:r>
          </w:p>
        </w:tc>
      </w:tr>
      <w:tr>
        <w:trPr>
          <w:cantSplit/>
        </w:trPr>
        <w:tc>
          <w:tcPr>
            <w:tcW w:type="dxa" w:w="1800"/>
            <w:shd w:fill="F3F6F8"/>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用户上传原文件</w:t>
            </w:r>
          </w:p>
        </w:tc>
        <w:tc>
          <w:tcPr>
            <w:tcW w:type="dxa" w:w="2376"/>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私有 Storage</w:t>
            </w:r>
          </w:p>
        </w:tc>
        <w:tc>
          <w:tcPr>
            <w:tcW w:type="dxa" w:w="3240"/>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设置保留期和删除入口</w:t>
            </w:r>
          </w:p>
        </w:tc>
        <w:tc>
          <w:tcPr>
            <w:tcW w:type="dxa" w:w="2520"/>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仅对应工作区</w:t>
            </w:r>
          </w:p>
        </w:tc>
      </w:tr>
      <w:tr>
        <w:trPr>
          <w:cantSplit/>
        </w:trPr>
        <w:tc>
          <w:tcPr>
            <w:tcW w:type="dxa" w:w="1800"/>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报告素材和正文</w:t>
            </w:r>
          </w:p>
        </w:tc>
        <w:tc>
          <w:tcPr>
            <w:tcW w:type="dxa" w:w="2376"/>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PostgreSQL</w:t>
            </w:r>
          </w:p>
        </w:tc>
        <w:tc>
          <w:tcPr>
            <w:tcW w:type="dxa" w:w="3240"/>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用户主动删除前保留</w:t>
            </w:r>
          </w:p>
        </w:tc>
        <w:tc>
          <w:tcPr>
            <w:tcW w:type="dxa" w:w="2520"/>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仅对应工作区</w:t>
            </w:r>
          </w:p>
        </w:tc>
      </w:tr>
      <w:tr>
        <w:trPr>
          <w:cantSplit/>
        </w:trPr>
        <w:tc>
          <w:tcPr>
            <w:tcW w:type="dxa" w:w="1800"/>
            <w:shd w:fill="F3F6F8"/>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PDF/DOCX</w:t>
            </w:r>
          </w:p>
        </w:tc>
        <w:tc>
          <w:tcPr>
            <w:tcW w:type="dxa" w:w="2376"/>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私有 Storage</w:t>
            </w:r>
          </w:p>
        </w:tc>
        <w:tc>
          <w:tcPr>
            <w:tcW w:type="dxa" w:w="3240"/>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与报告生命周期一致</w:t>
            </w:r>
          </w:p>
        </w:tc>
        <w:tc>
          <w:tcPr>
            <w:tcW w:type="dxa" w:w="2520"/>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临时签名 URL，不公开文件地址</w:t>
            </w:r>
          </w:p>
        </w:tc>
      </w:tr>
      <w:tr>
        <w:trPr>
          <w:cantSplit/>
        </w:trPr>
        <w:tc>
          <w:tcPr>
            <w:tcW w:type="dxa" w:w="1800"/>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政策和平台规则原文</w:t>
            </w:r>
          </w:p>
        </w:tc>
        <w:tc>
          <w:tcPr>
            <w:tcW w:type="dxa" w:w="2376"/>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私有原始层</w:t>
            </w:r>
          </w:p>
        </w:tc>
        <w:tc>
          <w:tcPr>
            <w:tcW w:type="dxa" w:w="3240"/>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追加保存，不覆盖</w:t>
            </w:r>
          </w:p>
        </w:tc>
        <w:tc>
          <w:tcPr>
            <w:tcW w:type="dxa" w:w="2520"/>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服务端和审计人员</w:t>
            </w:r>
          </w:p>
        </w:tc>
      </w:tr>
      <w:tr>
        <w:trPr>
          <w:cantSplit/>
        </w:trPr>
        <w:tc>
          <w:tcPr>
            <w:tcW w:type="dxa" w:w="1800"/>
            <w:shd w:fill="F3F6F8"/>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已核验政策和规则</w:t>
            </w:r>
          </w:p>
        </w:tc>
        <w:tc>
          <w:tcPr>
            <w:tcW w:type="dxa" w:w="2376"/>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正式历史表</w:t>
            </w:r>
          </w:p>
        </w:tc>
        <w:tc>
          <w:tcPr>
            <w:tcW w:type="dxa" w:w="3240"/>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版本化长期保存</w:t>
            </w:r>
          </w:p>
        </w:tc>
        <w:tc>
          <w:tcPr>
            <w:tcW w:type="dxa" w:w="2520"/>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可公开查询</w:t>
            </w:r>
          </w:p>
        </w:tc>
      </w:tr>
      <w:tr>
        <w:trPr>
          <w:cantSplit/>
        </w:trPr>
        <w:tc>
          <w:tcPr>
            <w:tcW w:type="dxa" w:w="1800"/>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TikHub 原始响应</w:t>
            </w:r>
          </w:p>
        </w:tc>
        <w:tc>
          <w:tcPr>
            <w:tcW w:type="dxa" w:w="2376"/>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私有数据库/Storage</w:t>
            </w:r>
          </w:p>
        </w:tc>
        <w:tc>
          <w:tcPr>
            <w:tcW w:type="dxa" w:w="3240"/>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按合同允许期限保留</w:t>
            </w:r>
          </w:p>
        </w:tc>
        <w:tc>
          <w:tcPr>
            <w:tcW w:type="dxa" w:w="2520"/>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不进入公开仓库</w:t>
            </w:r>
          </w:p>
        </w:tc>
      </w:tr>
      <w:tr>
        <w:trPr>
          <w:cantSplit/>
        </w:trPr>
        <w:tc>
          <w:tcPr>
            <w:tcW w:type="dxa" w:w="1800"/>
            <w:shd w:fill="F3F6F8"/>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AI 请求日志</w:t>
            </w:r>
          </w:p>
        </w:tc>
        <w:tc>
          <w:tcPr>
            <w:tcW w:type="dxa" w:w="2376"/>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PostgreSQL</w:t>
            </w:r>
          </w:p>
        </w:tc>
        <w:tc>
          <w:tcPr>
            <w:tcW w:type="dxa" w:w="3240"/>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建议 90-180 天</w:t>
            </w:r>
          </w:p>
        </w:tc>
        <w:tc>
          <w:tcPr>
            <w:tcW w:type="dxa" w:w="2520"/>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本人用量摘要、管理员运维详情</w:t>
            </w:r>
          </w:p>
        </w:tc>
      </w:tr>
      <w:tr>
        <w:trPr>
          <w:cantSplit/>
        </w:trPr>
        <w:tc>
          <w:tcPr>
            <w:tcW w:type="dxa" w:w="1800"/>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AI Prompt 和完整回答</w:t>
            </w:r>
          </w:p>
        </w:tc>
        <w:tc>
          <w:tcPr>
            <w:tcW w:type="dxa" w:w="2376"/>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默认不进入运维日志</w:t>
            </w:r>
          </w:p>
        </w:tc>
        <w:tc>
          <w:tcPr>
            <w:tcW w:type="dxa" w:w="3240"/>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报告正文按用户授权保存</w:t>
            </w:r>
          </w:p>
        </w:tc>
        <w:tc>
          <w:tcPr>
            <w:tcW w:type="dxa" w:w="2520"/>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仅对应工作区</w:t>
            </w:r>
          </w:p>
        </w:tc>
      </w:tr>
      <w:tr>
        <w:trPr>
          <w:cantSplit/>
        </w:trPr>
        <w:tc>
          <w:tcPr>
            <w:tcW w:type="dxa" w:w="1800"/>
            <w:shd w:fill="F3F6F8"/>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课程视频</w:t>
            </w:r>
          </w:p>
        </w:tc>
        <w:tc>
          <w:tcPr>
            <w:tcW w:type="dxa" w:w="2376"/>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专业视频云或私有对象存储</w:t>
            </w:r>
          </w:p>
        </w:tc>
        <w:tc>
          <w:tcPr>
            <w:tcW w:type="dxa" w:w="3240"/>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按课程版权策略</w:t>
            </w:r>
          </w:p>
        </w:tc>
        <w:tc>
          <w:tcPr>
            <w:tcW w:type="dxa" w:w="2520"/>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按课程、套餐和账号权限</w:t>
            </w:r>
          </w:p>
        </w:tc>
      </w:tr>
      <w:tr>
        <w:trPr>
          <w:cantSplit/>
        </w:trPr>
        <w:tc>
          <w:tcPr>
            <w:tcW w:type="dxa" w:w="1800"/>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课程目录和学习进度</w:t>
            </w:r>
          </w:p>
        </w:tc>
        <w:tc>
          <w:tcPr>
            <w:tcW w:type="dxa" w:w="2376"/>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PostgreSQL</w:t>
            </w:r>
          </w:p>
        </w:tc>
        <w:tc>
          <w:tcPr>
            <w:tcW w:type="dxa" w:w="3240"/>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长期保留，允许用户删除</w:t>
            </w:r>
          </w:p>
        </w:tc>
        <w:tc>
          <w:tcPr>
            <w:tcW w:type="dxa" w:w="2520"/>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本人、教师和授权管理员</w:t>
            </w:r>
          </w:p>
        </w:tc>
      </w:tr>
      <w:tr>
        <w:trPr>
          <w:cantSplit/>
        </w:trPr>
        <w:tc>
          <w:tcPr>
            <w:tcW w:type="dxa" w:w="1800"/>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API Key 和 Webhook 密钥</w:t>
            </w:r>
          </w:p>
        </w:tc>
        <w:tc>
          <w:tcPr>
            <w:tcW w:type="dxa" w:w="2376"/>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Supabase Secrets/Worker Secrets</w:t>
            </w:r>
          </w:p>
        </w:tc>
        <w:tc>
          <w:tcPr>
            <w:tcW w:type="dxa" w:w="3240"/>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定期轮换</w:t>
            </w:r>
          </w:p>
        </w:tc>
        <w:tc>
          <w:tcPr>
            <w:tcW w:type="dxa" w:w="2520"/>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仅服务端</w:t>
            </w:r>
          </w:p>
        </w:tc>
      </w:tr>
      <w:tr>
        <w:trPr>
          <w:cantSplit/>
        </w:trPr>
        <w:tc>
          <w:tcPr>
            <w:tcW w:type="dxa" w:w="1800"/>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Pages 静态 JSON</w:t>
            </w:r>
          </w:p>
        </w:tc>
        <w:tc>
          <w:tcPr>
            <w:tcW w:type="dxa" w:w="2376"/>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GitHub Pages 白名单</w:t>
            </w:r>
          </w:p>
        </w:tc>
        <w:tc>
          <w:tcPr>
            <w:tcW w:type="dxa" w:w="3240"/>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只保存可公开正式投影</w:t>
            </w:r>
          </w:p>
        </w:tc>
        <w:tc>
          <w:tcPr>
            <w:tcW w:type="dxa" w:w="2520"/>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公众可读</w:t>
            </w:r>
          </w:p>
        </w:tc>
      </w:tr>
    </w:tbl>
    <w:p>
      <w:pPr>
        <w:spacing w:after="20"/>
      </w:pPr>
    </w:p>
    <w:p>
      <w:pPr>
        <w:pStyle w:val="Heading1"/>
        <w:spacing w:before="320"/>
      </w:pPr>
      <w:r>
        <w:t>五 按顺序执行的修复与建设步骤</w:t>
      </w:r>
    </w:p>
    <w:p>
      <w:pPr>
        <w:pStyle w:val="Heading2"/>
      </w:pPr>
      <w:r>
        <w:t>阶段 A 公众内测阻断项 P0</w:t>
      </w:r>
    </w:p>
    <w:p>
      <w:pPr>
        <w:pStyle w:val="Heading3"/>
      </w:pPr>
      <w:r>
        <w:t>步骤 1 隔离并清理生产验收数据</w:t>
      </w:r>
    </w:p>
    <w:p>
      <w:pPr>
        <w:pStyle w:val="RoadmapLabel"/>
      </w:pPr>
      <w:r>
        <w:t>目标</w:t>
      </w:r>
    </w:p>
    <w:p>
      <w:pPr>
        <w:jc w:val="both"/>
      </w:pPr>
      <w:r>
        <w:rPr>
          <w:rFonts w:ascii="Microsoft YaHei" w:hAnsi="Microsoft YaHei" w:eastAsia="Microsoft YaHei"/>
          <w:color w:val="000000"/>
          <w:sz w:val="21"/>
        </w:rPr>
        <w:t>生产自动验收不能继续在正常工作区留下“生产浏览验收商品”、素材、报告、导出和邀请记录。</w:t>
      </w:r>
    </w:p>
    <w:p>
      <w:pPr>
        <w:pStyle w:val="RoadmapLabel"/>
      </w:pPr>
      <w:r>
        <w:t>需要修改</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为验收账号创建独立测试工作区。</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 xml:space="preserve">每次运行生成统一 </w:t>
      </w:r>
      <w:r>
        <w:rPr>
          <w:rFonts w:ascii="Consolas" w:hAnsi="Consolas" w:eastAsia="Consolas"/>
          <w:color w:val="38434A"/>
          <w:sz w:val="19"/>
        </w:rPr>
        <w:t>acceptance_run_id</w:t>
      </w:r>
      <w:r>
        <w:rPr>
          <w:rFonts w:ascii="Microsoft YaHei" w:hAnsi="Microsoft YaHei" w:eastAsia="Microsoft YaHei"/>
          <w:color w:val="000000"/>
          <w:sz w:val="20"/>
        </w:rPr>
        <w:t>。</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商品上传、素材、报告、导出、邀请和运行日志都记录该标识。</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在成功、失败和超时三种结束路径执行补偿清理。</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增加定时清理超过保留期的验收数据。</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验收结果只保存必要的 ID、状态和错误，不保存测试报告全文。</w:t>
      </w:r>
    </w:p>
    <w:p>
      <w:pPr>
        <w:pStyle w:val="RoadmapLabel"/>
      </w:pPr>
      <w:r>
        <w:t>完成标准</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连续运行三次生产验收，业务工作区没有新增测试商品或报告。</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人为中断一次验收，下一次运行能识别并清理遗留数据。</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不影响账号隔离和团队协作验收。</w:t>
      </w:r>
    </w:p>
    <w:p>
      <w:pPr>
        <w:pStyle w:val="Heading3"/>
      </w:pPr>
      <w:r>
        <w:t>步骤 2 修复决策总览 AI 助手</w:t>
      </w:r>
    </w:p>
    <w:p>
      <w:pPr>
        <w:pStyle w:val="RoadmapLabel"/>
      </w:pPr>
      <w:r>
        <w:t>目标</w:t>
      </w:r>
    </w:p>
    <w:p>
      <w:pPr>
        <w:jc w:val="both"/>
      </w:pPr>
      <w:r>
        <w:rPr>
          <w:rFonts w:ascii="Microsoft YaHei" w:hAnsi="Microsoft YaHei" w:eastAsia="Microsoft YaHei"/>
          <w:color w:val="000000"/>
          <w:sz w:val="21"/>
        </w:rPr>
        <w:t>决策总览与 AI 报告使用同一稳定调用契约，用户能够看到真实失败原因。</w:t>
      </w:r>
    </w:p>
    <w:p>
      <w:pPr>
        <w:pStyle w:val="RoadmapLabel"/>
      </w:pPr>
      <w:r>
        <w:t>当前问题</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总览使用联网搜索并只等待 20 秒。</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报告不联网并等待 60 秒。</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总览捕获错误后只显示通用失败提示。</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当前服务端实际只有 DeepSeek，不是多 AI。</w:t>
      </w:r>
    </w:p>
    <w:p>
      <w:pPr>
        <w:pStyle w:val="RoadmapLabel"/>
      </w:pPr>
      <w:r>
        <w:t>需要修改</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 xml:space="preserve">建立统一 </w:t>
      </w:r>
      <w:r>
        <w:rPr>
          <w:rFonts w:ascii="Consolas" w:hAnsi="Consolas" w:eastAsia="Consolas"/>
          <w:color w:val="38434A"/>
          <w:sz w:val="19"/>
        </w:rPr>
        <w:t>ai-gateway</w:t>
      </w:r>
      <w:r>
        <w:rPr>
          <w:rFonts w:ascii="Microsoft YaHei" w:hAnsi="Microsoft YaHei" w:eastAsia="Microsoft YaHei"/>
          <w:color w:val="000000"/>
          <w:sz w:val="20"/>
        </w:rPr>
        <w:t xml:space="preserve"> 请求格式。</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总览默认先使用本地正式数据 RAG，再决定是否联网。</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联网搜索不可用时自动回退到无搜索请求。</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客户端超时与服务端超时统一，建议 60 秒。</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页面显示错误类型、请求编号、供应商和重试建议。</w:t>
      </w:r>
    </w:p>
    <w:p>
      <w:pPr>
        <w:spacing w:after="60"/>
        <w:ind w:left="461" w:hanging="317"/>
      </w:pPr>
      <w:r>
        <w:rPr>
          <w:rFonts w:ascii="Microsoft YaHei" w:hAnsi="Microsoft YaHei" w:eastAsia="Microsoft YaHei"/>
          <w:b w:val="0"/>
          <w:color w:val="000000"/>
          <w:sz w:val="20"/>
        </w:rPr>
        <w:t xml:space="preserve">• </w:t>
      </w:r>
      <w:r>
        <w:rPr>
          <w:rFonts w:ascii="Consolas" w:hAnsi="Consolas" w:eastAsia="Consolas"/>
          <w:color w:val="38434A"/>
          <w:sz w:val="19"/>
        </w:rPr>
        <w:t>ai_request_logs</w:t>
      </w:r>
      <w:r>
        <w:rPr>
          <w:rFonts w:ascii="Microsoft YaHei" w:hAnsi="Microsoft YaHei" w:eastAsia="Microsoft YaHei"/>
          <w:color w:val="000000"/>
          <w:sz w:val="20"/>
        </w:rPr>
        <w:t xml:space="preserve"> 增加功能入口字段，例如 </w:t>
      </w:r>
      <w:r>
        <w:rPr>
          <w:rFonts w:ascii="Consolas" w:hAnsi="Consolas" w:eastAsia="Consolas"/>
          <w:color w:val="38434A"/>
          <w:sz w:val="19"/>
        </w:rPr>
        <w:t>overview.decision</w:t>
      </w:r>
      <w:r>
        <w:rPr>
          <w:rFonts w:ascii="Microsoft YaHei" w:hAnsi="Microsoft YaHei" w:eastAsia="Microsoft YaHei"/>
          <w:color w:val="000000"/>
          <w:sz w:val="20"/>
        </w:rPr>
        <w:t>。</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对 401、402、403、429、网络中断、供应商超时和空响应增加浏览器测试。</w:t>
      </w:r>
    </w:p>
    <w:p>
      <w:pPr>
        <w:pStyle w:val="RoadmapLabel"/>
      </w:pPr>
      <w:r>
        <w:t>完成标准</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同一账号在两台电脑使用同一问题能正常获得结果。</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DeepSeek 不支持联网参数时仍能返回基于系统数据的回答。</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所有失败都显示可理解原因，后台可通过请求编号定位日志。</w:t>
      </w:r>
    </w:p>
    <w:p>
      <w:pPr>
        <w:pStyle w:val="Heading3"/>
      </w:pPr>
      <w:r>
        <w:t>步骤 3 修复跨账号报告权限和体验</w:t>
      </w:r>
    </w:p>
    <w:p>
      <w:pPr>
        <w:pStyle w:val="RoadmapLabel"/>
      </w:pPr>
      <w:r>
        <w:t>目标</w:t>
      </w:r>
    </w:p>
    <w:p>
      <w:pPr>
        <w:jc w:val="both"/>
      </w:pPr>
      <w:r>
        <w:rPr>
          <w:rFonts w:ascii="Microsoft YaHei" w:hAnsi="Microsoft YaHei" w:eastAsia="Microsoft YaHei"/>
          <w:color w:val="000000"/>
          <w:sz w:val="21"/>
        </w:rPr>
        <w:t>明确区分“成员角色”“工作区套餐”和“报告所有权”，让受邀成员在不同电脑上得到一致行为。</w:t>
      </w:r>
    </w:p>
    <w:p>
      <w:pPr>
        <w:pStyle w:val="RoadmapLabel"/>
      </w:pPr>
      <w:r>
        <w:t>需要修改</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邀请时要求管理员主动确认角色，不依赖默认“查看者”。</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查看者只能查看；编辑者可以添加素材、生成和保存报告；管理员可以管理成员。</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报告列表明确显示创建人、所属工作区和当前用户可执行操作。</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共享报告导出不能因为创建人不同而找不到记录。</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登录、刷新、退出重登和切换电脑后重新加载工作区、素材、报告和权限。</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对生成失败、保存失败和导出失败分别显示错误，不使用同一通用提示。</w:t>
      </w:r>
    </w:p>
    <w:p>
      <w:pPr>
        <w:pStyle w:val="RoadmapLabel"/>
      </w:pPr>
      <w:r>
        <w:t>完成标准</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owner、admin、editor、viewer 四种角色各有独立自动化用例。</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editor 在第二台电脑可以生成、保存并重新打开报告。</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viewer 无法写入，但可以读取允许共享的报告。</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被移除成员刷新后立即失去访问权限。</w:t>
      </w:r>
    </w:p>
    <w:p>
      <w:pPr>
        <w:pStyle w:val="Heading3"/>
      </w:pPr>
      <w:r>
        <w:t>步骤 4 把套餐权益从个人账号升级为工作区权益</w:t>
      </w:r>
    </w:p>
    <w:p>
      <w:pPr>
        <w:pStyle w:val="RoadmapLabel"/>
      </w:pPr>
      <w:r>
        <w:t>目标</w:t>
      </w:r>
    </w:p>
    <w:p>
      <w:pPr>
        <w:jc w:val="both"/>
      </w:pPr>
      <w:r>
        <w:rPr>
          <w:rFonts w:ascii="Microsoft YaHei" w:hAnsi="Microsoft YaHei" w:eastAsia="Microsoft YaHei"/>
          <w:color w:val="000000"/>
          <w:sz w:val="21"/>
        </w:rPr>
        <w:t>团队购买一个套餐后，成员按照席位和角色共享 AI、报告及导出能力，不再要求每个受邀账号单独配置 Pro。</w:t>
      </w:r>
    </w:p>
    <w:p>
      <w:pPr>
        <w:pStyle w:val="RoadmapLabel"/>
      </w:pPr>
      <w:r>
        <w:t>需要修改</w:t>
      </w:r>
    </w:p>
    <w:p>
      <w:pPr>
        <w:spacing w:after="60"/>
        <w:ind w:left="461" w:hanging="317"/>
      </w:pPr>
      <w:r>
        <w:rPr>
          <w:rFonts w:ascii="Microsoft YaHei" w:hAnsi="Microsoft YaHei" w:eastAsia="Microsoft YaHei"/>
          <w:b w:val="0"/>
          <w:color w:val="000000"/>
          <w:sz w:val="20"/>
        </w:rPr>
        <w:t xml:space="preserve">• </w:t>
      </w:r>
      <w:r>
        <w:rPr>
          <w:rFonts w:ascii="Consolas" w:hAnsi="Consolas" w:eastAsia="Consolas"/>
          <w:color w:val="38434A"/>
          <w:sz w:val="19"/>
        </w:rPr>
        <w:t>user_subscriptions</w:t>
      </w:r>
      <w:r>
        <w:rPr>
          <w:rFonts w:ascii="Microsoft YaHei" w:hAnsi="Microsoft YaHei" w:eastAsia="Microsoft YaHei"/>
          <w:color w:val="000000"/>
          <w:sz w:val="20"/>
        </w:rPr>
        <w:t xml:space="preserve"> 演进为工作区订阅，或新增 </w:t>
      </w:r>
      <w:r>
        <w:rPr>
          <w:rFonts w:ascii="Consolas" w:hAnsi="Consolas" w:eastAsia="Consolas"/>
          <w:color w:val="38434A"/>
          <w:sz w:val="19"/>
        </w:rPr>
        <w:t>workspace_subscriptions</w:t>
      </w:r>
      <w:r>
        <w:rPr>
          <w:rFonts w:ascii="Microsoft YaHei" w:hAnsi="Microsoft YaHei" w:eastAsia="Microsoft YaHei"/>
          <w:color w:val="000000"/>
          <w:sz w:val="20"/>
        </w:rPr>
        <w:t>。</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增加套餐席位数、工作区月度额度和成员用量明细。</w:t>
      </w:r>
    </w:p>
    <w:p>
      <w:pPr>
        <w:spacing w:after="60"/>
        <w:ind w:left="461" w:hanging="317"/>
      </w:pPr>
      <w:r>
        <w:rPr>
          <w:rFonts w:ascii="Microsoft YaHei" w:hAnsi="Microsoft YaHei" w:eastAsia="Microsoft YaHei"/>
          <w:b w:val="0"/>
          <w:color w:val="000000"/>
          <w:sz w:val="20"/>
        </w:rPr>
        <w:t xml:space="preserve">• </w:t>
      </w:r>
      <w:r>
        <w:rPr>
          <w:rFonts w:ascii="Consolas" w:hAnsi="Consolas" w:eastAsia="Consolas"/>
          <w:color w:val="38434A"/>
          <w:sz w:val="19"/>
        </w:rPr>
        <w:t>effective_billing_plan()</w:t>
      </w:r>
      <w:r>
        <w:rPr>
          <w:rFonts w:ascii="Microsoft YaHei" w:hAnsi="Microsoft YaHei" w:eastAsia="Microsoft YaHei"/>
          <w:color w:val="000000"/>
          <w:sz w:val="20"/>
        </w:rPr>
        <w:t xml:space="preserve"> 改为基于当前工作区计算。</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AI Token、报告次数和导出次数按工作区原子计数。</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保留单成员每分钟限流，避免一个成员耗尽团队资源。</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邀请超过席位数时明确阻断。</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正式收费关闭期间，为内测工作区提供可审计的人工套餐配置。</w:t>
      </w:r>
    </w:p>
    <w:p>
      <w:pPr>
        <w:pStyle w:val="RoadmapLabel"/>
      </w:pPr>
      <w:r>
        <w:t>完成标准</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一个测试工作区开通 Pro 后，两名 editor 都可以使用 PDF/DOCX。</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另一个免费工作区不能继承该权益。</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并发调用不会突破工作区额度。</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成员被移除后不能继续消耗工作区额度。</w:t>
      </w:r>
    </w:p>
    <w:p>
      <w:pPr>
        <w:pStyle w:val="Heading3"/>
      </w:pPr>
      <w:r>
        <w:t>步骤 5 彻底拆分公开代码 私有原始数据和付费数据</w:t>
      </w:r>
    </w:p>
    <w:p>
      <w:pPr>
        <w:pStyle w:val="RoadmapLabel"/>
      </w:pPr>
      <w:r>
        <w:t>目标</w:t>
      </w:r>
    </w:p>
    <w:p>
      <w:pPr>
        <w:jc w:val="both"/>
      </w:pPr>
      <w:r>
        <w:rPr>
          <w:rFonts w:ascii="Microsoft YaHei" w:hAnsi="Microsoft YaHei" w:eastAsia="Microsoft YaHei"/>
          <w:color w:val="000000"/>
          <w:sz w:val="21"/>
        </w:rPr>
        <w:t>公开 GitHub 仓库中只保留代码、迁移、测试和允许公开的正式摘要。</w:t>
      </w:r>
    </w:p>
    <w:p>
      <w:pPr>
        <w:pStyle w:val="RoadmapLabel"/>
      </w:pPr>
      <w:r>
        <w:t>需要修改</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原始响应、同步日志、隔离记录和第三方付费数据写入私有 Storage/数据库。</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GitHub Actions 产物只保存质量报告和不含敏感数据的诊断摘要。</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Pages 继续使用严格白名单构建。</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为 TikHub 等来源设置独立的授权和保留策略。</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检查 Git 历史是否曾出现密钥、用户数据或受限数据；若存在，需要在负责人授权下清理历史并轮换密钥。</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增加 CI 检查，阻止密钥、大型原始响应和受限目录进入提交。</w:t>
      </w:r>
    </w:p>
    <w:p>
      <w:pPr>
        <w:pStyle w:val="RoadmapLabel"/>
      </w:pPr>
      <w:r>
        <w:t>完成标准</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随机抽查 Pages、GitHub 当前分支和 Actions 产物，均无法读取受限原始数据。</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第三方 API Key 只存在于 Secrets。</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公共正式记录仍能通过来源 ID 追溯到私有原始记录。</w:t>
      </w:r>
    </w:p>
    <w:p>
      <w:pPr>
        <w:pStyle w:val="Heading3"/>
      </w:pPr>
      <w:r>
        <w:t>步骤 6 补齐公众服务的安全 备份和运维基础</w:t>
      </w:r>
    </w:p>
    <w:p>
      <w:pPr>
        <w:pStyle w:val="RoadmapLabel"/>
      </w:pPr>
      <w:r>
        <w:t>目标</w:t>
      </w:r>
    </w:p>
    <w:p>
      <w:pPr>
        <w:jc w:val="both"/>
      </w:pPr>
      <w:r>
        <w:rPr>
          <w:rFonts w:ascii="Microsoft YaHei" w:hAnsi="Microsoft YaHei" w:eastAsia="Microsoft YaHei"/>
          <w:color w:val="000000"/>
          <w:sz w:val="21"/>
        </w:rPr>
        <w:t>系统出现故障、误删、攻击或供应商中断时可以发现、限制并恢复。</w:t>
      </w:r>
    </w:p>
    <w:p>
      <w:pPr>
        <w:pStyle w:val="RoadmapLabel"/>
      </w:pPr>
      <w:r>
        <w:t>需要修改</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配置自定义域名、HTTPS 和正式 CORS 白名单。</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对登录、AI、搜索、报告、导出、邀请和上传增加用户/IP 限流。</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配置 PostgreSQL 自动备份和 Storage 备份。</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每月执行一次恢复演练，而不是只确认“有备份”。</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增加错误率、AI 成本、数据库容量、Storage 容量和采集失败告警。</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增加用户导出数据、删除账号、删除工作区数据的流程。</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完善隐私政策、服务条款、AI 数据使用说明和第三方数据声明。</w:t>
      </w:r>
    </w:p>
    <w:p>
      <w:pPr>
        <w:pStyle w:val="RoadmapLabel"/>
      </w:pPr>
      <w:r>
        <w:t>完成标准</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备份能够恢复到隔离环境。</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高频恶意请求返回 429，不拖垮正常用户。</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管理员能够看到各服务健康状态与最近失败原因。</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用户可以申请导出和删除自己的数据。</w:t>
      </w:r>
    </w:p>
    <w:p>
      <w:pPr>
        <w:pStyle w:val="Heading2"/>
      </w:pPr>
      <w:r>
        <w:t>阶段 B 建设长期数据情报库 P1</w:t>
      </w:r>
    </w:p>
    <w:p>
      <w:pPr>
        <w:pStyle w:val="Heading3"/>
      </w:pPr>
      <w:r>
        <w:t>步骤 7 建立数据源登记和授权台账</w:t>
      </w:r>
    </w:p>
    <w:p>
      <w:pPr>
        <w:pStyle w:val="RoadmapLabel"/>
      </w:pPr>
      <w:r>
        <w:t>目标</w:t>
      </w:r>
    </w:p>
    <w:p>
      <w:pPr>
        <w:jc w:val="both"/>
      </w:pPr>
      <w:r>
        <w:rPr>
          <w:rFonts w:ascii="Microsoft YaHei" w:hAnsi="Microsoft YaHei" w:eastAsia="Microsoft YaHei"/>
          <w:color w:val="000000"/>
          <w:sz w:val="21"/>
        </w:rPr>
        <w:t>每个数据源在采集前就明确用途、可信等级、更新频率、费用和使用边界。</w:t>
      </w:r>
    </w:p>
    <w:p>
      <w:pPr>
        <w:pStyle w:val="RoadmapLabel"/>
      </w:pPr>
      <w:r>
        <w:t>需要修改</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 xml:space="preserve">为每个来源登记 </w:t>
      </w:r>
      <w:r>
        <w:rPr>
          <w:rFonts w:ascii="Consolas" w:hAnsi="Consolas" w:eastAsia="Consolas"/>
          <w:color w:val="38434A"/>
          <w:sz w:val="19"/>
        </w:rPr>
        <w:t>source_key</w:t>
      </w:r>
      <w:r>
        <w:rPr>
          <w:rFonts w:ascii="Microsoft YaHei" w:hAnsi="Microsoft YaHei" w:eastAsia="Microsoft YaHei"/>
          <w:color w:val="000000"/>
          <w:sz w:val="20"/>
        </w:rPr>
        <w:t>、主体、URL、官方/第三方类型、市场、平台和品类。</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登记 API 价格、速率限制、允许保存期限、允许展示字段和商业使用权限。</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官方政策、平台公告、行业媒体和第三方数据服务商分别管理。</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未确认授权的数据只能进入隔离区，不能进入正式页面或报告。</w:t>
      </w:r>
    </w:p>
    <w:p>
      <w:pPr>
        <w:pStyle w:val="RoadmapLabel"/>
      </w:pPr>
      <w:r>
        <w:t>完成标准</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所有生产采集器都能关联一条有效数据源记录。</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过期或停用来源自动停止采集。</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正式页面能够展示准确的数据来源类别。</w:t>
      </w:r>
    </w:p>
    <w:p>
      <w:pPr>
        <w:pStyle w:val="Heading3"/>
      </w:pPr>
      <w:r>
        <w:t>步骤 8 建立永久历史数据模型</w:t>
      </w:r>
    </w:p>
    <w:p>
      <w:pPr>
        <w:pStyle w:val="RoadmapLabel"/>
      </w:pPr>
      <w:r>
        <w:t>目标</w:t>
      </w:r>
    </w:p>
    <w:p>
      <w:pPr>
        <w:jc w:val="both"/>
      </w:pPr>
      <w:r>
        <w:rPr>
          <w:rFonts w:ascii="Microsoft YaHei" w:hAnsi="Microsoft YaHei" w:eastAsia="Microsoft YaHei"/>
          <w:color w:val="000000"/>
          <w:sz w:val="21"/>
        </w:rPr>
        <w:t>取消“一个 JSON 文件代表全部历史”的限制，建立真正可扩展的历史数据库。</w:t>
      </w:r>
    </w:p>
    <w:p>
      <w:pPr>
        <w:pStyle w:val="RoadmapLabel"/>
      </w:pPr>
      <w:r>
        <w:t>建议数据表</w:t>
      </w:r>
    </w:p>
    <w:p>
      <w:pPr>
        <w:spacing w:after="60"/>
        <w:ind w:left="461" w:hanging="317"/>
      </w:pPr>
      <w:r>
        <w:rPr>
          <w:rFonts w:ascii="Microsoft YaHei" w:hAnsi="Microsoft YaHei" w:eastAsia="Microsoft YaHei"/>
          <w:b w:val="0"/>
          <w:color w:val="000000"/>
          <w:sz w:val="20"/>
        </w:rPr>
        <w:t xml:space="preserve">• </w:t>
      </w:r>
      <w:r>
        <w:rPr>
          <w:rFonts w:ascii="Consolas" w:hAnsi="Consolas" w:eastAsia="Consolas"/>
          <w:color w:val="38434A"/>
          <w:sz w:val="19"/>
        </w:rPr>
        <w:t>source_fetch_runs</w:t>
      </w:r>
      <w:r>
        <w:rPr>
          <w:rFonts w:ascii="Microsoft YaHei" w:hAnsi="Microsoft YaHei" w:eastAsia="Microsoft YaHei"/>
          <w:color w:val="000000"/>
          <w:sz w:val="20"/>
        </w:rPr>
        <w:t>：每次抓取任务和请求结果。</w:t>
      </w:r>
    </w:p>
    <w:p>
      <w:pPr>
        <w:spacing w:after="60"/>
        <w:ind w:left="461" w:hanging="317"/>
      </w:pPr>
      <w:r>
        <w:rPr>
          <w:rFonts w:ascii="Microsoft YaHei" w:hAnsi="Microsoft YaHei" w:eastAsia="Microsoft YaHei"/>
          <w:b w:val="0"/>
          <w:color w:val="000000"/>
          <w:sz w:val="20"/>
        </w:rPr>
        <w:t xml:space="preserve">• </w:t>
      </w:r>
      <w:r>
        <w:rPr>
          <w:rFonts w:ascii="Consolas" w:hAnsi="Consolas" w:eastAsia="Consolas"/>
          <w:color w:val="38434A"/>
          <w:sz w:val="19"/>
        </w:rPr>
        <w:t>raw_source_records</w:t>
      </w:r>
      <w:r>
        <w:rPr>
          <w:rFonts w:ascii="Microsoft YaHei" w:hAnsi="Microsoft YaHei" w:eastAsia="Microsoft YaHei"/>
          <w:color w:val="000000"/>
          <w:sz w:val="20"/>
        </w:rPr>
        <w:t>：不可变原始响应和证据哈希。</w:t>
      </w:r>
    </w:p>
    <w:p>
      <w:pPr>
        <w:spacing w:after="60"/>
        <w:ind w:left="461" w:hanging="317"/>
      </w:pPr>
      <w:r>
        <w:rPr>
          <w:rFonts w:ascii="Microsoft YaHei" w:hAnsi="Microsoft YaHei" w:eastAsia="Microsoft YaHei"/>
          <w:b w:val="0"/>
          <w:color w:val="000000"/>
          <w:sz w:val="20"/>
        </w:rPr>
        <w:t xml:space="preserve">• </w:t>
      </w:r>
      <w:r>
        <w:rPr>
          <w:rFonts w:ascii="Consolas" w:hAnsi="Consolas" w:eastAsia="Consolas"/>
          <w:color w:val="38434A"/>
          <w:sz w:val="19"/>
        </w:rPr>
        <w:t>policy_documents</w:t>
      </w:r>
      <w:r>
        <w:rPr>
          <w:rFonts w:ascii="Microsoft YaHei" w:hAnsi="Microsoft YaHei" w:eastAsia="Microsoft YaHei"/>
          <w:color w:val="000000"/>
          <w:sz w:val="20"/>
        </w:rPr>
        <w:t>：政策主记录。</w:t>
      </w:r>
    </w:p>
    <w:p>
      <w:pPr>
        <w:spacing w:after="60"/>
        <w:ind w:left="461" w:hanging="317"/>
      </w:pPr>
      <w:r>
        <w:rPr>
          <w:rFonts w:ascii="Microsoft YaHei" w:hAnsi="Microsoft YaHei" w:eastAsia="Microsoft YaHei"/>
          <w:b w:val="0"/>
          <w:color w:val="000000"/>
          <w:sz w:val="20"/>
        </w:rPr>
        <w:t xml:space="preserve">• </w:t>
      </w:r>
      <w:r>
        <w:rPr>
          <w:rFonts w:ascii="Consolas" w:hAnsi="Consolas" w:eastAsia="Consolas"/>
          <w:color w:val="38434A"/>
          <w:sz w:val="19"/>
        </w:rPr>
        <w:t>policy_versions</w:t>
      </w:r>
      <w:r>
        <w:rPr>
          <w:rFonts w:ascii="Microsoft YaHei" w:hAnsi="Microsoft YaHei" w:eastAsia="Microsoft YaHei"/>
          <w:color w:val="000000"/>
          <w:sz w:val="20"/>
        </w:rPr>
        <w:t>：政策修订、生效和失效版本。</w:t>
      </w:r>
    </w:p>
    <w:p>
      <w:pPr>
        <w:spacing w:after="60"/>
        <w:ind w:left="461" w:hanging="317"/>
      </w:pPr>
      <w:r>
        <w:rPr>
          <w:rFonts w:ascii="Microsoft YaHei" w:hAnsi="Microsoft YaHei" w:eastAsia="Microsoft YaHei"/>
          <w:b w:val="0"/>
          <w:color w:val="000000"/>
          <w:sz w:val="20"/>
        </w:rPr>
        <w:t xml:space="preserve">• </w:t>
      </w:r>
      <w:r>
        <w:rPr>
          <w:rFonts w:ascii="Consolas" w:hAnsi="Consolas" w:eastAsia="Consolas"/>
          <w:color w:val="38434A"/>
          <w:sz w:val="19"/>
        </w:rPr>
        <w:t>platform_rules</w:t>
      </w:r>
      <w:r>
        <w:rPr>
          <w:rFonts w:ascii="Microsoft YaHei" w:hAnsi="Microsoft YaHei" w:eastAsia="Microsoft YaHei"/>
          <w:color w:val="000000"/>
          <w:sz w:val="20"/>
        </w:rPr>
        <w:t>：平台规则主记录。</w:t>
      </w:r>
    </w:p>
    <w:p>
      <w:pPr>
        <w:spacing w:after="60"/>
        <w:ind w:left="461" w:hanging="317"/>
      </w:pPr>
      <w:r>
        <w:rPr>
          <w:rFonts w:ascii="Microsoft YaHei" w:hAnsi="Microsoft YaHei" w:eastAsia="Microsoft YaHei"/>
          <w:b w:val="0"/>
          <w:color w:val="000000"/>
          <w:sz w:val="20"/>
        </w:rPr>
        <w:t xml:space="preserve">• </w:t>
      </w:r>
      <w:r>
        <w:rPr>
          <w:rFonts w:ascii="Consolas" w:hAnsi="Consolas" w:eastAsia="Consolas"/>
          <w:color w:val="38434A"/>
          <w:sz w:val="19"/>
        </w:rPr>
        <w:t>platform_rule_versions</w:t>
      </w:r>
      <w:r>
        <w:rPr>
          <w:rFonts w:ascii="Microsoft YaHei" w:hAnsi="Microsoft YaHei" w:eastAsia="Microsoft YaHei"/>
          <w:color w:val="000000"/>
          <w:sz w:val="20"/>
        </w:rPr>
        <w:t>：费用、佣金、保证金、履约、禁售、结算和处罚版本。</w:t>
      </w:r>
    </w:p>
    <w:p>
      <w:pPr>
        <w:spacing w:after="60"/>
        <w:ind w:left="461" w:hanging="317"/>
      </w:pPr>
      <w:r>
        <w:rPr>
          <w:rFonts w:ascii="Microsoft YaHei" w:hAnsi="Microsoft YaHei" w:eastAsia="Microsoft YaHei"/>
          <w:b w:val="0"/>
          <w:color w:val="000000"/>
          <w:sz w:val="20"/>
        </w:rPr>
        <w:t xml:space="preserve">• </w:t>
      </w:r>
      <w:r>
        <w:rPr>
          <w:rFonts w:ascii="Consolas" w:hAnsi="Consolas" w:eastAsia="Consolas"/>
          <w:color w:val="38434A"/>
          <w:sz w:val="19"/>
        </w:rPr>
        <w:t>product_entities</w:t>
      </w:r>
      <w:r>
        <w:rPr>
          <w:rFonts w:ascii="Microsoft YaHei" w:hAnsi="Microsoft YaHei" w:eastAsia="Microsoft YaHei"/>
          <w:color w:val="000000"/>
          <w:sz w:val="20"/>
        </w:rPr>
        <w:t xml:space="preserve"> / </w:t>
      </w:r>
      <w:r>
        <w:rPr>
          <w:rFonts w:ascii="Consolas" w:hAnsi="Consolas" w:eastAsia="Consolas"/>
          <w:color w:val="38434A"/>
          <w:sz w:val="19"/>
        </w:rPr>
        <w:t>product_snapshots</w:t>
      </w:r>
      <w:r>
        <w:rPr>
          <w:rFonts w:ascii="Microsoft YaHei" w:hAnsi="Microsoft YaHei" w:eastAsia="Microsoft YaHei"/>
          <w:color w:val="000000"/>
          <w:sz w:val="20"/>
        </w:rPr>
        <w:t>：商品身份和时间快照。</w:t>
      </w:r>
    </w:p>
    <w:p>
      <w:pPr>
        <w:spacing w:after="60"/>
        <w:ind w:left="461" w:hanging="317"/>
      </w:pPr>
      <w:r>
        <w:rPr>
          <w:rFonts w:ascii="Microsoft YaHei" w:hAnsi="Microsoft YaHei" w:eastAsia="Microsoft YaHei"/>
          <w:b w:val="0"/>
          <w:color w:val="000000"/>
          <w:sz w:val="20"/>
        </w:rPr>
        <w:t xml:space="preserve">• </w:t>
      </w:r>
      <w:r>
        <w:rPr>
          <w:rFonts w:ascii="Consolas" w:hAnsi="Consolas" w:eastAsia="Consolas"/>
          <w:color w:val="38434A"/>
          <w:sz w:val="19"/>
        </w:rPr>
        <w:t>shop_entities</w:t>
      </w:r>
      <w:r>
        <w:rPr>
          <w:rFonts w:ascii="Microsoft YaHei" w:hAnsi="Microsoft YaHei" w:eastAsia="Microsoft YaHei"/>
          <w:color w:val="000000"/>
          <w:sz w:val="20"/>
        </w:rPr>
        <w:t xml:space="preserve"> / </w:t>
      </w:r>
      <w:r>
        <w:rPr>
          <w:rFonts w:ascii="Consolas" w:hAnsi="Consolas" w:eastAsia="Consolas"/>
          <w:color w:val="38434A"/>
          <w:sz w:val="19"/>
        </w:rPr>
        <w:t>shop_snapshots</w:t>
      </w:r>
      <w:r>
        <w:rPr>
          <w:rFonts w:ascii="Microsoft YaHei" w:hAnsi="Microsoft YaHei" w:eastAsia="Microsoft YaHei"/>
          <w:color w:val="000000"/>
          <w:sz w:val="20"/>
        </w:rPr>
        <w:t>：店铺身份和时间快照。</w:t>
      </w:r>
    </w:p>
    <w:p>
      <w:pPr>
        <w:spacing w:after="60"/>
        <w:ind w:left="461" w:hanging="317"/>
      </w:pPr>
      <w:r>
        <w:rPr>
          <w:rFonts w:ascii="Microsoft YaHei" w:hAnsi="Microsoft YaHei" w:eastAsia="Microsoft YaHei"/>
          <w:b w:val="0"/>
          <w:color w:val="000000"/>
          <w:sz w:val="20"/>
        </w:rPr>
        <w:t xml:space="preserve">• </w:t>
      </w:r>
      <w:r>
        <w:rPr>
          <w:rFonts w:ascii="Consolas" w:hAnsi="Consolas" w:eastAsia="Consolas"/>
          <w:color w:val="38434A"/>
          <w:sz w:val="19"/>
        </w:rPr>
        <w:t>content_entities</w:t>
      </w:r>
      <w:r>
        <w:rPr>
          <w:rFonts w:ascii="Microsoft YaHei" w:hAnsi="Microsoft YaHei" w:eastAsia="Microsoft YaHei"/>
          <w:color w:val="000000"/>
          <w:sz w:val="20"/>
        </w:rPr>
        <w:t xml:space="preserve"> / </w:t>
      </w:r>
      <w:r>
        <w:rPr>
          <w:rFonts w:ascii="Consolas" w:hAnsi="Consolas" w:eastAsia="Consolas"/>
          <w:color w:val="38434A"/>
          <w:sz w:val="19"/>
        </w:rPr>
        <w:t>content_snapshots</w:t>
      </w:r>
      <w:r>
        <w:rPr>
          <w:rFonts w:ascii="Microsoft YaHei" w:hAnsi="Microsoft YaHei" w:eastAsia="Microsoft YaHei"/>
          <w:color w:val="000000"/>
          <w:sz w:val="20"/>
        </w:rPr>
        <w:t>：内容身份和指标快照。</w:t>
      </w:r>
    </w:p>
    <w:p>
      <w:pPr>
        <w:spacing w:after="60"/>
        <w:ind w:left="461" w:hanging="317"/>
      </w:pPr>
      <w:r>
        <w:rPr>
          <w:rFonts w:ascii="Microsoft YaHei" w:hAnsi="Microsoft YaHei" w:eastAsia="Microsoft YaHei"/>
          <w:b w:val="0"/>
          <w:color w:val="000000"/>
          <w:sz w:val="20"/>
        </w:rPr>
        <w:t xml:space="preserve">• </w:t>
      </w:r>
      <w:r>
        <w:rPr>
          <w:rFonts w:ascii="Consolas" w:hAnsi="Consolas" w:eastAsia="Consolas"/>
          <w:color w:val="38434A"/>
          <w:sz w:val="19"/>
        </w:rPr>
        <w:t>formal_publications</w:t>
      </w:r>
      <w:r>
        <w:rPr>
          <w:rFonts w:ascii="Microsoft YaHei" w:hAnsi="Microsoft YaHei" w:eastAsia="Microsoft YaHei"/>
          <w:color w:val="000000"/>
          <w:sz w:val="20"/>
        </w:rPr>
        <w:t>：通过校验后可供页面和 AI 使用的正式投影。</w:t>
      </w:r>
    </w:p>
    <w:p>
      <w:pPr>
        <w:pStyle w:val="RoadmapLabel"/>
      </w:pPr>
      <w:r>
        <w:t>关键规则</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原始记录追加保存，不允许静默覆盖。</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同一对象的不同时间、价格、指标和规则版本分别保存。</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使用平台稳定 ID 和来源记录 ID 去重，不再主要依赖标题前 20 个字符。</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 xml:space="preserve">保留 </w:t>
      </w:r>
      <w:r>
        <w:rPr>
          <w:rFonts w:ascii="Consolas" w:hAnsi="Consolas" w:eastAsia="Consolas"/>
          <w:color w:val="38434A"/>
          <w:sz w:val="19"/>
        </w:rPr>
        <w:t>first_seen_at</w:t>
      </w:r>
      <w:r>
        <w:rPr>
          <w:rFonts w:ascii="Microsoft YaHei" w:hAnsi="Microsoft YaHei" w:eastAsia="Microsoft YaHei"/>
          <w:color w:val="000000"/>
          <w:sz w:val="20"/>
        </w:rPr>
        <w:t>、</w:t>
      </w:r>
      <w:r>
        <w:rPr>
          <w:rFonts w:ascii="Consolas" w:hAnsi="Consolas" w:eastAsia="Consolas"/>
          <w:color w:val="38434A"/>
          <w:sz w:val="19"/>
        </w:rPr>
        <w:t>last_seen_at</w:t>
      </w:r>
      <w:r>
        <w:rPr>
          <w:rFonts w:ascii="Microsoft YaHei" w:hAnsi="Microsoft YaHei" w:eastAsia="Microsoft YaHei"/>
          <w:color w:val="000000"/>
          <w:sz w:val="20"/>
        </w:rPr>
        <w:t>、</w:t>
      </w:r>
      <w:r>
        <w:rPr>
          <w:rFonts w:ascii="Consolas" w:hAnsi="Consolas" w:eastAsia="Consolas"/>
          <w:color w:val="38434A"/>
          <w:sz w:val="19"/>
        </w:rPr>
        <w:t>published_at</w:t>
      </w:r>
      <w:r>
        <w:rPr>
          <w:rFonts w:ascii="Microsoft YaHei" w:hAnsi="Microsoft YaHei" w:eastAsia="Microsoft YaHei"/>
          <w:color w:val="000000"/>
          <w:sz w:val="20"/>
        </w:rPr>
        <w:t>、</w:t>
      </w:r>
      <w:r>
        <w:rPr>
          <w:rFonts w:ascii="Consolas" w:hAnsi="Consolas" w:eastAsia="Consolas"/>
          <w:color w:val="38434A"/>
          <w:sz w:val="19"/>
        </w:rPr>
        <w:t>effective_from</w:t>
      </w:r>
      <w:r>
        <w:rPr>
          <w:rFonts w:ascii="Microsoft YaHei" w:hAnsi="Microsoft YaHei" w:eastAsia="Microsoft YaHei"/>
          <w:color w:val="000000"/>
          <w:sz w:val="20"/>
        </w:rPr>
        <w:t>、</w:t>
      </w:r>
      <w:r>
        <w:rPr>
          <w:rFonts w:ascii="Consolas" w:hAnsi="Consolas" w:eastAsia="Consolas"/>
          <w:color w:val="38434A"/>
          <w:sz w:val="19"/>
        </w:rPr>
        <w:t>effective_to</w:t>
      </w:r>
      <w:r>
        <w:rPr>
          <w:rFonts w:ascii="Microsoft YaHei" w:hAnsi="Microsoft YaHei" w:eastAsia="Microsoft YaHei"/>
          <w:color w:val="000000"/>
          <w:sz w:val="20"/>
        </w:rPr>
        <w:t xml:space="preserve"> 和 </w:t>
      </w:r>
      <w:r>
        <w:rPr>
          <w:rFonts w:ascii="Consolas" w:hAnsi="Consolas" w:eastAsia="Consolas"/>
          <w:color w:val="38434A"/>
          <w:sz w:val="19"/>
        </w:rPr>
        <w:t>collected_at</w:t>
      </w:r>
      <w:r>
        <w:rPr>
          <w:rFonts w:ascii="Microsoft YaHei" w:hAnsi="Microsoft YaHei" w:eastAsia="Microsoft YaHei"/>
          <w:color w:val="000000"/>
          <w:sz w:val="20"/>
        </w:rPr>
        <w:t>。</w:t>
      </w:r>
    </w:p>
    <w:p>
      <w:pPr>
        <w:pStyle w:val="RoadmapLabel"/>
      </w:pPr>
      <w:r>
        <w:t>完成标准</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同一平台规则发生变化后，可以同时查询新旧版本和变化字段。</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商品价格和店铺指标可以按日期绘制趋势。</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删除当前投影不会删除原始证据和历史版本。</w:t>
      </w:r>
    </w:p>
    <w:p>
      <w:pPr>
        <w:pStyle w:val="Heading3"/>
      </w:pPr>
      <w:r>
        <w:t>步骤 9 执行政策和规则历史回填</w:t>
      </w:r>
    </w:p>
    <w:p>
      <w:pPr>
        <w:pStyle w:val="RoadmapLabel"/>
      </w:pPr>
      <w:r>
        <w:t>目标</w:t>
      </w:r>
    </w:p>
    <w:p>
      <w:pPr>
        <w:jc w:val="both"/>
      </w:pPr>
      <w:r>
        <w:rPr>
          <w:rFonts w:ascii="Microsoft YaHei" w:hAnsi="Microsoft YaHei" w:eastAsia="Microsoft YaHei"/>
          <w:color w:val="000000"/>
          <w:sz w:val="21"/>
        </w:rPr>
        <w:t>补齐系统建立之前的历史数据，而不是只从上线当天开始积累。</w:t>
      </w:r>
    </w:p>
    <w:p>
      <w:pPr>
        <w:pStyle w:val="RoadmapLabel"/>
      </w:pPr>
      <w:r>
        <w:t>需要修改</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按来源支持起止日期、分页、游标和断点续跑。</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Federal Register 按年份或时间窗口回填。</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CPSC 按时间窗口回填，并记录召回修订。</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Amazon、TikTok Shop 等规则先建立官方规则目录，再按可获得的历史版本回填。</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每批回填独立校验、独立发布，不因为单批失败重跑全部数据。</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回填过程中记录覆盖起止日期和缺失区间。</w:t>
      </w:r>
    </w:p>
    <w:p>
      <w:pPr>
        <w:pStyle w:val="RoadmapLabel"/>
      </w:pPr>
      <w:r>
        <w:t>完成标准</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页面可以查询指定年份和日期范围。</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管理后台显示每个来源的历史覆盖范围。</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中断回填后可以从游标继续，不重复计费或创建大量重复记录。</w:t>
      </w:r>
    </w:p>
    <w:p>
      <w:pPr>
        <w:pStyle w:val="Heading3"/>
      </w:pPr>
      <w:r>
        <w:t>步骤 10 把采集任务迁移到独立 Worker</w:t>
      </w:r>
    </w:p>
    <w:p>
      <w:pPr>
        <w:pStyle w:val="RoadmapLabel"/>
      </w:pPr>
      <w:r>
        <w:t>目标</w:t>
      </w:r>
    </w:p>
    <w:p>
      <w:pPr>
        <w:jc w:val="both"/>
      </w:pPr>
      <w:r>
        <w:rPr>
          <w:rFonts w:ascii="Microsoft YaHei" w:hAnsi="Microsoft YaHei" w:eastAsia="Microsoft YaHei"/>
          <w:color w:val="000000"/>
          <w:sz w:val="21"/>
        </w:rPr>
        <w:t>GitHub Actions 主要负责测试和部署；高频采集、历史回填和第三方 API 调用由独立任务服务负责。</w:t>
      </w:r>
    </w:p>
    <w:p>
      <w:pPr>
        <w:pStyle w:val="RoadmapLabel"/>
      </w:pPr>
      <w:r>
        <w:t>需要修改</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建立任务队列表，包含来源、市场、参数、优先级、重试次数和下次执行时间。</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Worker 使用服务端密钥领取任务并续租，避免同一任务被重复处理。</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按来源设置并发、超时、指数退避和熔断。</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为 TikHub 设置每日请求数和费用上限。</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核心来源失败时阻止正式发布，但不阻止其他来源继续检查。</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GitHub Actions 保留低频健康检查和紧急手动触发入口。</w:t>
      </w:r>
    </w:p>
    <w:p>
      <w:pPr>
        <w:pStyle w:val="RoadmapLabel"/>
      </w:pPr>
      <w:r>
        <w:t>完成标准</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Worker 重启不会丢任务或重复写入。</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第三方 API 超时后能退避重试。</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超过每日成本上限后自动停止付费采集并告警。</w:t>
      </w:r>
    </w:p>
    <w:p>
      <w:pPr>
        <w:pStyle w:val="Heading3"/>
      </w:pPr>
      <w:r>
        <w:t>步骤 11 补齐平台 政策和规则覆盖</w:t>
      </w:r>
    </w:p>
    <w:p>
      <w:pPr>
        <w:pStyle w:val="RoadmapLabel"/>
      </w:pPr>
      <w:r>
        <w:t>目标</w:t>
      </w:r>
    </w:p>
    <w:p>
      <w:pPr>
        <w:jc w:val="both"/>
      </w:pPr>
      <w:r>
        <w:rPr>
          <w:rFonts w:ascii="Microsoft YaHei" w:hAnsi="Microsoft YaHei" w:eastAsia="Microsoft YaHei"/>
          <w:color w:val="000000"/>
          <w:sz w:val="21"/>
        </w:rPr>
        <w:t>平台情报不再只是四张目录卡片，而是能查询当前规则、历史变化和来源覆盖。</w:t>
      </w:r>
    </w:p>
    <w:p>
      <w:pPr>
        <w:pStyle w:val="RoadmapLabel"/>
      </w:pPr>
      <w:r>
        <w:t>实施顺序</w:t>
      </w:r>
    </w:p>
    <w:p>
      <w:pPr>
        <w:spacing w:after="60"/>
        <w:ind w:left="461" w:hanging="317"/>
      </w:pPr>
      <w:r>
        <w:rPr>
          <w:rFonts w:ascii="Microsoft YaHei" w:hAnsi="Microsoft YaHei" w:eastAsia="Microsoft YaHei"/>
          <w:b/>
          <w:color w:val="24445C"/>
          <w:sz w:val="20"/>
        </w:rPr>
        <w:t xml:space="preserve">1. </w:t>
      </w:r>
      <w:r>
        <w:rPr>
          <w:rFonts w:ascii="Microsoft YaHei" w:hAnsi="Microsoft YaHei" w:eastAsia="Microsoft YaHei"/>
          <w:color w:val="000000"/>
          <w:sz w:val="20"/>
        </w:rPr>
        <w:t>修复 Amazon 现有 404 和页面结构变化问题。</w:t>
      </w:r>
    </w:p>
    <w:p>
      <w:pPr>
        <w:spacing w:after="60"/>
        <w:ind w:left="461" w:hanging="317"/>
      </w:pPr>
      <w:r>
        <w:rPr>
          <w:rFonts w:ascii="Microsoft YaHei" w:hAnsi="Microsoft YaHei" w:eastAsia="Microsoft YaHei"/>
          <w:b/>
          <w:color w:val="24445C"/>
          <w:sz w:val="20"/>
        </w:rPr>
        <w:t xml:space="preserve">2. </w:t>
      </w:r>
      <w:r>
        <w:rPr>
          <w:rFonts w:ascii="Microsoft YaHei" w:hAnsi="Microsoft YaHei" w:eastAsia="Microsoft YaHei"/>
          <w:color w:val="000000"/>
          <w:sz w:val="20"/>
        </w:rPr>
        <w:t>稳定 TikTok Shop 官方规则采集。</w:t>
      </w:r>
    </w:p>
    <w:p>
      <w:pPr>
        <w:spacing w:after="60"/>
        <w:ind w:left="461" w:hanging="317"/>
      </w:pPr>
      <w:r>
        <w:rPr>
          <w:rFonts w:ascii="Microsoft YaHei" w:hAnsi="Microsoft YaHei" w:eastAsia="Microsoft YaHei"/>
          <w:b/>
          <w:color w:val="24445C"/>
          <w:sz w:val="20"/>
        </w:rPr>
        <w:t xml:space="preserve">3. </w:t>
      </w:r>
      <w:r>
        <w:rPr>
          <w:rFonts w:ascii="Microsoft YaHei" w:hAnsi="Microsoft YaHei" w:eastAsia="Microsoft YaHei"/>
          <w:color w:val="000000"/>
          <w:sz w:val="20"/>
        </w:rPr>
        <w:t>新建 AliExpress 规则采集器。</w:t>
      </w:r>
    </w:p>
    <w:p>
      <w:pPr>
        <w:spacing w:after="60"/>
        <w:ind w:left="461" w:hanging="317"/>
      </w:pPr>
      <w:r>
        <w:rPr>
          <w:rFonts w:ascii="Microsoft YaHei" w:hAnsi="Microsoft YaHei" w:eastAsia="Microsoft YaHei"/>
          <w:b/>
          <w:color w:val="24445C"/>
          <w:sz w:val="20"/>
        </w:rPr>
        <w:t xml:space="preserve">4. </w:t>
      </w:r>
      <w:r>
        <w:rPr>
          <w:rFonts w:ascii="Microsoft YaHei" w:hAnsi="Microsoft YaHei" w:eastAsia="Microsoft YaHei"/>
          <w:color w:val="000000"/>
          <w:sz w:val="20"/>
        </w:rPr>
        <w:t>新建 eBay 规则采集器。</w:t>
      </w:r>
    </w:p>
    <w:p>
      <w:pPr>
        <w:spacing w:after="60"/>
        <w:ind w:left="461" w:hanging="317"/>
      </w:pPr>
      <w:r>
        <w:rPr>
          <w:rFonts w:ascii="Microsoft YaHei" w:hAnsi="Microsoft YaHei" w:eastAsia="Microsoft YaHei"/>
          <w:b/>
          <w:color w:val="24445C"/>
          <w:sz w:val="20"/>
        </w:rPr>
        <w:t xml:space="preserve">5. </w:t>
      </w:r>
      <w:r>
        <w:rPr>
          <w:rFonts w:ascii="Microsoft YaHei" w:hAnsi="Microsoft YaHei" w:eastAsia="Microsoft YaHei"/>
          <w:color w:val="000000"/>
          <w:sz w:val="20"/>
        </w:rPr>
        <w:t>分别补费用、佣金、保证金、履约、禁售、结算和处罚字段。</w:t>
      </w:r>
    </w:p>
    <w:p>
      <w:pPr>
        <w:spacing w:after="60"/>
        <w:ind w:left="461" w:hanging="317"/>
      </w:pPr>
      <w:r>
        <w:rPr>
          <w:rFonts w:ascii="Microsoft YaHei" w:hAnsi="Microsoft YaHei" w:eastAsia="Microsoft YaHei"/>
          <w:b/>
          <w:color w:val="24445C"/>
          <w:sz w:val="20"/>
        </w:rPr>
        <w:t xml:space="preserve">6. </w:t>
      </w:r>
      <w:r>
        <w:rPr>
          <w:rFonts w:ascii="Microsoft YaHei" w:hAnsi="Microsoft YaHei" w:eastAsia="Microsoft YaHei"/>
          <w:color w:val="000000"/>
          <w:sz w:val="20"/>
        </w:rPr>
        <w:t>增加规则变更检测和差异摘要。</w:t>
      </w:r>
    </w:p>
    <w:p>
      <w:pPr>
        <w:pStyle w:val="RoadmapLabel"/>
      </w:pPr>
      <w:r>
        <w:t>完成标准</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每个平台都显示“已接入/部分接入/未接入”，不能用目录存在冒充数据完整。</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规则页可以按平台、主题、日期和版本筛选。</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每条正式规则都有 HTTPS 来源链接和最近核验时间。</w:t>
      </w:r>
    </w:p>
    <w:p>
      <w:pPr>
        <w:pStyle w:val="Heading3"/>
      </w:pPr>
      <w:r>
        <w:t>步骤 12 增加服务端历史搜索</w:t>
      </w:r>
    </w:p>
    <w:p>
      <w:pPr>
        <w:pStyle w:val="RoadmapLabel"/>
      </w:pPr>
      <w:r>
        <w:t>目标</w:t>
      </w:r>
    </w:p>
    <w:p>
      <w:pPr>
        <w:jc w:val="both"/>
      </w:pPr>
      <w:r>
        <w:rPr>
          <w:rFonts w:ascii="Microsoft YaHei" w:hAnsi="Microsoft YaHei" w:eastAsia="Microsoft YaHei"/>
          <w:color w:val="000000"/>
          <w:sz w:val="21"/>
        </w:rPr>
        <w:t>用户可以查到不同年份的政策、规则、商品和店铺数据，而不是只搜索浏览器已经下载的少量记录。</w:t>
      </w:r>
    </w:p>
    <w:p>
      <w:pPr>
        <w:pStyle w:val="RoadmapLabel"/>
      </w:pPr>
      <w:r>
        <w:t>需要修改</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使用 PostgreSQL 全文搜索和必要的模糊索引。</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支持关键词、市场、平台、品类、年份、来源和验证状态筛选。</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支持服务端分页、排序和总数。</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统一搜索结果展示来源、时间、类型和核验等级。</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AI RAG 只检索正式投影，并把来源 ID 传入回答。</w:t>
      </w:r>
    </w:p>
    <w:p>
      <w:pPr>
        <w:pStyle w:val="RoadmapLabel"/>
      </w:pPr>
      <w:r>
        <w:t>完成标准</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至少十万条记录下搜索仍在可接受时间内返回。</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翻到后续页面不会重复或遗漏记录。</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AI 引用可以点击回到对应历史记录。</w:t>
      </w:r>
    </w:p>
    <w:p>
      <w:pPr>
        <w:pStyle w:val="Heading2"/>
      </w:pPr>
      <w:r>
        <w:t>阶段 C TikHub 商品 店铺和内容数据 P1</w:t>
      </w:r>
    </w:p>
    <w:p>
      <w:pPr>
        <w:pStyle w:val="Heading3"/>
      </w:pPr>
      <w:r>
        <w:t>步骤 13 完成 TikHub 合规与技术试点</w:t>
      </w:r>
    </w:p>
    <w:p>
      <w:pPr>
        <w:pStyle w:val="RoadmapLabel"/>
      </w:pPr>
      <w:r>
        <w:t>目标</w:t>
      </w:r>
    </w:p>
    <w:p>
      <w:pPr>
        <w:jc w:val="both"/>
      </w:pPr>
      <w:r>
        <w:rPr>
          <w:rFonts w:ascii="Microsoft YaHei" w:hAnsi="Microsoft YaHei" w:eastAsia="Microsoft YaHei"/>
          <w:color w:val="000000"/>
          <w:sz w:val="21"/>
        </w:rPr>
        <w:t>先验证字段、稳定性、成本和授权，再决定是否大规模采集。</w:t>
      </w:r>
    </w:p>
    <w:p>
      <w:pPr>
        <w:pStyle w:val="RoadmapLabel"/>
      </w:pPr>
      <w:r>
        <w:t>试点范围</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市场：美国 TikTok Shop。</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关键词：20 个重点类目关键词。</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接口：商品搜索、商品详情、卖家资料、店铺分析。</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频率：每日 1-2 次。</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周期：连续运行 7 天。</w:t>
      </w:r>
    </w:p>
    <w:p>
      <w:pPr>
        <w:pStyle w:val="RoadmapLabel"/>
      </w:pPr>
      <w:r>
        <w:t>需要修改</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TikHub Key 只配置在 Worker Secrets。</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保存 endpoint、请求参数哈希、请求时间、响应状态和费用估算。</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原始响应进入私有层，标准字段进入商品/店铺快照表。</w:t>
      </w:r>
    </w:p>
    <w:p>
      <w:pPr>
        <w:spacing w:after="60"/>
        <w:ind w:left="461" w:hanging="317"/>
      </w:pPr>
      <w:r>
        <w:rPr>
          <w:rFonts w:ascii="Microsoft YaHei" w:hAnsi="Microsoft YaHei" w:eastAsia="Microsoft YaHei"/>
          <w:b w:val="0"/>
          <w:color w:val="000000"/>
          <w:sz w:val="20"/>
        </w:rPr>
        <w:t xml:space="preserve">• </w:t>
      </w:r>
      <w:r>
        <w:rPr>
          <w:rFonts w:ascii="Consolas" w:hAnsi="Consolas" w:eastAsia="Consolas"/>
          <w:color w:val="38434A"/>
          <w:sz w:val="19"/>
        </w:rPr>
        <w:t>source_kind</w:t>
      </w:r>
      <w:r>
        <w:rPr>
          <w:rFonts w:ascii="Microsoft YaHei" w:hAnsi="Microsoft YaHei" w:eastAsia="Microsoft YaHei"/>
          <w:color w:val="000000"/>
          <w:sz w:val="20"/>
        </w:rPr>
        <w:t xml:space="preserve"> 标记为可追溯第三方，不标记成 TikTok 官方。</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明确 Cookie 型端点是否允许生产自动调用。</w:t>
      </w:r>
    </w:p>
    <w:p>
      <w:pPr>
        <w:pStyle w:val="RoadmapLabel"/>
      </w:pPr>
      <w:r>
        <w:t>完成标准</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输出字段映射表、缺失率、重复率、成功率和七天费用报告。</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相同商品可以跨天识别并形成价格/指标趋势。</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未确认商业授权的字段不进入公众页面。</w:t>
      </w:r>
    </w:p>
    <w:p>
      <w:pPr>
        <w:pStyle w:val="Heading3"/>
      </w:pPr>
      <w:r>
        <w:t>步骤 14 把 TikHub 数据接入产品 店铺和资源页面</w:t>
      </w:r>
    </w:p>
    <w:p>
      <w:pPr>
        <w:pStyle w:val="RoadmapLabel"/>
      </w:pPr>
      <w:r>
        <w:t>目标</w:t>
      </w:r>
    </w:p>
    <w:p>
      <w:pPr>
        <w:jc w:val="both"/>
      </w:pPr>
      <w:r>
        <w:rPr>
          <w:rFonts w:ascii="Microsoft YaHei" w:hAnsi="Microsoft YaHei" w:eastAsia="Microsoft YaHei"/>
          <w:color w:val="000000"/>
          <w:sz w:val="21"/>
        </w:rPr>
        <w:t>在试点通过后，用真实采集数据替换“完全依赖用户上传”的状态。</w:t>
      </w:r>
    </w:p>
    <w:p>
      <w:pPr>
        <w:pStyle w:val="RoadmapLabel"/>
      </w:pPr>
      <w:r>
        <w:t>需要修改</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产品页区分“系统采集”和“工作区上传”。</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店铺页显示店铺最新状态和历史趋势。</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内容页接入视频、达人、商品关联和互动指标。</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支持用户建立关键词、商品和店铺监控任务。</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对过期、失败和字段缺失显示明确状态。</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AI 报告引用具体快照时间，不把当前值写成长期事实。</w:t>
      </w:r>
    </w:p>
    <w:p>
      <w:pPr>
        <w:pStyle w:val="RoadmapLabel"/>
      </w:pPr>
      <w:r>
        <w:t>完成标准</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用户能查看一个商品或店铺至少七天的变化。</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用户上传数据和第三方采集数据不会互相覆盖。</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报告引用中能区分官方、第三方和用户上传来源。</w:t>
      </w:r>
    </w:p>
    <w:p>
      <w:pPr>
        <w:pStyle w:val="Heading2"/>
      </w:pPr>
      <w:r>
        <w:t>阶段 D 多 AI 和智能体中心 P2</w:t>
      </w:r>
    </w:p>
    <w:p>
      <w:pPr>
        <w:pStyle w:val="Heading3"/>
      </w:pPr>
      <w:r>
        <w:t>步骤 15 建设统一多 AI Gateway</w:t>
      </w:r>
    </w:p>
    <w:p>
      <w:pPr>
        <w:pStyle w:val="RoadmapLabel"/>
      </w:pPr>
      <w:r>
        <w:t>目标</w:t>
      </w:r>
    </w:p>
    <w:p>
      <w:pPr>
        <w:jc w:val="both"/>
      </w:pPr>
      <w:r>
        <w:rPr>
          <w:rFonts w:ascii="Microsoft YaHei" w:hAnsi="Microsoft YaHei" w:eastAsia="Microsoft YaHei"/>
          <w:color w:val="000000"/>
          <w:sz w:val="21"/>
        </w:rPr>
        <w:t>接入多个 AI 供应商，但保持统一权限、日志、限流、费用和故障处理。</w:t>
      </w:r>
    </w:p>
    <w:p>
      <w:pPr>
        <w:pStyle w:val="RoadmapLabel"/>
      </w:pPr>
      <w:r>
        <w:t>供应商规划</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DeepSeek：现有通用分析和报告生成。</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Coze：调用已发布 Bot/Workflow，适合专用业务智能体。</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豆包：通过火山方舟 API 接入中文分析模型。</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OpenAI：通过 Responses API 接入通用推理能力。</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Codex：用于代码、自动化和系统维护，不作为普通市场聊天入口。</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WorkBuddy：确认具体产品及正式 API、Webhook 或 MCP 后再决定接入方式。</w:t>
      </w:r>
    </w:p>
    <w:p>
      <w:pPr>
        <w:pStyle w:val="RoadmapLabel"/>
      </w:pPr>
      <w:r>
        <w:t>需要修改</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新增供应商适配层，不让前端直接拼接不同厂商请求。</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建立智能体目录：用途、模型、能力、允许的数据范围、状态和费用策略。</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路由器按照“市场问答、报告、翻译、代码、课程问答”等任务选择智能体。</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支持主供应商、备用供应商和人工禁用。</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不默认把同一问题发送给所有供应商，避免泄露和费用失控。</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明确显示哪些工作区数据会被发送给第三方 AI。</w:t>
      </w:r>
    </w:p>
    <w:p>
      <w:pPr>
        <w:pStyle w:val="RoadmapLabel"/>
      </w:pPr>
      <w:r>
        <w:t>完成标准</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至少 DeepSeek、Coze、豆包/OpenAI 中的两个适配器通过真实测试。</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一个供应商故障时可以按策略切换，而不会重复扣除全部工作区额度。</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日志能按供应商、模型、任务和工作区统计成本与失败率。</w:t>
      </w:r>
    </w:p>
    <w:p>
      <w:pPr>
        <w:pStyle w:val="Heading2"/>
      </w:pPr>
      <w:r>
        <w:t>阶段 E 资源中心和观海学院 P2</w:t>
      </w:r>
    </w:p>
    <w:p>
      <w:pPr>
        <w:pStyle w:val="Heading3"/>
      </w:pPr>
      <w:r>
        <w:t>步骤 16 重做资源中心</w:t>
      </w:r>
    </w:p>
    <w:p>
      <w:pPr>
        <w:pStyle w:val="RoadmapLabel"/>
      </w:pPr>
      <w:r>
        <w:t>目标</w:t>
      </w:r>
    </w:p>
    <w:p>
      <w:pPr>
        <w:jc w:val="both"/>
      </w:pPr>
      <w:r>
        <w:rPr>
          <w:rFonts w:ascii="Microsoft YaHei" w:hAnsi="Microsoft YaHei" w:eastAsia="Microsoft YaHei"/>
          <w:color w:val="000000"/>
          <w:sz w:val="21"/>
        </w:rPr>
        <w:t>把当前空页面改成可维护的正式知识与工具入口。</w:t>
      </w:r>
    </w:p>
    <w:p>
      <w:pPr>
        <w:pStyle w:val="RoadmapLabel"/>
      </w:pPr>
      <w:r>
        <w:t>页面结构</w:t>
      </w:r>
    </w:p>
    <w:p>
      <w:pPr>
        <w:spacing w:after="60"/>
        <w:ind w:left="461" w:hanging="317"/>
      </w:pPr>
      <w:r>
        <w:rPr>
          <w:rFonts w:ascii="Microsoft YaHei" w:hAnsi="Microsoft YaHei" w:eastAsia="Microsoft YaHei"/>
          <w:b/>
          <w:color w:val="24445C"/>
          <w:sz w:val="20"/>
        </w:rPr>
        <w:t xml:space="preserve">1. </w:t>
      </w:r>
      <w:r>
        <w:rPr>
          <w:rFonts w:ascii="Microsoft YaHei" w:hAnsi="Microsoft YaHei" w:eastAsia="Microsoft YaHei"/>
          <w:color w:val="000000"/>
          <w:sz w:val="20"/>
        </w:rPr>
        <w:t>市场资料库：年度报告、月报、白皮书、政策解读和数据汇总。</w:t>
      </w:r>
    </w:p>
    <w:p>
      <w:pPr>
        <w:spacing w:after="60"/>
        <w:ind w:left="461" w:hanging="317"/>
      </w:pPr>
      <w:r>
        <w:rPr>
          <w:rFonts w:ascii="Microsoft YaHei" w:hAnsi="Microsoft YaHei" w:eastAsia="Microsoft YaHei"/>
          <w:b/>
          <w:color w:val="24445C"/>
          <w:sz w:val="20"/>
        </w:rPr>
        <w:t xml:space="preserve">2. </w:t>
      </w:r>
      <w:r>
        <w:rPr>
          <w:rFonts w:ascii="Microsoft YaHei" w:hAnsi="Microsoft YaHei" w:eastAsia="Microsoft YaHei"/>
          <w:color w:val="000000"/>
          <w:sz w:val="20"/>
        </w:rPr>
        <w:t>AI 智能体中心：系统内调用的智能体与外部工具入口。</w:t>
      </w:r>
    </w:p>
    <w:p>
      <w:pPr>
        <w:spacing w:after="60"/>
        <w:ind w:left="461" w:hanging="317"/>
      </w:pPr>
      <w:r>
        <w:rPr>
          <w:rFonts w:ascii="Microsoft YaHei" w:hAnsi="Microsoft YaHei" w:eastAsia="Microsoft YaHei"/>
          <w:b/>
          <w:color w:val="24445C"/>
          <w:sz w:val="20"/>
        </w:rPr>
        <w:t xml:space="preserve">3. </w:t>
      </w:r>
      <w:r>
        <w:rPr>
          <w:rFonts w:ascii="Microsoft YaHei" w:hAnsi="Microsoft YaHei" w:eastAsia="Microsoft YaHei"/>
          <w:color w:val="000000"/>
          <w:sz w:val="20"/>
        </w:rPr>
        <w:t>观海学院：课程、学习进度和资料。</w:t>
      </w:r>
    </w:p>
    <w:p>
      <w:pPr>
        <w:pStyle w:val="RoadmapLabel"/>
      </w:pPr>
      <w:r>
        <w:t>建议数据表</w:t>
      </w:r>
    </w:p>
    <w:p>
      <w:pPr>
        <w:spacing w:after="60"/>
        <w:ind w:left="461" w:hanging="317"/>
      </w:pPr>
      <w:r>
        <w:rPr>
          <w:rFonts w:ascii="Microsoft YaHei" w:hAnsi="Microsoft YaHei" w:eastAsia="Microsoft YaHei"/>
          <w:b w:val="0"/>
          <w:color w:val="000000"/>
          <w:sz w:val="20"/>
        </w:rPr>
        <w:t xml:space="preserve">• </w:t>
      </w:r>
      <w:r>
        <w:rPr>
          <w:rFonts w:ascii="Consolas" w:hAnsi="Consolas" w:eastAsia="Consolas"/>
          <w:color w:val="38434A"/>
          <w:sz w:val="19"/>
        </w:rPr>
        <w:t>resource_items</w:t>
      </w:r>
      <w:r>
        <w:rPr>
          <w:rFonts w:ascii="Microsoft YaHei" w:hAnsi="Microsoft YaHei" w:eastAsia="Microsoft YaHei"/>
          <w:color w:val="000000"/>
          <w:sz w:val="20"/>
        </w:rPr>
        <w:t>：标题、摘要、资源类型、市场、平台、品类、年份和状态。</w:t>
      </w:r>
    </w:p>
    <w:p>
      <w:pPr>
        <w:spacing w:after="60"/>
        <w:ind w:left="461" w:hanging="317"/>
      </w:pPr>
      <w:r>
        <w:rPr>
          <w:rFonts w:ascii="Microsoft YaHei" w:hAnsi="Microsoft YaHei" w:eastAsia="Microsoft YaHei"/>
          <w:b w:val="0"/>
          <w:color w:val="000000"/>
          <w:sz w:val="20"/>
        </w:rPr>
        <w:t xml:space="preserve">• </w:t>
      </w:r>
      <w:r>
        <w:rPr>
          <w:rFonts w:ascii="Consolas" w:hAnsi="Consolas" w:eastAsia="Consolas"/>
          <w:color w:val="38434A"/>
          <w:sz w:val="19"/>
        </w:rPr>
        <w:t>resource_versions</w:t>
      </w:r>
      <w:r>
        <w:rPr>
          <w:rFonts w:ascii="Microsoft YaHei" w:hAnsi="Microsoft YaHei" w:eastAsia="Microsoft YaHei"/>
          <w:color w:val="000000"/>
          <w:sz w:val="20"/>
        </w:rPr>
        <w:t>：文件版本、发布日期、来源和更新说明。</w:t>
      </w:r>
    </w:p>
    <w:p>
      <w:pPr>
        <w:spacing w:after="60"/>
        <w:ind w:left="461" w:hanging="317"/>
      </w:pPr>
      <w:r>
        <w:rPr>
          <w:rFonts w:ascii="Microsoft YaHei" w:hAnsi="Microsoft YaHei" w:eastAsia="Microsoft YaHei"/>
          <w:b w:val="0"/>
          <w:color w:val="000000"/>
          <w:sz w:val="20"/>
        </w:rPr>
        <w:t xml:space="preserve">• </w:t>
      </w:r>
      <w:r>
        <w:rPr>
          <w:rFonts w:ascii="Consolas" w:hAnsi="Consolas" w:eastAsia="Consolas"/>
          <w:color w:val="38434A"/>
          <w:sz w:val="19"/>
        </w:rPr>
        <w:t>resource_files</w:t>
      </w:r>
      <w:r>
        <w:rPr>
          <w:rFonts w:ascii="Microsoft YaHei" w:hAnsi="Microsoft YaHei" w:eastAsia="Microsoft YaHei"/>
          <w:color w:val="000000"/>
          <w:sz w:val="20"/>
        </w:rPr>
        <w:t>：Storage 路径、格式、大小和访问级别。</w:t>
      </w:r>
    </w:p>
    <w:p>
      <w:pPr>
        <w:spacing w:after="60"/>
        <w:ind w:left="461" w:hanging="317"/>
      </w:pPr>
      <w:r>
        <w:rPr>
          <w:rFonts w:ascii="Microsoft YaHei" w:hAnsi="Microsoft YaHei" w:eastAsia="Microsoft YaHei"/>
          <w:b w:val="0"/>
          <w:color w:val="000000"/>
          <w:sz w:val="20"/>
        </w:rPr>
        <w:t xml:space="preserve">• </w:t>
      </w:r>
      <w:r>
        <w:rPr>
          <w:rFonts w:ascii="Consolas" w:hAnsi="Consolas" w:eastAsia="Consolas"/>
          <w:color w:val="38434A"/>
          <w:sz w:val="19"/>
        </w:rPr>
        <w:t>resource_tags</w:t>
      </w:r>
      <w:r>
        <w:rPr>
          <w:rFonts w:ascii="Microsoft YaHei" w:hAnsi="Microsoft YaHei" w:eastAsia="Microsoft YaHei"/>
          <w:color w:val="000000"/>
          <w:sz w:val="20"/>
        </w:rPr>
        <w:t>：标签和检索关系。</w:t>
      </w:r>
    </w:p>
    <w:p>
      <w:pPr>
        <w:spacing w:after="60"/>
        <w:ind w:left="461" w:hanging="317"/>
      </w:pPr>
      <w:r>
        <w:rPr>
          <w:rFonts w:ascii="Microsoft YaHei" w:hAnsi="Microsoft YaHei" w:eastAsia="Microsoft YaHei"/>
          <w:b w:val="0"/>
          <w:color w:val="000000"/>
          <w:sz w:val="20"/>
        </w:rPr>
        <w:t xml:space="preserve">• </w:t>
      </w:r>
      <w:r>
        <w:rPr>
          <w:rFonts w:ascii="Consolas" w:hAnsi="Consolas" w:eastAsia="Consolas"/>
          <w:color w:val="38434A"/>
          <w:sz w:val="19"/>
        </w:rPr>
        <w:t>resource_access_logs</w:t>
      </w:r>
      <w:r>
        <w:rPr>
          <w:rFonts w:ascii="Microsoft YaHei" w:hAnsi="Microsoft YaHei" w:eastAsia="Microsoft YaHei"/>
          <w:color w:val="000000"/>
          <w:sz w:val="20"/>
        </w:rPr>
        <w:t>：浏览和下载统计。</w:t>
      </w:r>
    </w:p>
    <w:p>
      <w:pPr>
        <w:pStyle w:val="RoadmapLabel"/>
      </w:pPr>
      <w:r>
        <w:t>完成标准</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管理员可以上传、编辑、换版、上下架和设置权限。</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用户可以按国家、平台、年份、类型和关键词检索。</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受版权限制的资料不能通过公开 URL 下载。</w:t>
      </w:r>
    </w:p>
    <w:p>
      <w:pPr>
        <w:pStyle w:val="Heading3"/>
      </w:pPr>
      <w:r>
        <w:t>步骤 17 上线观海学院</w:t>
      </w:r>
    </w:p>
    <w:p>
      <w:pPr>
        <w:pStyle w:val="RoadmapLabel"/>
      </w:pPr>
      <w:r>
        <w:t>目标</w:t>
      </w:r>
    </w:p>
    <w:p>
      <w:pPr>
        <w:jc w:val="both"/>
      </w:pPr>
      <w:r>
        <w:rPr>
          <w:rFonts w:ascii="Microsoft YaHei" w:hAnsi="Microsoft YaHei" w:eastAsia="Microsoft YaHei"/>
          <w:color w:val="000000"/>
          <w:sz w:val="21"/>
        </w:rPr>
        <w:t>把已完成的“短视频操盘手”课程体系正式放入系统，并保留未来扩展能力。</w:t>
      </w:r>
    </w:p>
    <w:p>
      <w:pPr>
        <w:pStyle w:val="RoadmapLabel"/>
      </w:pPr>
      <w:r>
        <w:t>建议数据表</w:t>
      </w:r>
    </w:p>
    <w:p>
      <w:pPr>
        <w:spacing w:after="60"/>
        <w:ind w:left="461" w:hanging="317"/>
      </w:pPr>
      <w:r>
        <w:rPr>
          <w:rFonts w:ascii="Microsoft YaHei" w:hAnsi="Microsoft YaHei" w:eastAsia="Microsoft YaHei"/>
          <w:b w:val="0"/>
          <w:color w:val="000000"/>
          <w:sz w:val="20"/>
        </w:rPr>
        <w:t xml:space="preserve">• </w:t>
      </w:r>
      <w:r>
        <w:rPr>
          <w:rFonts w:ascii="Consolas" w:hAnsi="Consolas" w:eastAsia="Consolas"/>
          <w:color w:val="38434A"/>
          <w:sz w:val="19"/>
        </w:rPr>
        <w:t>courses</w:t>
      </w:r>
      <w:r>
        <w:rPr>
          <w:rFonts w:ascii="Microsoft YaHei" w:hAnsi="Microsoft YaHei" w:eastAsia="Microsoft YaHei"/>
          <w:color w:val="000000"/>
          <w:sz w:val="20"/>
        </w:rPr>
        <w:t>：课程信息、封面、讲师、权限和发布状态。</w:t>
      </w:r>
    </w:p>
    <w:p>
      <w:pPr>
        <w:spacing w:after="60"/>
        <w:ind w:left="461" w:hanging="317"/>
      </w:pPr>
      <w:r>
        <w:rPr>
          <w:rFonts w:ascii="Microsoft YaHei" w:hAnsi="Microsoft YaHei" w:eastAsia="Microsoft YaHei"/>
          <w:b w:val="0"/>
          <w:color w:val="000000"/>
          <w:sz w:val="20"/>
        </w:rPr>
        <w:t xml:space="preserve">• </w:t>
      </w:r>
      <w:r>
        <w:rPr>
          <w:rFonts w:ascii="Consolas" w:hAnsi="Consolas" w:eastAsia="Consolas"/>
          <w:color w:val="38434A"/>
          <w:sz w:val="19"/>
        </w:rPr>
        <w:t>course_modules</w:t>
      </w:r>
      <w:r>
        <w:rPr>
          <w:rFonts w:ascii="Microsoft YaHei" w:hAnsi="Microsoft YaHei" w:eastAsia="Microsoft YaHei"/>
          <w:color w:val="000000"/>
          <w:sz w:val="20"/>
        </w:rPr>
        <w:t>：课程章节。</w:t>
      </w:r>
    </w:p>
    <w:p>
      <w:pPr>
        <w:spacing w:after="60"/>
        <w:ind w:left="461" w:hanging="317"/>
      </w:pPr>
      <w:r>
        <w:rPr>
          <w:rFonts w:ascii="Microsoft YaHei" w:hAnsi="Microsoft YaHei" w:eastAsia="Microsoft YaHei"/>
          <w:b w:val="0"/>
          <w:color w:val="000000"/>
          <w:sz w:val="20"/>
        </w:rPr>
        <w:t xml:space="preserve">• </w:t>
      </w:r>
      <w:r>
        <w:rPr>
          <w:rFonts w:ascii="Consolas" w:hAnsi="Consolas" w:eastAsia="Consolas"/>
          <w:color w:val="38434A"/>
          <w:sz w:val="19"/>
        </w:rPr>
        <w:t>course_lessons</w:t>
      </w:r>
      <w:r>
        <w:rPr>
          <w:rFonts w:ascii="Microsoft YaHei" w:hAnsi="Microsoft YaHei" w:eastAsia="Microsoft YaHei"/>
          <w:color w:val="000000"/>
          <w:sz w:val="20"/>
        </w:rPr>
        <w:t>：视频、文章、附件和预计时长。</w:t>
      </w:r>
    </w:p>
    <w:p>
      <w:pPr>
        <w:spacing w:after="60"/>
        <w:ind w:left="461" w:hanging="317"/>
      </w:pPr>
      <w:r>
        <w:rPr>
          <w:rFonts w:ascii="Microsoft YaHei" w:hAnsi="Microsoft YaHei" w:eastAsia="Microsoft YaHei"/>
          <w:b w:val="0"/>
          <w:color w:val="000000"/>
          <w:sz w:val="20"/>
        </w:rPr>
        <w:t xml:space="preserve">• </w:t>
      </w:r>
      <w:r>
        <w:rPr>
          <w:rFonts w:ascii="Consolas" w:hAnsi="Consolas" w:eastAsia="Consolas"/>
          <w:color w:val="38434A"/>
          <w:sz w:val="19"/>
        </w:rPr>
        <w:t>course_enrollments</w:t>
      </w:r>
      <w:r>
        <w:rPr>
          <w:rFonts w:ascii="Microsoft YaHei" w:hAnsi="Microsoft YaHei" w:eastAsia="Microsoft YaHei"/>
          <w:color w:val="000000"/>
          <w:sz w:val="20"/>
        </w:rPr>
        <w:t>：用户选课和有效期。</w:t>
      </w:r>
    </w:p>
    <w:p>
      <w:pPr>
        <w:spacing w:after="60"/>
        <w:ind w:left="461" w:hanging="317"/>
      </w:pPr>
      <w:r>
        <w:rPr>
          <w:rFonts w:ascii="Microsoft YaHei" w:hAnsi="Microsoft YaHei" w:eastAsia="Microsoft YaHei"/>
          <w:b w:val="0"/>
          <w:color w:val="000000"/>
          <w:sz w:val="20"/>
        </w:rPr>
        <w:t xml:space="preserve">• </w:t>
      </w:r>
      <w:r>
        <w:rPr>
          <w:rFonts w:ascii="Consolas" w:hAnsi="Consolas" w:eastAsia="Consolas"/>
          <w:color w:val="38434A"/>
          <w:sz w:val="19"/>
        </w:rPr>
        <w:t>lesson_progress</w:t>
      </w:r>
      <w:r>
        <w:rPr>
          <w:rFonts w:ascii="Microsoft YaHei" w:hAnsi="Microsoft YaHei" w:eastAsia="Microsoft YaHei"/>
          <w:color w:val="000000"/>
          <w:sz w:val="20"/>
        </w:rPr>
        <w:t>：观看进度和完成状态。</w:t>
      </w:r>
    </w:p>
    <w:p>
      <w:pPr>
        <w:spacing w:after="60"/>
        <w:ind w:left="461" w:hanging="317"/>
      </w:pPr>
      <w:r>
        <w:rPr>
          <w:rFonts w:ascii="Microsoft YaHei" w:hAnsi="Microsoft YaHei" w:eastAsia="Microsoft YaHei"/>
          <w:b w:val="0"/>
          <w:color w:val="000000"/>
          <w:sz w:val="20"/>
        </w:rPr>
        <w:t xml:space="preserve">• </w:t>
      </w:r>
      <w:r>
        <w:rPr>
          <w:rFonts w:ascii="Consolas" w:hAnsi="Consolas" w:eastAsia="Consolas"/>
          <w:color w:val="38434A"/>
          <w:sz w:val="19"/>
        </w:rPr>
        <w:t>course_assignments</w:t>
      </w:r>
      <w:r>
        <w:rPr>
          <w:rFonts w:ascii="Microsoft YaHei" w:hAnsi="Microsoft YaHei" w:eastAsia="Microsoft YaHei"/>
          <w:color w:val="000000"/>
          <w:sz w:val="20"/>
        </w:rPr>
        <w:t xml:space="preserve"> / </w:t>
      </w:r>
      <w:r>
        <w:rPr>
          <w:rFonts w:ascii="Consolas" w:hAnsi="Consolas" w:eastAsia="Consolas"/>
          <w:color w:val="38434A"/>
          <w:sz w:val="19"/>
        </w:rPr>
        <w:t>course_quizzes</w:t>
      </w:r>
      <w:r>
        <w:rPr>
          <w:rFonts w:ascii="Microsoft YaHei" w:hAnsi="Microsoft YaHei" w:eastAsia="Microsoft YaHei"/>
          <w:color w:val="000000"/>
          <w:sz w:val="20"/>
        </w:rPr>
        <w:t>：作业与测验。</w:t>
      </w:r>
    </w:p>
    <w:p>
      <w:pPr>
        <w:pStyle w:val="RoadmapLabel"/>
      </w:pPr>
      <w:r>
        <w:t>需要修改</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课程视频不进入 GitHub，也不作为数据库大字段保存。</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使用私有视频存储、签名播放地址或专业视频平台。</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支持断点续看、课件下载、收藏和学习进度。</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课程权限与工作区套餐、单独购买或人工授权关联。</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课程问答可以接入专门的 Coze/豆包智能体，但只检索已授权课程内容。</w:t>
      </w:r>
    </w:p>
    <w:p>
      <w:pPr>
        <w:pStyle w:val="RoadmapLabel"/>
      </w:pPr>
      <w:r>
        <w:t>完成标准</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用户跨电脑登录后学习进度一致。</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未授权用户不能直接获取视频真实地址。</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管理员可以调整章节顺序并发布新版本。</w:t>
      </w:r>
    </w:p>
    <w:p>
      <w:pPr>
        <w:pStyle w:val="Heading2"/>
      </w:pPr>
      <w:r>
        <w:t>阶段 F 收费 通知和全面发布 P2 P3</w:t>
      </w:r>
    </w:p>
    <w:p>
      <w:pPr>
        <w:pStyle w:val="Heading3"/>
      </w:pPr>
      <w:r>
        <w:t>步骤 18 完成 Stripe 正式收费闭环</w:t>
      </w:r>
    </w:p>
    <w:p>
      <w:pPr>
        <w:pStyle w:val="RoadmapLabel"/>
      </w:pPr>
      <w:r>
        <w:t>目标</w:t>
      </w:r>
    </w:p>
    <w:p>
      <w:pPr>
        <w:jc w:val="both"/>
      </w:pPr>
      <w:r>
        <w:rPr>
          <w:rFonts w:ascii="Microsoft YaHei" w:hAnsi="Microsoft YaHei" w:eastAsia="Microsoft YaHei"/>
          <w:color w:val="000000"/>
          <w:sz w:val="21"/>
        </w:rPr>
        <w:t>在工作区套餐模型稳定后，完成真实购买、续费、取消和退款。</w:t>
      </w:r>
    </w:p>
    <w:p>
      <w:pPr>
        <w:pStyle w:val="RoadmapLabel"/>
      </w:pPr>
      <w:r>
        <w:t>完成标准</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Stripe live 模式小额购买成功。</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续费、付款失败、恢复、周期末取消、立即取消、部分退款和全额退款全部验证。</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Webhook 重放不重复开通权益。</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Stripe、Supabase、页面和账单门户状态一致。</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 xml:space="preserve">全部证据通过后才设置 </w:t>
      </w:r>
      <w:r>
        <w:rPr>
          <w:rFonts w:ascii="Consolas" w:hAnsi="Consolas" w:eastAsia="Consolas"/>
          <w:color w:val="38434A"/>
          <w:sz w:val="19"/>
        </w:rPr>
        <w:t>BILLING_ENABLED=true</w:t>
      </w:r>
      <w:r>
        <w:rPr>
          <w:rFonts w:ascii="Microsoft YaHei" w:hAnsi="Microsoft YaHei" w:eastAsia="Microsoft YaHei"/>
          <w:color w:val="000000"/>
          <w:sz w:val="20"/>
        </w:rPr>
        <w:t>。</w:t>
      </w:r>
    </w:p>
    <w:p>
      <w:pPr>
        <w:pStyle w:val="Heading3"/>
      </w:pPr>
      <w:r>
        <w:t>步骤 19 完成外部预警通知</w:t>
      </w:r>
    </w:p>
    <w:p>
      <w:pPr>
        <w:pStyle w:val="RoadmapLabel"/>
      </w:pPr>
      <w:r>
        <w:t>目标</w:t>
      </w:r>
    </w:p>
    <w:p>
      <w:pPr>
        <w:jc w:val="both"/>
      </w:pPr>
      <w:r>
        <w:rPr>
          <w:rFonts w:ascii="Microsoft YaHei" w:hAnsi="Microsoft YaHei" w:eastAsia="Microsoft YaHei"/>
          <w:color w:val="000000"/>
          <w:sz w:val="21"/>
        </w:rPr>
        <w:t>在站内通知之外，正式提供邮件、企业微信和飞书预警。</w:t>
      </w:r>
    </w:p>
    <w:p>
      <w:pPr>
        <w:pStyle w:val="RoadmapLabel"/>
      </w:pPr>
      <w:r>
        <w:t>完成标准</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配置通知加密密钥和独立发件邮箱。</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三个渠道分别完成真实发送、失败、重试和停用测试。</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相同来源记录不重复发送。</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工作区之间不能读取对方通知配置。</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 xml:space="preserve">验收通过后才设置 </w:t>
      </w:r>
      <w:r>
        <w:rPr>
          <w:rFonts w:ascii="Consolas" w:hAnsi="Consolas" w:eastAsia="Consolas"/>
          <w:color w:val="38434A"/>
          <w:sz w:val="19"/>
        </w:rPr>
        <w:t>NOTIFICATION_CHANNELS_ENABLED=true</w:t>
      </w:r>
      <w:r>
        <w:rPr>
          <w:rFonts w:ascii="Microsoft YaHei" w:hAnsi="Microsoft YaHei" w:eastAsia="Microsoft YaHei"/>
          <w:color w:val="000000"/>
          <w:sz w:val="20"/>
        </w:rPr>
        <w:t>。</w:t>
      </w:r>
    </w:p>
    <w:p>
      <w:pPr>
        <w:pStyle w:val="Heading3"/>
      </w:pPr>
      <w:r>
        <w:t>步骤 20 负载 安全和分阶段开放</w:t>
      </w:r>
    </w:p>
    <w:p>
      <w:pPr>
        <w:pStyle w:val="RoadmapLabel"/>
      </w:pPr>
      <w:r>
        <w:t>目标</w:t>
      </w:r>
    </w:p>
    <w:p>
      <w:pPr>
        <w:jc w:val="both"/>
      </w:pPr>
      <w:r>
        <w:rPr>
          <w:rFonts w:ascii="Microsoft YaHei" w:hAnsi="Microsoft YaHei" w:eastAsia="Microsoft YaHei"/>
          <w:color w:val="000000"/>
          <w:sz w:val="21"/>
        </w:rPr>
        <w:t>先小范围公开，再逐步增加用户，不直接一次性全量开放。</w:t>
      </w:r>
    </w:p>
    <w:p>
      <w:pPr>
        <w:pStyle w:val="RoadmapLabel"/>
      </w:pPr>
      <w:r>
        <w:t>测试内容</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100、500、1000 个并发读取用户的页面与搜索测试。</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AI、报告和导出的队列及限流测试。</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大文件上传、恶意文件、超长 Prompt 和重复提交测试。</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数据库连接数、查询耗时、Storage 流量和月度成本测试。</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浏览器兼容性、移动端和弱网测试。</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账号删除、工作区删除和备份恢复测试。</w:t>
      </w:r>
    </w:p>
    <w:p>
      <w:pPr>
        <w:pStyle w:val="RoadmapLabel"/>
      </w:pPr>
      <w:r>
        <w:t>发布阶段</w:t>
      </w:r>
    </w:p>
    <w:p>
      <w:pPr>
        <w:spacing w:after="60"/>
        <w:ind w:left="461" w:hanging="317"/>
      </w:pPr>
      <w:r>
        <w:rPr>
          <w:rFonts w:ascii="Microsoft YaHei" w:hAnsi="Microsoft YaHei" w:eastAsia="Microsoft YaHei"/>
          <w:b/>
          <w:color w:val="24445C"/>
          <w:sz w:val="20"/>
        </w:rPr>
        <w:t xml:space="preserve">1. </w:t>
      </w:r>
      <w:r>
        <w:rPr>
          <w:rFonts w:ascii="Microsoft YaHei" w:hAnsi="Microsoft YaHei" w:eastAsia="Microsoft YaHei"/>
          <w:color w:val="000000"/>
          <w:sz w:val="20"/>
        </w:rPr>
        <w:t>内部账号：开发和数据核验。</w:t>
      </w:r>
    </w:p>
    <w:p>
      <w:pPr>
        <w:spacing w:after="60"/>
        <w:ind w:left="461" w:hanging="317"/>
      </w:pPr>
      <w:r>
        <w:rPr>
          <w:rFonts w:ascii="Microsoft YaHei" w:hAnsi="Microsoft YaHei" w:eastAsia="Microsoft YaHei"/>
          <w:b/>
          <w:color w:val="24445C"/>
          <w:sz w:val="20"/>
        </w:rPr>
        <w:t xml:space="preserve">2. </w:t>
      </w:r>
      <w:r>
        <w:rPr>
          <w:rFonts w:ascii="Microsoft YaHei" w:hAnsi="Microsoft YaHei" w:eastAsia="Microsoft YaHei"/>
          <w:color w:val="000000"/>
          <w:sz w:val="20"/>
        </w:rPr>
        <w:t>邀请制内测：10-30 名用户。</w:t>
      </w:r>
    </w:p>
    <w:p>
      <w:pPr>
        <w:spacing w:after="60"/>
        <w:ind w:left="461" w:hanging="317"/>
      </w:pPr>
      <w:r>
        <w:rPr>
          <w:rFonts w:ascii="Microsoft YaHei" w:hAnsi="Microsoft YaHei" w:eastAsia="Microsoft YaHei"/>
          <w:b/>
          <w:color w:val="24445C"/>
          <w:sz w:val="20"/>
        </w:rPr>
        <w:t xml:space="preserve">3. </w:t>
      </w:r>
      <w:r>
        <w:rPr>
          <w:rFonts w:ascii="Microsoft YaHei" w:hAnsi="Microsoft YaHei" w:eastAsia="Microsoft YaHei"/>
          <w:color w:val="000000"/>
          <w:sz w:val="20"/>
        </w:rPr>
        <w:t>公开测试：限制注册人数和每日 AI 额度。</w:t>
      </w:r>
    </w:p>
    <w:p>
      <w:pPr>
        <w:spacing w:after="60"/>
        <w:ind w:left="461" w:hanging="317"/>
      </w:pPr>
      <w:r>
        <w:rPr>
          <w:rFonts w:ascii="Microsoft YaHei" w:hAnsi="Microsoft YaHei" w:eastAsia="Microsoft YaHei"/>
          <w:b/>
          <w:color w:val="24445C"/>
          <w:sz w:val="20"/>
        </w:rPr>
        <w:t xml:space="preserve">4. </w:t>
      </w:r>
      <w:r>
        <w:rPr>
          <w:rFonts w:ascii="Microsoft YaHei" w:hAnsi="Microsoft YaHei" w:eastAsia="Microsoft YaHei"/>
          <w:color w:val="000000"/>
          <w:sz w:val="20"/>
        </w:rPr>
        <w:t>正式发布：收费、通知、客服和运维值班均准备完成。</w:t>
      </w:r>
    </w:p>
    <w:p>
      <w:pPr>
        <w:pStyle w:val="RoadmapLabel"/>
      </w:pPr>
      <w:r>
        <w:t>完成标准</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连续两周没有未解释的 P0/P1 生产事故。</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错误率、AI 成本、采集成本和数据库容量均在预算范围内。</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随机抽查用户数据隔离、报告引用和第三方数据标识全部正确。</w:t>
      </w:r>
    </w:p>
    <w:p>
      <w:pPr>
        <w:pStyle w:val="Heading1"/>
        <w:spacing w:before="320"/>
      </w:pPr>
      <w:r>
        <w:t>六 推荐执行排期</w:t>
      </w:r>
    </w:p>
    <w:p>
      <w:pPr>
        <w:jc w:val="both"/>
      </w:pPr>
      <w:r>
        <w:rPr>
          <w:rFonts w:ascii="Microsoft YaHei" w:hAnsi="Microsoft YaHei" w:eastAsia="Microsoft YaHei"/>
          <w:color w:val="000000"/>
          <w:sz w:val="21"/>
        </w:rPr>
        <w:t>以下为单个全栈开发主导、第三方审批和课程内容整理另计的粗略排期：</w:t>
      </w:r>
    </w:p>
    <w:tbl>
      <w:tblPr>
        <w:tblW w:type="dxa" w:w="9864"/>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512"/>
            <w:shd w:fill="24445C"/>
            <w:tcMar>
              <w:top w:w="110" w:type="dxa"/>
              <w:start w:w="120" w:type="dxa"/>
              <w:bottom w:w="110" w:type="dxa"/>
              <w:end w:w="120" w:type="dxa"/>
            </w:tcMar>
            <w:vAlign w:val="center"/>
          </w:tcPr>
          <w:p>
            <w:pPr>
              <w:spacing w:after="0"/>
              <w:jc w:val="center"/>
            </w:pPr>
            <w:r>
              <w:rPr>
                <w:rFonts w:ascii="Microsoft YaHei" w:hAnsi="Microsoft YaHei" w:eastAsia="Microsoft YaHei"/>
                <w:b/>
                <w:color w:val="FFFFFF"/>
                <w:sz w:val="18"/>
              </w:rPr>
              <w:t>周期</w:t>
            </w:r>
          </w:p>
        </w:tc>
        <w:tc>
          <w:tcPr>
            <w:tcW w:type="dxa" w:w="6264"/>
            <w:shd w:fill="24445C"/>
            <w:tcMar>
              <w:top w:w="110" w:type="dxa"/>
              <w:start w:w="120" w:type="dxa"/>
              <w:bottom w:w="110" w:type="dxa"/>
              <w:end w:w="120" w:type="dxa"/>
            </w:tcMar>
            <w:vAlign w:val="center"/>
          </w:tcPr>
          <w:p>
            <w:pPr>
              <w:spacing w:after="0"/>
              <w:jc w:val="center"/>
            </w:pPr>
            <w:r>
              <w:rPr>
                <w:rFonts w:ascii="Microsoft YaHei" w:hAnsi="Microsoft YaHei" w:eastAsia="Microsoft YaHei"/>
                <w:b/>
                <w:color w:val="FFFFFF"/>
                <w:sz w:val="18"/>
              </w:rPr>
              <w:t>主要工作</w:t>
            </w:r>
          </w:p>
        </w:tc>
        <w:tc>
          <w:tcPr>
            <w:tcW w:type="dxa" w:w="2088"/>
            <w:shd w:fill="24445C"/>
            <w:tcMar>
              <w:top w:w="110" w:type="dxa"/>
              <w:start w:w="120" w:type="dxa"/>
              <w:bottom w:w="110" w:type="dxa"/>
              <w:end w:w="120" w:type="dxa"/>
            </w:tcMar>
            <w:vAlign w:val="center"/>
          </w:tcPr>
          <w:p>
            <w:pPr>
              <w:spacing w:after="0"/>
              <w:jc w:val="center"/>
            </w:pPr>
            <w:r>
              <w:rPr>
                <w:rFonts w:ascii="Microsoft YaHei" w:hAnsi="Microsoft YaHei" w:eastAsia="Microsoft YaHei"/>
                <w:b/>
                <w:color w:val="FFFFFF"/>
                <w:sz w:val="18"/>
              </w:rPr>
              <w:t>对应步骤</w:t>
            </w:r>
          </w:p>
        </w:tc>
      </w:tr>
      <w:tr>
        <w:trPr>
          <w:cantSplit/>
        </w:trPr>
        <w:tc>
          <w:tcPr>
            <w:tcW w:type="dxa" w:w="1512"/>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第 1 周</w:t>
            </w:r>
          </w:p>
        </w:tc>
        <w:tc>
          <w:tcPr>
            <w:tcW w:type="dxa" w:w="6264"/>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验收数据清理、决策助手修复</w:t>
            </w:r>
          </w:p>
        </w:tc>
        <w:tc>
          <w:tcPr>
            <w:tcW w:type="dxa" w:w="208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1-2</w:t>
            </w:r>
          </w:p>
        </w:tc>
      </w:tr>
      <w:tr>
        <w:trPr>
          <w:cantSplit/>
        </w:trPr>
        <w:tc>
          <w:tcPr>
            <w:tcW w:type="dxa" w:w="1512"/>
            <w:shd w:fill="F3F6F8"/>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第 2 周</w:t>
            </w:r>
          </w:p>
        </w:tc>
        <w:tc>
          <w:tcPr>
            <w:tcW w:type="dxa" w:w="6264"/>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跨账号报告、工作区权限和临时权益</w:t>
            </w:r>
          </w:p>
        </w:tc>
        <w:tc>
          <w:tcPr>
            <w:tcW w:type="dxa" w:w="2088"/>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3-4</w:t>
            </w:r>
          </w:p>
        </w:tc>
      </w:tr>
      <w:tr>
        <w:trPr>
          <w:cantSplit/>
        </w:trPr>
        <w:tc>
          <w:tcPr>
            <w:tcW w:type="dxa" w:w="1512"/>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第 3 周</w:t>
            </w:r>
          </w:p>
        </w:tc>
        <w:tc>
          <w:tcPr>
            <w:tcW w:type="dxa" w:w="6264"/>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私有数据迁移、安全、备份和限流</w:t>
            </w:r>
          </w:p>
        </w:tc>
        <w:tc>
          <w:tcPr>
            <w:tcW w:type="dxa" w:w="208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5-6</w:t>
            </w:r>
          </w:p>
        </w:tc>
      </w:tr>
      <w:tr>
        <w:trPr>
          <w:cantSplit/>
        </w:trPr>
        <w:tc>
          <w:tcPr>
            <w:tcW w:type="dxa" w:w="1512"/>
            <w:shd w:fill="F3F6F8"/>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第 4-5 周</w:t>
            </w:r>
          </w:p>
        </w:tc>
        <w:tc>
          <w:tcPr>
            <w:tcW w:type="dxa" w:w="6264"/>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来源台账、历史数据库模型</w:t>
            </w:r>
          </w:p>
        </w:tc>
        <w:tc>
          <w:tcPr>
            <w:tcW w:type="dxa" w:w="2088"/>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7-8</w:t>
            </w:r>
          </w:p>
        </w:tc>
      </w:tr>
      <w:tr>
        <w:trPr>
          <w:cantSplit/>
        </w:trPr>
        <w:tc>
          <w:tcPr>
            <w:tcW w:type="dxa" w:w="1512"/>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第 6-7 周</w:t>
            </w:r>
          </w:p>
        </w:tc>
        <w:tc>
          <w:tcPr>
            <w:tcW w:type="dxa" w:w="6264"/>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政策/规则回填、采集 Worker</w:t>
            </w:r>
          </w:p>
        </w:tc>
        <w:tc>
          <w:tcPr>
            <w:tcW w:type="dxa" w:w="208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9-10</w:t>
            </w:r>
          </w:p>
        </w:tc>
      </w:tr>
      <w:tr>
        <w:trPr>
          <w:cantSplit/>
        </w:trPr>
        <w:tc>
          <w:tcPr>
            <w:tcW w:type="dxa" w:w="1512"/>
            <w:shd w:fill="F3F6F8"/>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第 8-9 周</w:t>
            </w:r>
          </w:p>
        </w:tc>
        <w:tc>
          <w:tcPr>
            <w:tcW w:type="dxa" w:w="6264"/>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平台规则覆盖和历史搜索</w:t>
            </w:r>
          </w:p>
        </w:tc>
        <w:tc>
          <w:tcPr>
            <w:tcW w:type="dxa" w:w="2088"/>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11-12</w:t>
            </w:r>
          </w:p>
        </w:tc>
      </w:tr>
      <w:tr>
        <w:trPr>
          <w:cantSplit/>
        </w:trPr>
        <w:tc>
          <w:tcPr>
            <w:tcW w:type="dxa" w:w="1512"/>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第 10 周</w:t>
            </w:r>
          </w:p>
        </w:tc>
        <w:tc>
          <w:tcPr>
            <w:tcW w:type="dxa" w:w="6264"/>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TikHub 七天试点启动</w:t>
            </w:r>
          </w:p>
        </w:tc>
        <w:tc>
          <w:tcPr>
            <w:tcW w:type="dxa" w:w="208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13</w:t>
            </w:r>
          </w:p>
        </w:tc>
      </w:tr>
      <w:tr>
        <w:trPr>
          <w:cantSplit/>
        </w:trPr>
        <w:tc>
          <w:tcPr>
            <w:tcW w:type="dxa" w:w="1512"/>
            <w:shd w:fill="F3F6F8"/>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第 11-12 周</w:t>
            </w:r>
          </w:p>
        </w:tc>
        <w:tc>
          <w:tcPr>
            <w:tcW w:type="dxa" w:w="6264"/>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TikHub 产品化、多 AI Gateway</w:t>
            </w:r>
          </w:p>
        </w:tc>
        <w:tc>
          <w:tcPr>
            <w:tcW w:type="dxa" w:w="2088"/>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14-15</w:t>
            </w:r>
          </w:p>
        </w:tc>
      </w:tr>
      <w:tr>
        <w:trPr>
          <w:cantSplit/>
        </w:trPr>
        <w:tc>
          <w:tcPr>
            <w:tcW w:type="dxa" w:w="1512"/>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第 13-15 周</w:t>
            </w:r>
          </w:p>
        </w:tc>
        <w:tc>
          <w:tcPr>
            <w:tcW w:type="dxa" w:w="6264"/>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资源中心、观海学院</w:t>
            </w:r>
          </w:p>
        </w:tc>
        <w:tc>
          <w:tcPr>
            <w:tcW w:type="dxa" w:w="208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16-17</w:t>
            </w:r>
          </w:p>
        </w:tc>
      </w:tr>
      <w:tr>
        <w:trPr>
          <w:cantSplit/>
        </w:trPr>
        <w:tc>
          <w:tcPr>
            <w:tcW w:type="dxa" w:w="1512"/>
            <w:shd w:fill="F3F6F8"/>
            <w:tcMar>
              <w:top w:w="100" w:type="dxa"/>
              <w:start w:w="120" w:type="dxa"/>
              <w:bottom w:w="100" w:type="dxa"/>
              <w:end w:w="120" w:type="dxa"/>
            </w:tcMar>
            <w:vAlign w:val="center"/>
          </w:tcPr>
          <w:p>
            <w:pPr>
              <w:spacing w:after="0" w:line="276" w:lineRule="auto"/>
              <w:jc w:val="center"/>
            </w:pPr>
            <w:r>
              <w:rPr>
                <w:rFonts w:ascii="Microsoft YaHei" w:hAnsi="Microsoft YaHei" w:eastAsia="Microsoft YaHei"/>
                <w:color w:val="000000"/>
                <w:sz w:val="17"/>
              </w:rPr>
              <w:t>后续</w:t>
            </w:r>
          </w:p>
        </w:tc>
        <w:tc>
          <w:tcPr>
            <w:tcW w:type="dxa" w:w="6264"/>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Stripe、外部通知、负载测试和正式开放</w:t>
            </w:r>
          </w:p>
        </w:tc>
        <w:tc>
          <w:tcPr>
            <w:tcW w:type="dxa" w:w="2088"/>
            <w:shd w:fill="F3F6F8"/>
            <w:tcMar>
              <w:top w:w="100" w:type="dxa"/>
              <w:start w:w="120" w:type="dxa"/>
              <w:bottom w:w="100" w:type="dxa"/>
              <w:end w:w="120" w:type="dxa"/>
            </w:tcMar>
            <w:vAlign w:val="center"/>
          </w:tcPr>
          <w:p>
            <w:pPr>
              <w:spacing w:after="0" w:line="276" w:lineRule="auto"/>
              <w:jc w:val="left"/>
            </w:pPr>
            <w:r>
              <w:rPr>
                <w:rFonts w:ascii="Microsoft YaHei" w:hAnsi="Microsoft YaHei" w:eastAsia="Microsoft YaHei"/>
                <w:color w:val="000000"/>
                <w:sz w:val="17"/>
              </w:rPr>
              <w:t>18-20</w:t>
            </w:r>
          </w:p>
        </w:tc>
      </w:tr>
    </w:tbl>
    <w:p>
      <w:pPr>
        <w:spacing w:after="20"/>
      </w:pPr>
    </w:p>
    <w:p>
      <w:pPr>
        <w:jc w:val="both"/>
      </w:pPr>
      <w:r>
        <w:rPr>
          <w:rFonts w:ascii="Microsoft YaHei" w:hAnsi="Microsoft YaHei" w:eastAsia="Microsoft YaHei"/>
          <w:color w:val="000000"/>
          <w:sz w:val="21"/>
        </w:rPr>
        <w:t>排期会受以下因素影响：TikHub 授权和接口稳定性、Coze/豆包/WorkBuddy 的账号与 API 权限、历史来源是否支持分页回填、课程视频总容量、Stripe 商户审核和正式域名备案情况。</w:t>
      </w:r>
    </w:p>
    <w:p>
      <w:pPr>
        <w:pStyle w:val="Heading1"/>
        <w:spacing w:before="320"/>
      </w:pPr>
      <w:r>
        <w:t>七 公众发布闸门</w:t>
      </w:r>
    </w:p>
    <w:p>
      <w:pPr>
        <w:jc w:val="both"/>
      </w:pPr>
      <w:r>
        <w:rPr>
          <w:rFonts w:ascii="Microsoft YaHei" w:hAnsi="Microsoft YaHei" w:eastAsia="Microsoft YaHei"/>
          <w:color w:val="000000"/>
          <w:sz w:val="21"/>
        </w:rPr>
        <w:t>以下条件没有全部满足时，不应宣布“面向全部用户正式可用”：</w:t>
      </w:r>
    </w:p>
    <w:p>
      <w:pPr>
        <w:pStyle w:val="Heading2"/>
      </w:pPr>
      <w:r>
        <w:t>功能闸门</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决策助手、AI 报告、保存和导出跨电脑一致。</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editor 能工作，viewer 严格只读。</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工作区套餐和额度行为正确。</w:t>
      </w:r>
    </w:p>
    <w:p>
      <w:pPr>
        <w:pStyle w:val="Heading2"/>
      </w:pPr>
      <w:r>
        <w:t>数据闸门</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原始层、历史层和正式层分离。</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公众搜索可以查询历史记录。</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税收与准入未接入时明确显示缺失，不能生成确定结论。</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第三方数据有来源、时间、授权和可信等级。</w:t>
      </w:r>
    </w:p>
    <w:p>
      <w:pPr>
        <w:pStyle w:val="Heading2"/>
      </w:pPr>
      <w:r>
        <w:t>安全闸门</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公开仓库没有密钥、用户数据或受限第三方原始数据。</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RLS、限流、文件校验和 XSS 测试通过。</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数据导出、删除、备份和恢复流程可用。</w:t>
      </w:r>
    </w:p>
    <w:p>
      <w:pPr>
        <w:pStyle w:val="Heading2"/>
      </w:pPr>
      <w:r>
        <w:t>运维闸门</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数据采集失败、AI 供应商失败和数据库异常都能告警。</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生产验收不污染业务数据。</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有明确的月度 AI、TikHub、数据库、Storage 和视频流量预算。</w:t>
      </w:r>
    </w:p>
    <w:p>
      <w:pPr>
        <w:pStyle w:val="Heading2"/>
      </w:pPr>
      <w:r>
        <w:t>商业闸门</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若正式收费，Stripe live 全链路已验收。</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若承诺外部预警，邮件、企微和飞书已真实验收。</w:t>
      </w:r>
    </w:p>
    <w:p>
      <w:pPr>
        <w:spacing w:after="60"/>
        <w:ind w:left="461" w:hanging="317"/>
      </w:pPr>
      <w:r>
        <w:rPr>
          <w:rFonts w:ascii="Microsoft YaHei" w:hAnsi="Microsoft YaHei" w:eastAsia="Microsoft YaHei"/>
          <w:b w:val="0"/>
          <w:color w:val="000000"/>
          <w:sz w:val="20"/>
        </w:rPr>
        <w:t xml:space="preserve">• </w:t>
      </w:r>
      <w:r>
        <w:rPr>
          <w:rFonts w:ascii="Microsoft YaHei" w:hAnsi="Microsoft YaHei" w:eastAsia="Microsoft YaHei"/>
          <w:color w:val="000000"/>
          <w:sz w:val="20"/>
        </w:rPr>
        <w:t>隐私政策、服务条款、退款规则和第三方数据声明已经发布。</w:t>
      </w:r>
    </w:p>
    <w:p>
      <w:pPr>
        <w:pStyle w:val="Heading1"/>
        <w:spacing w:before="320"/>
      </w:pPr>
      <w:r>
        <w:t>八 立即执行顺序</w:t>
      </w:r>
    </w:p>
    <w:p>
      <w:pPr>
        <w:jc w:val="both"/>
      </w:pPr>
      <w:r>
        <w:rPr>
          <w:rFonts w:ascii="Microsoft YaHei" w:hAnsi="Microsoft YaHei" w:eastAsia="Microsoft YaHei"/>
          <w:color w:val="000000"/>
          <w:sz w:val="21"/>
        </w:rPr>
        <w:t>在不等待长期数据建设的情况下，下一轮开发应严格按以下顺序开始：</w:t>
      </w:r>
    </w:p>
    <w:p>
      <w:pPr>
        <w:spacing w:after="60"/>
        <w:ind w:left="461" w:hanging="317"/>
      </w:pPr>
      <w:r>
        <w:rPr>
          <w:rFonts w:ascii="Microsoft YaHei" w:hAnsi="Microsoft YaHei" w:eastAsia="Microsoft YaHei"/>
          <w:b/>
          <w:color w:val="24445C"/>
          <w:sz w:val="20"/>
        </w:rPr>
        <w:t xml:space="preserve">1. </w:t>
      </w:r>
      <w:r>
        <w:rPr>
          <w:rFonts w:ascii="Microsoft YaHei" w:hAnsi="Microsoft YaHei" w:eastAsia="Microsoft YaHei"/>
          <w:color w:val="000000"/>
          <w:sz w:val="20"/>
        </w:rPr>
        <w:t>步骤 1：清理并隔离生产验收数据。</w:t>
      </w:r>
    </w:p>
    <w:p>
      <w:pPr>
        <w:spacing w:after="60"/>
        <w:ind w:left="461" w:hanging="317"/>
      </w:pPr>
      <w:r>
        <w:rPr>
          <w:rFonts w:ascii="Microsoft YaHei" w:hAnsi="Microsoft YaHei" w:eastAsia="Microsoft YaHei"/>
          <w:b/>
          <w:color w:val="24445C"/>
          <w:sz w:val="20"/>
        </w:rPr>
        <w:t xml:space="preserve">2. </w:t>
      </w:r>
      <w:r>
        <w:rPr>
          <w:rFonts w:ascii="Microsoft YaHei" w:hAnsi="Microsoft YaHei" w:eastAsia="Microsoft YaHei"/>
          <w:color w:val="000000"/>
          <w:sz w:val="20"/>
        </w:rPr>
        <w:t>步骤 2：修复决策总览 AI。</w:t>
      </w:r>
    </w:p>
    <w:p>
      <w:pPr>
        <w:spacing w:after="60"/>
        <w:ind w:left="461" w:hanging="317"/>
      </w:pPr>
      <w:r>
        <w:rPr>
          <w:rFonts w:ascii="Microsoft YaHei" w:hAnsi="Microsoft YaHei" w:eastAsia="Microsoft YaHei"/>
          <w:b/>
          <w:color w:val="24445C"/>
          <w:sz w:val="20"/>
        </w:rPr>
        <w:t xml:space="preserve">3. </w:t>
      </w:r>
      <w:r>
        <w:rPr>
          <w:rFonts w:ascii="Microsoft YaHei" w:hAnsi="Microsoft YaHei" w:eastAsia="Microsoft YaHei"/>
          <w:color w:val="000000"/>
          <w:sz w:val="20"/>
        </w:rPr>
        <w:t>步骤 3：复现受邀账号的报告问题并修复角色行为。</w:t>
      </w:r>
    </w:p>
    <w:p>
      <w:pPr>
        <w:spacing w:after="60"/>
        <w:ind w:left="461" w:hanging="317"/>
      </w:pPr>
      <w:r>
        <w:rPr>
          <w:rFonts w:ascii="Microsoft YaHei" w:hAnsi="Microsoft YaHei" w:eastAsia="Microsoft YaHei"/>
          <w:b/>
          <w:color w:val="24445C"/>
          <w:sz w:val="20"/>
        </w:rPr>
        <w:t xml:space="preserve">4. </w:t>
      </w:r>
      <w:r>
        <w:rPr>
          <w:rFonts w:ascii="Microsoft YaHei" w:hAnsi="Microsoft YaHei" w:eastAsia="Microsoft YaHei"/>
          <w:color w:val="000000"/>
          <w:sz w:val="20"/>
        </w:rPr>
        <w:t>步骤 4：建立工作区级临时权益，为后续正式套餐铺路。</w:t>
      </w:r>
    </w:p>
    <w:p>
      <w:pPr>
        <w:spacing w:after="60"/>
        <w:ind w:left="461" w:hanging="317"/>
      </w:pPr>
      <w:r>
        <w:rPr>
          <w:rFonts w:ascii="Microsoft YaHei" w:hAnsi="Microsoft YaHei" w:eastAsia="Microsoft YaHei"/>
          <w:b/>
          <w:color w:val="24445C"/>
          <w:sz w:val="20"/>
        </w:rPr>
        <w:t xml:space="preserve">5. </w:t>
      </w:r>
      <w:r>
        <w:rPr>
          <w:rFonts w:ascii="Microsoft YaHei" w:hAnsi="Microsoft YaHei" w:eastAsia="Microsoft YaHei"/>
          <w:color w:val="000000"/>
          <w:sz w:val="20"/>
        </w:rPr>
        <w:t>步骤 5：迁移私有和第三方数据存储边界。</w:t>
      </w:r>
    </w:p>
    <w:p>
      <w:pPr>
        <w:spacing w:after="60"/>
        <w:ind w:left="461" w:hanging="317"/>
      </w:pPr>
      <w:r>
        <w:rPr>
          <w:rFonts w:ascii="Microsoft YaHei" w:hAnsi="Microsoft YaHei" w:eastAsia="Microsoft YaHei"/>
          <w:b/>
          <w:color w:val="24445C"/>
          <w:sz w:val="20"/>
        </w:rPr>
        <w:t xml:space="preserve">6. </w:t>
      </w:r>
      <w:r>
        <w:rPr>
          <w:rFonts w:ascii="Microsoft YaHei" w:hAnsi="Microsoft YaHei" w:eastAsia="Microsoft YaHei"/>
          <w:color w:val="000000"/>
          <w:sz w:val="20"/>
        </w:rPr>
        <w:t>完成以上五步并重新部署、双账号验收后，再开始历史数据库与 TikHub 建设。</w:t>
      </w:r>
    </w:p>
    <w:sectPr w:rsidR="00FC693F" w:rsidRPr="0006063C" w:rsidSect="00034616">
      <w:headerReference w:type="default" r:id="rId9"/>
      <w:footerReference w:type="default" r:id="rId10"/>
      <w:pgSz w:w="12240" w:h="15840"/>
      <w:pgMar w:top="1037" w:right="1123" w:bottom="1008" w:left="1123"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26C73"/>
        <w:sz w:val="17"/>
      </w:rPr>
      <w:t xml:space="preserve">第 </w:t>
    </w:r>
    <w:fldSimple w:instr="PAGE">
      <w:r>
        <w:rPr>
          <w:color w:val="626C73"/>
          <w:sz w:val="17"/>
        </w:rPr>
        <w:t>1</w:t>
      </w:r>
    </w:fldSimple>
    <w:r>
      <w:rPr>
        <w:rFonts w:ascii="Microsoft YaHei" w:hAnsi="Microsoft YaHei" w:eastAsia="Microsoft YaHei"/>
        <w:color w:val="626C73"/>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626C73"/>
        <w:sz w:val="16"/>
      </w:rPr>
      <w:t>JAY观海公众发布修复与建设路线图</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300" w:lineRule="auto"/>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Microsoft YaHei" w:hAnsi="Microsoft YaHe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80" w:after="120"/>
      <w:outlineLvl w:val="1"/>
    </w:pPr>
    <w:rPr>
      <w:rFonts w:asciiTheme="majorHAnsi" w:eastAsiaTheme="majorEastAsia" w:hAnsiTheme="majorHAnsi" w:cstheme="majorBidi" w:ascii="Microsoft YaHei" w:hAnsi="Microsoft YaHei" w:eastAsia="Microsoft YaHei"/>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00"/>
      <w:outlineLvl w:val="2"/>
    </w:pPr>
    <w:rPr>
      <w:rFonts w:asciiTheme="majorHAnsi" w:eastAsiaTheme="majorEastAsia" w:hAnsiTheme="majorHAnsi" w:cstheme="majorBidi" w:ascii="Microsoft YaHei" w:hAnsi="Microsoft YaHei"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Microsoft YaHei" w:hAnsi="Microsoft YaHei" w:eastAsia="Microsoft YaHe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oadmapLabel">
    <w:name w:val="Roadmap Label"/>
    <w:pPr>
      <w:keepNext/>
      <w:spacing w:before="160" w:after="60"/>
    </w:pPr>
    <w:rPr>
      <w:rFonts w:ascii="Microsoft YaHei" w:hAnsi="Microsoft YaHei" w:eastAsia="Microsoft YaHei"/>
      <w:b/>
      <w:color w:val="24445C"/>
      <w:sz w:val="21"/>
    </w:rPr>
  </w:style>
  <w:style w:type="paragraph" w:customStyle="1" w:styleId="RoadmapCode">
    <w:name w:val="Roadmap Code"/>
    <w:pPr>
      <w:keepLines/>
      <w:spacing w:before="100" w:after="140" w:line="252" w:lineRule="auto"/>
      <w:ind w:left="317" w:right="144"/>
    </w:pPr>
    <w:rPr>
      <w:rFonts w:ascii="Consolas" w:hAnsi="Consolas" w:eastAsia="Consolas"/>
      <w:color w:val="28343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idengrong3-prog.github.io/merc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JAY观海公众发布修复与建设路线图</dc:title>
  <dc:subject>公众发布修复顺序 数据架构和验收标准</dc:subject>
  <dc:creator>JAY观海</dc:creator>
  <cp:keywords>公众发布, 修复路线图, 数据架构, AI, TikHub, Supabase</cp:keywords>
  <dc:description>generated by python-docx</dc:description>
  <cp:lastModifiedBy/>
  <cp:revision>1</cp:revision>
  <dcterms:created xsi:type="dcterms:W3CDTF">2013-12-23T23:15:00Z</dcterms:created>
  <dcterms:modified xsi:type="dcterms:W3CDTF">2013-12-23T23:15:00Z</dcterms:modified>
  <cp:category/>
</cp:coreProperties>
</file>