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b/>
          <w:bCs/>
          <w:sz w:val="21"/>
          <w:szCs w:val="21"/>
        </w:rPr>
        <w:t xml:space="preserve">Ref.: Pregão Eletrônico com SRP nº 037/2026</w:t>
      </w:r>
    </w:p>
    <w:p>
      <w:pPr>
        <w:spacing w:after="200"/>
        <w:jc w:val="right"/>
      </w:pPr>
      <w:r>
        <w:rPr>
          <w:color w:val="595959"/>
          <w:sz w:val="21"/>
          <w:szCs w:val="21"/>
        </w:rPr>
        <w:t xml:space="preserve">Município de Sapezal – MT</w:t>
      </w:r>
    </w:p>
    <w:p>
      <w:pPr>
        <w:spacing w:after="60" w:before="60"/>
        <w:jc w:val="center"/>
      </w:pPr>
      <w:r>
        <w:rPr>
          <w:b/>
          <w:bCs/>
          <w:color w:val="1F3864"/>
          <w:sz w:val="30"/>
          <w:szCs w:val="30"/>
        </w:rPr>
        <w:t xml:space="preserve">DECLARAÇÃO DE CONFORMIDADE E ADAPTAÇÃO</w:t>
      </w:r>
    </w:p>
    <w:p>
      <w:pPr>
        <w:pBdr>
          <w:bottom w:val="single" w:color="1F3864" w:sz="12" w:space="4"/>
        </w:pBd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À NORMA ABNT NBR ISO/IEC 27001:2022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AO PREGOEIRO DO MUNICÍPIO DE SAPEZAL – MT</w:t>
      </w:r>
    </w:p>
    <w:p>
      <w:pPr>
        <w:spacing w:after="120" w:line="276"/>
        <w:jc w:val="both"/>
      </w:pPr>
      <w:r>
        <w:t xml:space="preserve">A empresa </w:t>
      </w:r>
      <w:r>
        <w:rPr>
          <w:b/>
          <w:bCs/>
        </w:rPr>
        <w:t xml:space="preserve">LIDERA TECNOLOGIA E GESTÃO LTDA</w:t>
      </w:r>
      <w:r>
        <w:t xml:space="preserve">, pessoa jurídica de direito privado, inscrita no CNPJ sob o nº 23.969.313/0001-58, com sede no Condomínio Rio Cachoeirinha, 480, Jardim Imperial, Cuiabá – MT, neste ato representada por seu sócio administrador, o Sr. </w:t>
      </w:r>
      <w:r>
        <w:rPr>
          <w:b/>
          <w:bCs/>
        </w:rPr>
        <w:t xml:space="preserve">Rafael Enore</w:t>
      </w:r>
      <w:r>
        <w:t xml:space="preserve">, portador do CPF nº 968.423.501-15 e do RG nº 13.197.886 SSP/MT, </w:t>
      </w:r>
      <w:r>
        <w:rPr>
          <w:b/>
          <w:bCs/>
        </w:rPr>
        <w:t xml:space="preserve">DECLARA</w:t>
      </w:r>
      <w:r>
        <w:t xml:space="preserve">, sob as penas da lei, para fins de habilitação no certame em epígrafe:</w:t>
      </w:r>
    </w:p>
    <w:p>
      <w:pPr>
        <w:spacing w:after="120" w:line="276"/>
        <w:jc w:val="both"/>
      </w:pPr>
      <w:r>
        <w:t xml:space="preserve">Em estrito cumprimento ao item 8.8 do Termo de Referência e ao item 9.4.2.3 do Edital, que possui controles implementados e encontra-se em processo contínuo de adaptação e aprimoramento interno às diretrizes da norma internacional </w:t>
      </w:r>
      <w:r>
        <w:rPr>
          <w:b/>
          <w:bCs/>
        </w:rPr>
        <w:t xml:space="preserve">ABNT NBR ISO/IEC 27001:2022</w:t>
      </w:r>
      <w:r>
        <w:t xml:space="preserve">, que estabelece os requisitos para um Sistema de Gestão da Segurança da Informação (SGSI), adotando como referência os controles da norma complementar ABNT NBR ISO/IEC 27002:2022.</w:t>
      </w:r>
    </w:p>
    <w:p>
      <w:pPr>
        <w:spacing w:after="120" w:line="276"/>
        <w:jc w:val="both"/>
      </w:pPr>
      <w:r>
        <w:t xml:space="preserve">Declaramos que a Empresa adota as premissas fundamentais do SGSI em seu ambiente corporativo e nos serviços prestados, visando garantir a </w:t>
      </w:r>
      <w:r>
        <w:rPr>
          <w:b/>
          <w:bCs/>
        </w:rPr>
        <w:t xml:space="preserve">Confidencialidade, a Integridade e a Disponibilidade (Tríade CID)</w:t>
      </w:r>
      <w:r>
        <w:t xml:space="preserve"> dos ativos de informação. Os controles adotados têm como referência os quatro grandes temas do Anexo A da norma — organizacionais, de pessoas, físicos e tecnológicos —, com destaque para as seguintes práticas:</w:t>
      </w:r>
    </w:p>
    <w:p>
      <w:pPr>
        <w:shd w:fill="1F3864" w:color="auto" w:val="clear"/>
        <w:spacing w:after="100" w:before="210"/>
      </w:pPr>
      <w:r>
        <w:rPr>
          <w:b/>
          <w:bCs/>
          <w:color w:val="FFFFFF"/>
          <w:sz w:val="22"/>
          <w:szCs w:val="22"/>
        </w:rPr>
        <w:t xml:space="preserve">  1. SISTEMA DE GESTÃO (SGSI), LIDERANÇA E MELHORIA CONTÍNUA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Comprometimento da alta direção com a segurança da informação e aprovação, publicação e comunicação da Política de Segurança da Informação (PSI) a colaboradores e partes interessadas;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Processo de gestão de riscos de segurança da informação — identificação, avaliação e tratamento — orientando a seleção e a priorização dos controles;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Definição de papéis e responsabilidades, com indicação de responsáveis técnicos pela segurança da informação;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Revisões periódicas, monitoramento, auditorias internas e ciclo de melhoria contínua (PDCA), assegurando a adequação às ameaças cibernéticas atuais.</w:t>
      </w:r>
    </w:p>
    <w:p>
      <w:pPr>
        <w:shd w:fill="1F3864" w:color="auto" w:val="clear"/>
        <w:spacing w:after="100" w:before="210"/>
      </w:pPr>
      <w:r>
        <w:rPr>
          <w:b/>
          <w:bCs/>
          <w:color w:val="FFFFFF"/>
          <w:sz w:val="22"/>
          <w:szCs w:val="22"/>
        </w:rPr>
        <w:t xml:space="preserve">  2. CONTROLES ORGANIZACIONAIS (ANEXO A.5)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PSI e normas e procedimentos dela derivados, com classificação e tratamento da informação conforme a criticidade;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Gestão dos ativos de informação e do seu uso aceitável;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Gestão da segurança na cadeia de fornecimento e em contratos com terceiros, com cláusulas de confidencialidade e de segurança da informação;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Conformidade com requisitos legais e regulatórios, incluindo a Lei Geral de Proteção de Dados (Lei nº 13.709/2018 – LGPD).</w:t>
      </w:r>
    </w:p>
    <w:p>
      <w:pPr>
        <w:shd w:fill="1F3864" w:color="auto" w:val="clear"/>
        <w:spacing w:after="100" w:before="210"/>
      </w:pPr>
      <w:r>
        <w:rPr>
          <w:b/>
          <w:bCs/>
          <w:color w:val="FFFFFF"/>
          <w:sz w:val="22"/>
          <w:szCs w:val="22"/>
        </w:rPr>
        <w:t xml:space="preserve">  3. CONTROLES DE PESSOAS (ANEXO A.6)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Assinatura de termos de confidencialidade (NDA) por colaboradores e prestadores de serviço;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Ações contínuas de conscientização e treinamento em segurança da informação (prevenção a phishing e engenharia social, uso de senhas e uso aceitável dos recursos);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Definição de responsabilidades de segurança na admissão, durante o vínculo e em seu encerramento, com revogação tempestiva de acessos.</w:t>
      </w:r>
    </w:p>
    <w:p>
      <w:pPr>
        <w:shd w:fill="1F3864" w:color="auto" w:val="clear"/>
        <w:spacing w:after="100" w:before="210"/>
      </w:pPr>
      <w:r>
        <w:rPr>
          <w:b/>
          <w:bCs/>
          <w:color w:val="FFFFFF"/>
          <w:sz w:val="22"/>
          <w:szCs w:val="22"/>
        </w:rPr>
        <w:t xml:space="preserve">  4. CONTROLES FÍSICOS (ANEXO A.7)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Proteção de ambientes, estações de trabalho e equipamentos contra acesso não autorizado, com bloqueio automático de telas;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Guarda adequada de documentos físicos que contenham dados pessoais ou informações sensíveis;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Descarte seguro de mídias e equipamentos que armazenem dados (sobrescrita ou destruição), com registro da destinação.</w:t>
      </w:r>
    </w:p>
    <w:p>
      <w:pPr>
        <w:shd w:fill="1F3864" w:color="auto" w:val="clear"/>
        <w:spacing w:after="100" w:before="210"/>
      </w:pPr>
      <w:r>
        <w:rPr>
          <w:b/>
          <w:bCs/>
          <w:color w:val="FFFFFF"/>
          <w:sz w:val="22"/>
          <w:szCs w:val="22"/>
        </w:rPr>
        <w:t xml:space="preserve">  5. CONTROLES TECNOLÓGICOS (ANEXO A.8)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Controle de acesso lógico baseado no princípio do menor privilégio (RBAC) e autenticação multifator (MFA), com gestão segura de credenciais e de segredos de aplicação;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Criptografia de dados em trânsito (VPN IPsec/SSL e TLS/HTTPS) e proteção rígida do acesso remoto à infraestrutura;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Proteção contra códigos maliciosos por solução de detecção e resposta em endpoints (EDR) e controles de perímetro (firewall/NGFW e, quando aplicável, WAF);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Gerenciamento contínuo de vulnerabilidades e aplicação de patches; rotinas de cópias de segurança (backup) com redundância e testes de restauração;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Práticas de segurança no desenvolvimento de software, segregação de ambientes e registro e monitoramento de eventos (logs e trilhas de auditoria).</w:t>
      </w:r>
    </w:p>
    <w:p>
      <w:pPr>
        <w:shd w:fill="1F3864" w:color="auto" w:val="clear"/>
        <w:spacing w:after="100" w:before="210"/>
      </w:pPr>
      <w:r>
        <w:rPr>
          <w:b/>
          <w:bCs/>
          <w:color w:val="FFFFFF"/>
          <w:sz w:val="22"/>
          <w:szCs w:val="22"/>
        </w:rPr>
        <w:t xml:space="preserve">  6. GESTÃO DE INCIDENTES DE SEGURANÇA DA INFORMAÇÃO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Processo de resposta para detectar, notificar, isolar, conter, mitigar e erradicar incidentes e violações de segurança e privacidade, com registro e lições aprendidas;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Comunicação aos titulares e à ANPD nos prazos e condições da Resolução CD/ANPD nº 15/2024, quando o incidente puder acarretar risco ou dano relevante.</w:t>
      </w:r>
    </w:p>
    <w:p>
      <w:pPr>
        <w:spacing w:after="140"/>
      </w:pPr>
      <w:r>
        <w:t xml:space="preserve"/>
      </w:r>
    </w:p>
    <w:p>
      <w:pPr>
        <w:spacing w:after="120" w:line="276"/>
        <w:jc w:val="both"/>
      </w:pPr>
      <w:r>
        <w:t xml:space="preserve">A Empresa declara, ainda, que mantém o compromisso de </w:t>
      </w:r>
      <w:r>
        <w:rPr>
          <w:b/>
          <w:bCs/>
        </w:rPr>
        <w:t xml:space="preserve">evoluir continuamente a maturidade de seu SGSI</w:t>
      </w:r>
      <w:r>
        <w:t xml:space="preserve"> e que se obriga a comprovar documentalmente os controles aqui declarados, sempre que solicitado pela Administração, durante a vigência do eventual contrato.</w:t>
      </w:r>
    </w:p>
    <w:p>
      <w:pPr>
        <w:spacing w:after="120" w:line="276"/>
        <w:jc w:val="both"/>
      </w:pPr>
      <w:r>
        <w:rPr>
          <w:b/>
          <w:bCs/>
        </w:rPr>
        <w:t xml:space="preserve">Por ser a expressão da verdade, firma a presente declaração.</w:t>
      </w:r>
    </w:p>
    <w:p>
      <w:pPr>
        <w:spacing w:after="180"/>
      </w:pPr>
      <w:r>
        <w:t xml:space="preserve"/>
      </w:r>
    </w:p>
    <w:p>
      <w:pPr>
        <w:spacing w:after="220"/>
      </w:pPr>
      <w:r>
        <w:rPr>
          <w:sz w:val="22"/>
          <w:szCs w:val="22"/>
        </w:rPr>
        <w:t xml:space="preserve">Cuiabá – MT, 12 de junho de 2026.</w:t>
      </w:r>
    </w:p>
    <w:p>
      <w:pPr>
        <w:spacing w:after="0"/>
      </w:pPr>
      <w:r>
        <w:rPr>
          <w:b/>
          <w:bCs/>
          <w:sz w:val="22"/>
          <w:szCs w:val="22"/>
        </w:rPr>
        <w:t xml:space="preserve">LIDERA TECNOLOGIA E GESTÃO LTDA</w:t>
      </w:r>
    </w:p>
    <w:p>
      <w:pPr>
        <w:spacing w:after="60"/>
      </w:pPr>
      <w:r>
        <w:rPr>
          <w:color w:val="595959"/>
          <w:sz w:val="21"/>
          <w:szCs w:val="21"/>
        </w:rPr>
        <w:t xml:space="preserve">CNPJ nº 23.969.313/0001-58</w:t>
      </w:r>
    </w:p>
    <w:p>
      <w:pPr>
        <w:spacing w:after="20" w:before="26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0"/>
      </w:pPr>
      <w:r>
        <w:rPr>
          <w:b/>
          <w:bCs/>
          <w:sz w:val="22"/>
          <w:szCs w:val="22"/>
        </w:rPr>
        <w:t xml:space="preserve">RAFAEL ENORE</w:t>
      </w:r>
    </w:p>
    <w:p>
      <w:pPr>
        <w:spacing w:after="0"/>
      </w:pPr>
      <w:r>
        <w:rPr>
          <w:color w:val="333333"/>
          <w:sz w:val="21"/>
          <w:szCs w:val="21"/>
        </w:rPr>
        <w:t xml:space="preserve">Sócio Administrador e Engenheiro de Segurança do Trabalho</w:t>
      </w:r>
    </w:p>
    <w:p>
      <w:pPr>
        <w:spacing w:after="0"/>
      </w:pPr>
      <w:r>
        <w:rPr>
          <w:color w:val="333333"/>
          <w:sz w:val="21"/>
          <w:szCs w:val="21"/>
        </w:rPr>
        <w:t xml:space="preserve">CPF nº 968.423.501-15 – RG nº 13.197.886 SSP/MT</w:t>
      </w:r>
    </w:p>
    <w:p>
      <w:pPr>
        <w:spacing w:after="0"/>
      </w:pPr>
      <w:r>
        <w:rPr>
          <w:color w:val="333333"/>
          <w:sz w:val="21"/>
          <w:szCs w:val="21"/>
        </w:rPr>
        <w:t xml:space="preserve">Representante Legal</w:t>
      </w:r>
    </w:p>
    <w:p>
      <w:pPr>
        <w:spacing w:after="20" w:before="26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0"/>
      </w:pPr>
      <w:r>
        <w:rPr>
          <w:b/>
          <w:bCs/>
          <w:sz w:val="22"/>
          <w:szCs w:val="22"/>
        </w:rPr>
        <w:t xml:space="preserve">BRUNO ANDERSON CRUZ DE ALMEIDA</w:t>
      </w:r>
    </w:p>
    <w:p>
      <w:pPr>
        <w:spacing w:after="0"/>
      </w:pPr>
      <w:r>
        <w:rPr>
          <w:color w:val="333333"/>
          <w:sz w:val="21"/>
          <w:szCs w:val="21"/>
        </w:rPr>
        <w:t xml:space="preserve">Analista de Tecnologia e Segurança da Informação</w:t>
      </w:r>
    </w:p>
    <w:p>
      <w:pPr>
        <w:spacing w:after="0"/>
      </w:pPr>
      <w:r>
        <w:rPr>
          <w:color w:val="333333"/>
          <w:sz w:val="21"/>
          <w:szCs w:val="21"/>
        </w:rPr>
        <w:t xml:space="preserve">Responsável Técnico</w:t>
      </w:r>
    </w:p>
    <w:p>
      <w:pPr>
        <w:spacing w:after="20" w:before="26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0"/>
      </w:pPr>
      <w:r>
        <w:rPr>
          <w:b/>
          <w:bCs/>
          <w:sz w:val="22"/>
          <w:szCs w:val="22"/>
        </w:rPr>
        <w:t xml:space="preserve">ALEXANDRE PEREIRA DA SILVA</w:t>
      </w:r>
    </w:p>
    <w:p>
      <w:pPr>
        <w:spacing w:after="0"/>
      </w:pPr>
      <w:r>
        <w:rPr>
          <w:color w:val="333333"/>
          <w:sz w:val="21"/>
          <w:szCs w:val="21"/>
        </w:rPr>
        <w:t xml:space="preserve">Analista de Redes e Segurança da Informação</w:t>
      </w:r>
    </w:p>
    <w:p>
      <w:pPr>
        <w:spacing w:after="0"/>
      </w:pPr>
      <w:r>
        <w:rPr>
          <w:color w:val="333333"/>
          <w:sz w:val="21"/>
          <w:szCs w:val="21"/>
        </w:rPr>
        <w:t xml:space="preserve">Responsável Técnico</w:t>
      </w:r>
    </w:p>
    <w:p>
      <w:pPr>
        <w:spacing w:after="220"/>
      </w:pPr>
      <w:r>
        <w:t xml:space="preserve"/>
      </w:r>
    </w:p>
    <w:p>
      <w:pPr>
        <w:pBdr>
          <w:top w:val="single" w:color="BFCBDE" w:sz="4" w:space="6"/>
        </w:pBdr>
        <w:spacing w:after="60" w:before="80"/>
      </w:pPr>
      <w:r>
        <w:rPr>
          <w:b/>
          <w:bCs/>
          <w:color w:val="595959"/>
          <w:sz w:val="18"/>
          <w:szCs w:val="18"/>
        </w:rPr>
        <w:t xml:space="preserve">Referências normativas observadas:</w:t>
      </w:r>
    </w:p>
    <w:p>
      <w:pPr>
        <w:spacing w:after="0"/>
      </w:pPr>
      <w:r>
        <w:rPr>
          <w:color w:val="595959"/>
          <w:sz w:val="17"/>
          <w:szCs w:val="17"/>
        </w:rPr>
        <w:t xml:space="preserve">ABNT NBR ISO/IEC 27001:2022 (Sistema de Gestão da Segurança da Informação) · ABNT NBR ISO/IEC 27002:2022 (controles do Anexo A) · Lei nº 13.709/2018 (LGPD) · Resolução CD/ANPD nº 15/2024 (comunicação de incidentes).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B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Lidera Tecnologia e Gestão Ltda – CNPJ 23.969.313/0001-58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9AA6B8"/>
        <w:sz w:val="15"/>
        <w:szCs w:val="15"/>
      </w:rPr>
      <w:t xml:space="preserve">[ PAPEL TIMBRADO – LIDERA TECNOLOGIA E GESTÃO LTDA 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Conformidade e Adaptação à Norma ISO/IEC 27001:2022</dc:title>
  <dc:creator>Lidera Tecnologia e Gestão Ltda</dc:creator>
  <cp:lastModifiedBy>Un-named</cp:lastModifiedBy>
  <cp:revision>1</cp:revision>
  <dcterms:created xsi:type="dcterms:W3CDTF">2026-06-12T14:37:19.414Z</dcterms:created>
  <dcterms:modified xsi:type="dcterms:W3CDTF">2026-06-12T14:37:19.430Z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