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47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color w:val="0C326F"/>
          <w:sz w:val="30"/>
        </w:rPr>
        <w:t>Portfólio Institucional &amp; Comercial</w:t>
      </w:r>
    </w:p>
    <w:p>
      <w:pPr>
        <w:spacing w:after="40"/>
        <w:jc w:val="center"/>
      </w:pPr>
      <w:r>
        <w:rPr>
          <w:b w:val="0"/>
          <w:i/>
          <w:color w:val="444455"/>
          <w:sz w:val="23"/>
        </w:rPr>
        <w:t>Plataforma SaaS multi-tenant para a gestão pública municipal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76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2286000" cy="130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id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6677"/>
          <w:sz w:val="19"/>
        </w:rPr>
        <w:t>www.lideratecnologia.com.br   ·   comercial@lideratecnologia.com.br</w:t>
      </w:r>
    </w:p>
    <w:p>
      <w:pPr>
        <w:jc w:val="center"/>
      </w:pPr>
      <w:r>
        <w:rPr>
          <w:color w:val="556677"/>
          <w:sz w:val="19"/>
        </w:rPr>
        <w:t>Demonstração ao vivo:  https://prefeitura.lidera.app.br</w:t>
      </w:r>
    </w:p>
    <w:p>
      <w:r>
        <w:br w:type="page"/>
      </w:r>
    </w:p>
    <w:p/>
    <w:p>
      <w:pPr>
        <w:pStyle w:val="Heading1"/>
      </w:pPr>
      <w:r>
        <w:t>O desafio das prefeituras — e a nossa solução</w:t>
      </w:r>
    </w:p>
    <w:p>
      <w:pPr>
        <w:spacing w:after="120"/>
      </w:pPr>
      <w:r>
        <w:rPr>
          <w:b w:val="0"/>
          <w:i w:val="0"/>
          <w:sz w:val="21"/>
        </w:rPr>
        <w:t>Pequenos e médios municípios enfrentam, ao mesmo tempo, exigências legais crescentes e orçamentos de TI limitados. O resultado é conhecido: sites desatualizados, portais de transparência incompletos, prazos legais de ouvidoria e e-SIC perdidos, e barreiras de acessibilidade que excluem o cidadão.</w:t>
      </w:r>
    </w:p>
    <w:p>
      <w:pPr>
        <w:pStyle w:val="Heading2"/>
      </w:pPr>
      <w:r>
        <w:t>As dores mais comuns</w:t>
      </w:r>
    </w:p>
    <w:p>
      <w:pPr>
        <w:pStyle w:val="ListBullet"/>
      </w:pPr>
      <w:r>
        <w:rPr>
          <w:sz w:val="21"/>
        </w:rPr>
        <w:t>Transparência e PNTP: dificuldade de atingir e manter o selo da Atricon, com dados dispersos e desatualizados.</w:t>
      </w:r>
    </w:p>
    <w:p>
      <w:pPr>
        <w:pStyle w:val="ListBullet"/>
      </w:pPr>
      <w:r>
        <w:rPr>
          <w:sz w:val="21"/>
        </w:rPr>
        <w:t>Prazos legais: e-SIC (LAI) e Ouvidoria (Lei 13.460) exigem controle de prazos que planilhas não dão conta.</w:t>
      </w:r>
    </w:p>
    <w:p>
      <w:pPr>
        <w:pStyle w:val="ListBullet"/>
      </w:pPr>
      <w:r>
        <w:rPr>
          <w:sz w:val="21"/>
        </w:rPr>
        <w:t>Acessibilidade: a lei exige WCAG/eMAG e VLibras — a maioria dos sites não cumpre.</w:t>
      </w:r>
    </w:p>
    <w:p>
      <w:pPr>
        <w:pStyle w:val="ListBullet"/>
      </w:pPr>
      <w:r>
        <w:rPr>
          <w:sz w:val="21"/>
        </w:rPr>
        <w:t>Custo e dependência: cada sistema (site, transparência, diário, ouvidoria) é um contrato e um fornecedor diferente.</w:t>
      </w:r>
    </w:p>
    <w:p>
      <w:pPr>
        <w:pStyle w:val="ListBullet"/>
      </w:pPr>
      <w:r>
        <w:rPr>
          <w:sz w:val="21"/>
        </w:rPr>
        <w:t>LGPD: tratamento de dados do cidadão sem base legal, sem direitos do titular e sem registro de incidentes.</w:t>
      </w:r>
    </w:p>
    <w:p>
      <w:pPr>
        <w:pStyle w:val="Heading2"/>
      </w:pPr>
      <w:r>
        <w:t>A solução: uma única plataforma, completa e em conformidade</w:t>
      </w:r>
    </w:p>
    <w:p>
      <w:pPr>
        <w:spacing w:after="120"/>
      </w:pPr>
      <w:r>
        <w:rPr>
          <w:b w:val="0"/>
          <w:i w:val="0"/>
          <w:sz w:val="21"/>
        </w:rPr>
        <w:t>O Portal de Prefeitura reúne site institucional, transparência, ouvidoria/e-SIC, diário oficial, serviços ao cidadão, app mobile e inteligência artificial em um só produto — com a legislação embutida e a acessibilidade garantida por padrão.</w:t>
      </w:r>
    </w:p>
    <w:p/>
    <w:p>
      <w:pPr>
        <w:pStyle w:val="Heading1"/>
      </w:pPr>
      <w:r>
        <w:t>Visão geral da plataforma</w:t>
      </w:r>
    </w:p>
    <w:p>
      <w:pPr>
        <w:spacing w:after="120"/>
      </w:pPr>
      <w:r>
        <w:rPr>
          <w:b w:val="0"/>
          <w:i w:val="0"/>
          <w:sz w:val="21"/>
        </w:rPr>
        <w:t>Construída sobre tecnologias modernas e abertas (NestJS, Next.js, PostgreSQL/PostGIS, Redis, n8n e IA), a plataforma é segura por projeto: o frontend e o app falam somente com a API (gateway único), e os dados de cada prefeitura ficam isolados no banco por Row Level Security (RLS).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6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99"/>
          <w:sz w:val="17"/>
        </w:rPr>
        <w:t>Arquitetura em camadas, com as duas camadas de segurança (RBAC + RLS).</w:t>
      </w:r>
    </w:p>
    <w:p/>
    <w:p>
      <w:pPr>
        <w:pStyle w:val="Heading1"/>
      </w:pPr>
      <w:r>
        <w:t>Modelo SaaS multi-tenant</w:t>
      </w:r>
    </w:p>
    <w:p>
      <w:pPr>
        <w:spacing w:after="120"/>
      </w:pPr>
      <w:r>
        <w:rPr>
          <w:b w:val="0"/>
          <w:i w:val="0"/>
          <w:sz w:val="21"/>
        </w:rPr>
        <w:t>Uma única base de código e uma única infraestrutura servem N prefeituras. Cada município tem domínio, identidade visual (white-label) e conteúdo próprios — mas todos compartilham o mesmo motor, sempre atualizado.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9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ten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99"/>
          <w:sz w:val="17"/>
        </w:rPr>
        <w:t>Uma plataforma → muitas prefeituras. Custo compartilhado, evolução simultânea.</w:t>
      </w:r>
    </w:p>
    <w:p>
      <w:pPr>
        <w:pStyle w:val="Heading2"/>
      </w:pPr>
      <w:r>
        <w:t>Por que isso importa para o seu município</w:t>
      </w:r>
    </w:p>
    <w:p>
      <w:pPr>
        <w:pStyle w:val="ListBullet"/>
      </w:pPr>
      <w:r>
        <w:rPr>
          <w:sz w:val="21"/>
        </w:rPr>
        <w:t>Custo compartilhado: a infraestrutura é diluída entre todas as prefeituras atendidas.</w:t>
      </w:r>
    </w:p>
    <w:p>
      <w:pPr>
        <w:pStyle w:val="ListBullet"/>
      </w:pPr>
      <w:r>
        <w:rPr>
          <w:sz w:val="21"/>
        </w:rPr>
        <w:t>Atualização simultânea: novas funções e correções legais chegam a todos sem projeto novo.</w:t>
      </w:r>
    </w:p>
    <w:p>
      <w:pPr>
        <w:pStyle w:val="ListBullet"/>
      </w:pPr>
      <w:r>
        <w:rPr>
          <w:sz w:val="21"/>
        </w:rPr>
        <w:t>Isolamento comprovado: os dados de uma prefeitura nunca são visíveis para outra (RLS).</w:t>
      </w:r>
    </w:p>
    <w:p>
      <w:pPr>
        <w:pStyle w:val="ListBullet"/>
      </w:pPr>
      <w:r>
        <w:rPr>
          <w:sz w:val="21"/>
        </w:rPr>
        <w:t>Identidade própria: cores, logo, domínio e conteúdo são exclusivos de cada município.</w:t>
      </w:r>
    </w:p>
    <w:p>
      <w:r>
        <w:br w:type="page"/>
      </w:r>
    </w:p>
    <w:p/>
    <w:p>
      <w:pPr>
        <w:pStyle w:val="Heading1"/>
      </w:pPr>
      <w:r>
        <w:t>Catálogo de módulos</w:t>
      </w:r>
    </w:p>
    <w:p>
      <w:pPr>
        <w:spacing w:after="120"/>
      </w:pPr>
      <w:r>
        <w:rPr>
          <w:b w:val="0"/>
          <w:i w:val="0"/>
          <w:sz w:val="21"/>
        </w:rPr>
        <w:t>Mais de 20 módulos integrados, organizados em seis grandes áreas. Tudo no mesmo login, no mesmo painel e com os mesmos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1351B4"/>
          </w:tcPr>
          <w:p>
            <w:r/>
            <w:r>
              <w:rPr>
                <w:b/>
                <w:color w:val="FFFFFF"/>
                <w:sz w:val="22"/>
              </w:rPr>
              <w:t xml:space="preserve">  Cidadão &amp; Participação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Ouvidoria + e-SIC (LAI e Lei 13.460) com máquina de estados, prazos/SLA, chat de tramitação e painel do ouvidor</w:t>
            </w:r>
          </w:p>
          <w:p>
            <w:pPr>
              <w:pStyle w:val="ListBullet"/>
            </w:pPr>
            <w:r>
              <w:rPr>
                <w:sz w:val="19"/>
              </w:rPr>
              <w:t>Atendimento omnichannel: widget 24h + bot de IA que escala para atendente + WhatsApp + caixa unificada</w:t>
            </w:r>
          </w:p>
          <w:p>
            <w:pPr>
              <w:pStyle w:val="ListBullet"/>
            </w:pPr>
            <w:r>
              <w:rPr>
                <w:sz w:val="19"/>
              </w:rPr>
              <w:t>Enquetes (consulta pública anônima) e Construtor de formulários (drag-drop, captcha, exportação CSV/XML/Excel)</w:t>
            </w:r>
          </w:p>
          <w:p>
            <w:pPr>
              <w:pStyle w:val="ListBullet"/>
            </w:pPr>
            <w:r>
              <w:rPr>
                <w:sz w:val="19"/>
              </w:rPr>
              <w:t>App do Cidadão: chamados georreferenciados (buracos, terrenos, animais) com foto e GPS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168821"/>
          </w:tcPr>
          <w:p>
            <w:r/>
            <w:r>
              <w:rPr>
                <w:b/>
                <w:color w:val="FFFFFF"/>
                <w:sz w:val="22"/>
              </w:rPr>
              <w:t xml:space="preserve">  Transparência &amp; Prestação de Contas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Portal da Transparência (LC 131/LRF): receitas, despesas, licitações, contratos e folha, com dados abertos (CSV/JSON)</w:t>
            </w:r>
          </w:p>
          <w:p>
            <w:pPr>
              <w:pStyle w:val="ListBullet"/>
            </w:pPr>
            <w:r>
              <w:rPr>
                <w:sz w:val="19"/>
              </w:rPr>
              <w:t>Importação automática do APLIC/TCE-MT</w:t>
            </w:r>
          </w:p>
          <w:p>
            <w:pPr>
              <w:pStyle w:val="ListBullet"/>
            </w:pPr>
            <w:r>
              <w:rPr>
                <w:sz w:val="19"/>
              </w:rPr>
              <w:t>Conformidade PNTP/Atricon — 100% dos critérios atendidos (Selo Diamante)</w:t>
            </w:r>
          </w:p>
          <w:p>
            <w:pPr>
              <w:pStyle w:val="ListBullet"/>
            </w:pPr>
            <w:r>
              <w:rPr>
                <w:sz w:val="19"/>
              </w:rPr>
              <w:t>Diário Oficial 2.0: matérias estruturadas, busca full-text em português e assinatura ICP-Brasil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B3531D"/>
          </w:tcPr>
          <w:p>
            <w:r/>
            <w:r>
              <w:rPr>
                <w:b/>
                <w:color w:val="FFFFFF"/>
                <w:sz w:val="22"/>
              </w:rPr>
              <w:t xml:space="preserve">  Conteúdo &amp; Comunicação (CMS)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Construtor de páginas drag-drop (11 tipos de blocos, templates, versões/backup, SEO por página)</w:t>
            </w:r>
          </w:p>
          <w:p>
            <w:pPr>
              <w:pStyle w:val="ListBullet"/>
            </w:pPr>
            <w:r>
              <w:rPr>
                <w:sz w:val="19"/>
              </w:rPr>
              <w:t>Notícias, Secretarias (8 seções), Galeria (vídeos mp4/YouTube)</w:t>
            </w:r>
          </w:p>
          <w:p>
            <w:pPr>
              <w:pStyle w:val="ListBullet"/>
            </w:pPr>
            <w:r>
              <w:rPr>
                <w:sz w:val="19"/>
              </w:rPr>
              <w:t>Cadastro de Documentos (Leis, Decretos… com tipos TCE-MT e contador de downloads)</w:t>
            </w:r>
          </w:p>
          <w:p>
            <w:pPr>
              <w:pStyle w:val="ListBullet"/>
            </w:pPr>
            <w:r>
              <w:rPr>
                <w:sz w:val="19"/>
              </w:rPr>
              <w:t>Estrutura organizacional automática e Carta de Serviços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6f42c1"/>
          </w:tcPr>
          <w:p>
            <w:r/>
            <w:r>
              <w:rPr>
                <w:b/>
                <w:color w:val="FFFFFF"/>
                <w:sz w:val="22"/>
              </w:rPr>
              <w:t xml:space="preserve">  Gestão &amp; Administração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Gerenciador multi-tenant (cadastro de prefeituras) e Configurações por entidade</w:t>
            </w:r>
          </w:p>
          <w:p>
            <w:pPr>
              <w:pStyle w:val="ListBullet"/>
            </w:pPr>
            <w:r>
              <w:rPr>
                <w:sz w:val="19"/>
              </w:rPr>
              <w:t>Console da Plataforma (configuração global)</w:t>
            </w:r>
          </w:p>
          <w:p>
            <w:pPr>
              <w:pStyle w:val="ListBullet"/>
            </w:pPr>
            <w:r>
              <w:rPr>
                <w:sz w:val="19"/>
              </w:rPr>
              <w:t>Usuários, Grupos e Sessões: permissões granulares e sessões online com revogação</w:t>
            </w:r>
          </w:p>
          <w:p>
            <w:pPr>
              <w:pStyle w:val="ListBullet"/>
            </w:pPr>
            <w:r>
              <w:rPr>
                <w:sz w:val="19"/>
              </w:rPr>
              <w:t>Chat interno entre servidores e Home configurável (Acesso Rápido)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155F8A"/>
          </w:tcPr>
          <w:p>
            <w:r/>
            <w:r>
              <w:rPr>
                <w:b/>
                <w:color w:val="FFFFFF"/>
                <w:sz w:val="22"/>
              </w:rPr>
              <w:t xml:space="preserve">  Inteligência Artificial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Chatbot com RAG em camadas sobre a base oficial da prefeitura (busca semântica, isolado por município)</w:t>
            </w:r>
          </w:p>
          <w:p>
            <w:pPr>
              <w:pStyle w:val="ListBullet"/>
            </w:pPr>
            <w:r>
              <w:rPr>
                <w:sz w:val="19"/>
              </w:rPr>
              <w:t>Triagem automática de manifestações, com revisão humana</w:t>
            </w:r>
          </w:p>
          <w:p>
            <w:pPr>
              <w:pStyle w:val="ListBullet"/>
            </w:pPr>
            <w:r>
              <w:rPr>
                <w:sz w:val="19"/>
              </w:rPr>
              <w:t>Busca unificada com OCR de PDFs (Tesseract/Claude) e ranking híbrido</w:t>
            </w:r>
          </w:p>
          <w:p>
            <w:pPr>
              <w:pStyle w:val="ListBullet"/>
            </w:pPr>
            <w:r>
              <w:rPr>
                <w:sz w:val="19"/>
              </w:rPr>
              <w:t>IA fiscal sobre os dados da transparência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E52207"/>
          </w:tcPr>
          <w:p>
            <w:r/>
            <w:r>
              <w:rPr>
                <w:b/>
                <w:color w:val="FFFFFF"/>
                <w:sz w:val="22"/>
              </w:rPr>
              <w:t xml:space="preserve">  Conformidade &amp; Segurança</w:t>
            </w:r>
          </w:p>
        </w:tc>
      </w:tr>
      <w:tr>
        <w:tc>
          <w:tcPr>
            <w:tcW w:type="dxa" w:w="9461"/>
          </w:tcPr>
          <w:p>
            <w:r/>
          </w:p>
          <w:p>
            <w:pPr>
              <w:pStyle w:val="ListBullet"/>
            </w:pPr>
            <w:r>
              <w:rPr>
                <w:sz w:val="19"/>
              </w:rPr>
              <w:t>LGPD self-service: direitos do titular, portabilidade, anonimização, incidentes e geração de documentos</w:t>
            </w:r>
          </w:p>
          <w:p>
            <w:pPr>
              <w:pStyle w:val="ListBullet"/>
            </w:pPr>
            <w:r>
              <w:rPr>
                <w:sz w:val="19"/>
              </w:rPr>
              <w:t>Isolamento multi-tenant por RLS e controle de acesso por papéis (RBAC)</w:t>
            </w:r>
          </w:p>
          <w:p>
            <w:pPr>
              <w:pStyle w:val="ListBullet"/>
            </w:pPr>
            <w:r>
              <w:rPr>
                <w:sz w:val="19"/>
              </w:rPr>
              <w:t>Acessibilidade WCAG 2.1 AA / eMAG + VLibras + Design System gov.br</w:t>
            </w:r>
          </w:p>
          <w:p>
            <w:pPr>
              <w:pStyle w:val="ListBullet"/>
            </w:pPr>
            <w:r>
              <w:rPr>
                <w:sz w:val="19"/>
              </w:rPr>
              <w:t>Login do cidadão via gov.br (Login Único / OIDC)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Conformidade legal nativa</w:t>
      </w:r>
    </w:p>
    <w:p>
      <w:pPr>
        <w:spacing w:after="120"/>
      </w:pPr>
      <w:r>
        <w:rPr>
          <w:b w:val="0"/>
          <w:i w:val="0"/>
          <w:sz w:val="21"/>
        </w:rPr>
        <w:t>A legislação não é um módulo à parte: ela está no núcleo do produto. Os prazos legais já vêm configurados e o sistema alerta e vence automaticamente.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7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orm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79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4730"/>
        <w:gridCol w:w="4730"/>
      </w:tblGrid>
      <w:tr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Como o portal atende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LAI — Lei 12.527/2011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e-SIC com prazo de 20+10 dias e instâncias de recurso na máquina de estados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Lei 13.460/2017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Ouvidoria com prazo de 30+30 dias e tipos de manifestação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LC 131/2009 + LRF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Transparência ativa de receitas, despesas, licitações e contratos + dados abertos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LGPD — Lei 13.709/2018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Bases legais, direitos do titular self-service, anonimização e registro de incidentes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WCAG 2.1 AA / eMAG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Tema reprovado no contraste não é salvo; VLibras e Design System gov.br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PNTP / Atricon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100% dos critérios aplicáveis atendidos — Selo Diamante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gov.br — Login Único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Autenticação do cidadão por OIDC com selos de confiabilidade</w:t>
            </w:r>
          </w:p>
        </w:tc>
      </w:tr>
    </w:tbl>
    <w:p/>
    <w:p>
      <w:pPr>
        <w:pStyle w:val="Heading1"/>
      </w:pPr>
      <w:r>
        <w:t>Transparência e PNTP — 100% dos critérios (Selo Diamante)</w:t>
      </w:r>
    </w:p>
    <w:p>
      <w:pPr>
        <w:spacing w:after="120"/>
      </w:pPr>
      <w:r>
        <w:rPr>
          <w:b w:val="0"/>
          <w:i w:val="0"/>
          <w:sz w:val="21"/>
        </w:rPr>
        <w:t>O Programa Nacional de Transparência Pública (Atricon) avalia o portal por uma matriz de critérios ponderados. A plataforma atende a 100% dos critérios aplicáveis — nível máximo, o Selo Diamante — pontuando nos itens de maior peso (Receita, Despesa, Recursos Humanos, Licitações e Contratos) em disponibilidade, atualidade, série histórica, download em formato aberto e filtro de pesquisa.</w:t>
      </w:r>
    </w:p>
    <w:p>
      <w:pPr>
        <w:spacing w:after="160"/>
      </w:pPr>
      <w:r>
        <w:rPr>
          <w:b/>
          <w:i w:val="0"/>
          <w:color w:val="168821"/>
          <w:sz w:val="21"/>
        </w:rPr>
        <w:t>Sua prefeitura entra no ar já alinhada à nota máxima da transparência pública.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3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t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pStyle w:val="Heading1"/>
      </w:pPr>
      <w:r>
        <w:t>Segurança &amp; Privacidade</w:t>
      </w:r>
    </w:p>
    <w:p>
      <w:pPr>
        <w:pStyle w:val="ListBullet"/>
      </w:pPr>
      <w:r>
        <w:rPr>
          <w:sz w:val="21"/>
        </w:rPr>
        <w:t>Isolamento por RLS: cada consulta ao banco é restrita ao município; uma prefeitura nunca enxerga dados de outra.</w:t>
      </w:r>
    </w:p>
    <w:p>
      <w:pPr>
        <w:pStyle w:val="ListBullet"/>
      </w:pPr>
      <w:r>
        <w:rPr>
          <w:sz w:val="21"/>
        </w:rPr>
        <w:t>RBAC: papéis de domínio (administrador, gestor, ouvidor, servidor, cidadão) controlam cada ação.</w:t>
      </w:r>
    </w:p>
    <w:p>
      <w:pPr>
        <w:pStyle w:val="ListBullet"/>
      </w:pPr>
      <w:r>
        <w:rPr>
          <w:sz w:val="21"/>
        </w:rPr>
        <w:t>LGPD por projeto: minimização de dados, base legal por finalidade e logs de acesso a dados pessoais.</w:t>
      </w:r>
    </w:p>
    <w:p>
      <w:pPr>
        <w:pStyle w:val="ListBullet"/>
      </w:pPr>
      <w:r>
        <w:rPr>
          <w:sz w:val="21"/>
        </w:rPr>
        <w:t>Auditoria: toda ação sensível e toda falha de processamento são registradas.</w:t>
      </w:r>
    </w:p>
    <w:p>
      <w:pPr>
        <w:pStyle w:val="ListBullet"/>
      </w:pPr>
      <w:r>
        <w:rPr>
          <w:sz w:val="21"/>
        </w:rPr>
        <w:t>Borda protegida: nada exposto direto à internet — proxy reverso + WAF + TLS obrigatório.</w:t>
      </w:r>
    </w:p>
    <w:p>
      <w:pPr>
        <w:pStyle w:val="ListBullet"/>
      </w:pPr>
      <w:r>
        <w:rPr>
          <w:sz w:val="21"/>
        </w:rPr>
        <w:t>Login gov.br: identidade forte do cidadão, sem o município guardar senha.</w:t>
      </w:r>
    </w:p>
    <w:p/>
    <w:p>
      <w:pPr>
        <w:pStyle w:val="Heading1"/>
      </w:pPr>
      <w:r>
        <w:t>App do Cidadão (mobile)</w:t>
      </w:r>
    </w:p>
    <w:p>
      <w:pPr>
        <w:spacing w:after="120"/>
      </w:pPr>
      <w:r>
        <w:rPr>
          <w:b w:val="0"/>
          <w:i w:val="0"/>
          <w:sz w:val="21"/>
        </w:rPr>
        <w:t>Aplicativo em React Native (Expo) para o cidadão abrir chamados georreferenciados — buracos na via, terrenos abandonados, animais nas ruas — com foto e GPS. A plataforma detecta duplicados por proximidade e o cidadão acompanha o andamento e recebe notificações. Login via gov.br. Tema e identidade da prefeitura aplicados ao app (white-label).</w:t>
      </w:r>
    </w:p>
    <w:p/>
    <w:p>
      <w:pPr>
        <w:pStyle w:val="Heading1"/>
      </w:pPr>
      <w:r>
        <w:t>Inteligência Artificial aplicada</w:t>
      </w:r>
    </w:p>
    <w:p>
      <w:pPr>
        <w:pStyle w:val="ListBullet"/>
      </w:pPr>
      <w:r>
        <w:rPr>
          <w:sz w:val="21"/>
        </w:rPr>
        <w:t>Chatbot que responde a partir da base oficial da prefeitura (RAG), sem inventar — e isolado por município.</w:t>
      </w:r>
    </w:p>
    <w:p>
      <w:pPr>
        <w:pStyle w:val="ListBullet"/>
      </w:pPr>
      <w:r>
        <w:rPr>
          <w:sz w:val="21"/>
        </w:rPr>
        <w:t>Triagem automática de manifestações de ouvidoria/e-SIC, sempre com revisão humana.</w:t>
      </w:r>
    </w:p>
    <w:p>
      <w:pPr>
        <w:pStyle w:val="ListBullet"/>
      </w:pPr>
      <w:r>
        <w:rPr>
          <w:sz w:val="21"/>
        </w:rPr>
        <w:t>Busca unificada que enxerga dentro de PDFs digitalizados (OCR) com ranking híbrido.</w:t>
      </w:r>
    </w:p>
    <w:p>
      <w:pPr>
        <w:pStyle w:val="ListBullet"/>
      </w:pPr>
      <w:r>
        <w:rPr>
          <w:sz w:val="21"/>
        </w:rPr>
        <w:t>IA fiscal sobre a transparência, com consulta estruturada aos dados contábeis.</w:t>
      </w:r>
    </w:p>
    <w:p/>
    <w:p>
      <w:pPr>
        <w:pStyle w:val="Heading1"/>
      </w:pPr>
      <w:r>
        <w:t>Prova de entrega — caso real</w:t>
      </w:r>
    </w:p>
    <w:p>
      <w:pPr>
        <w:spacing w:after="120"/>
      </w:pPr>
      <w:r>
        <w:rPr>
          <w:b w:val="0"/>
          <w:i w:val="0"/>
          <w:sz w:val="21"/>
        </w:rPr>
        <w:t>A Prefeitura de Barão de Melgaço (MT) teve seu site legado (Joomla) migrado integralmente para a plataforma, preservando o histórico e o SEO: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3154"/>
        <w:gridCol w:w="3154"/>
        <w:gridCol w:w="3154"/>
      </w:tblGrid>
      <w:tr>
        <w:tc>
          <w:tcPr>
            <w:tcW w:type="dxa" w:w="3154"/>
            <w:shd w:val="clear" w:fill="F2F5FA"/>
          </w:tcPr>
          <w:p>
            <w:pPr>
              <w:jc w:val="center"/>
            </w:pPr>
            <w:r/>
            <w:r>
              <w:rPr>
                <w:b/>
                <w:color w:val="1351B4"/>
                <w:sz w:val="40"/>
              </w:rPr>
              <w:t>455</w:t>
            </w:r>
          </w:p>
          <w:p>
            <w:pPr>
              <w:jc w:val="center"/>
            </w:pPr>
            <w:r>
              <w:rPr>
                <w:color w:val="1F2933"/>
                <w:sz w:val="19"/>
              </w:rPr>
              <w:t>notícias migradas</w:t>
            </w:r>
          </w:p>
        </w:tc>
        <w:tc>
          <w:tcPr>
            <w:tcW w:type="dxa" w:w="3154"/>
            <w:shd w:val="clear" w:fill="F2F5FA"/>
          </w:tcPr>
          <w:p>
            <w:pPr>
              <w:jc w:val="center"/>
            </w:pPr>
            <w:r/>
            <w:r>
              <w:rPr>
                <w:b/>
                <w:color w:val="1351B4"/>
                <w:sz w:val="40"/>
              </w:rPr>
              <w:t>1.180</w:t>
            </w:r>
          </w:p>
          <w:p>
            <w:pPr>
              <w:jc w:val="center"/>
            </w:pPr>
            <w:r>
              <w:rPr>
                <w:color w:val="1F2933"/>
                <w:sz w:val="19"/>
              </w:rPr>
              <w:t>documentos migrados</w:t>
            </w:r>
          </w:p>
        </w:tc>
        <w:tc>
          <w:tcPr>
            <w:tcW w:type="dxa" w:w="3154"/>
            <w:shd w:val="clear" w:fill="F2F5FA"/>
          </w:tcPr>
          <w:p>
            <w:pPr>
              <w:jc w:val="center"/>
            </w:pPr>
            <w:r/>
            <w:r>
              <w:rPr>
                <w:b/>
                <w:color w:val="1351B4"/>
                <w:sz w:val="40"/>
              </w:rPr>
              <w:t>13</w:t>
            </w:r>
          </w:p>
          <w:p>
            <w:pPr>
              <w:jc w:val="center"/>
            </w:pPr>
            <w:r>
              <w:rPr>
                <w:color w:val="1F2933"/>
                <w:sz w:val="19"/>
              </w:rPr>
              <w:t>secretarias publicadas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Além do conteúdo, foram migrados o institucional, a galeria e a Carta de Serviços, com redirecionamentos que preservam os links antigos indexados pelo Google.</w:t>
      </w:r>
    </w:p>
    <w:p>
      <w:r>
        <w:br w:type="page"/>
      </w:r>
    </w:p>
    <w:p/>
    <w:p>
      <w:pPr>
        <w:pStyle w:val="Heading1"/>
      </w:pPr>
      <w:r>
        <w:t>Implantação flexível</w:t>
      </w:r>
    </w:p>
    <w:p>
      <w:pPr>
        <w:spacing w:after="120"/>
      </w:pPr>
      <w:r>
        <w:rPr>
          <w:b w:val="0"/>
          <w:i w:val="0"/>
          <w:sz w:val="21"/>
        </w:rPr>
        <w:t>A plataforma roda onde a prefeitura precisar, com manuais e automação (Terraform) prontos: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4730"/>
        <w:gridCol w:w="4730"/>
      </w:tblGrid>
      <w:tr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730"/>
            <w:shd w:val="clear" w:fill="1351B4"/>
          </w:tcPr>
          <w:p>
            <w:r/>
            <w:r>
              <w:rPr>
                <w:b/>
                <w:color w:val="FFFFFF"/>
                <w:sz w:val="20"/>
              </w:rPr>
              <w:t>O que oferece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Nuvem gerenciada (Google Cloud / AWS)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Provisionamento por Terraform, escala automática, backups e WAF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On-premise (Windows / Linux / Docker)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Roda no servidor da prefeitura ou do parceiro, com os mesmos recursos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Migração do site atual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Importação de notícias, documentos e estrutura, preservando SEO</w:t>
            </w:r>
          </w:p>
        </w:tc>
      </w:tr>
      <w:tr>
        <w:tc>
          <w:tcPr>
            <w:tcW w:type="dxa" w:w="4730"/>
          </w:tcPr>
          <w:p>
            <w:r/>
            <w:r>
              <w:rPr>
                <w:b/>
                <w:color w:val="0C326F"/>
                <w:sz w:val="19"/>
              </w:rPr>
              <w:t>Treinamento e suporte</w:t>
            </w:r>
          </w:p>
        </w:tc>
        <w:tc>
          <w:tcPr>
            <w:tcW w:type="dxa" w:w="4730"/>
          </w:tcPr>
          <w:p>
            <w:r/>
            <w:r>
              <w:rPr>
                <w:b w:val="0"/>
                <w:sz w:val="19"/>
              </w:rPr>
              <w:t>Capacitação das equipes e suporte continuado</w:t>
            </w:r>
          </w:p>
        </w:tc>
      </w:tr>
    </w:tbl>
    <w:p/>
    <w:p>
      <w:pPr>
        <w:pStyle w:val="Heading1"/>
      </w:pPr>
      <w:r>
        <w:t>Evolução contínua (roadmap)</w:t>
      </w:r>
    </w:p>
    <w:p>
      <w:pPr>
        <w:spacing w:after="120"/>
      </w:pPr>
      <w:r>
        <w:rPr>
          <w:b w:val="0"/>
          <w:i w:val="0"/>
          <w:sz w:val="21"/>
        </w:rPr>
        <w:t>O produto evolui em fases com critérios de saída objetivos. A fundação está concluída e em produção; as próximas fases ampliam transparência, serviços, app e 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662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66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Por que a Lidera</w:t>
      </w:r>
    </w:p>
    <w:p>
      <w:pPr>
        <w:pStyle w:val="ListBullet"/>
      </w:pPr>
      <w:r>
        <w:rPr>
          <w:sz w:val="21"/>
        </w:rPr>
        <w:t>Produto único que substitui vários contratos e fornecedores.</w:t>
      </w:r>
    </w:p>
    <w:p>
      <w:pPr>
        <w:pStyle w:val="ListBullet"/>
      </w:pPr>
      <w:r>
        <w:rPr>
          <w:sz w:val="21"/>
        </w:rPr>
        <w:t>Conformidade legal e acessibilidade no núcleo — não como adicional.</w:t>
      </w:r>
    </w:p>
    <w:p>
      <w:pPr>
        <w:pStyle w:val="ListBullet"/>
      </w:pPr>
      <w:r>
        <w:rPr>
          <w:sz w:val="21"/>
        </w:rPr>
        <w:t>Tecnologia moderna, segura e auditável, com IA integrada.</w:t>
      </w:r>
    </w:p>
    <w:p>
      <w:pPr>
        <w:pStyle w:val="ListBullet"/>
      </w:pPr>
      <w:r>
        <w:rPr>
          <w:sz w:val="21"/>
        </w:rPr>
        <w:t>Migração do site atual sem perder histórico nem posicionamento no Google.</w:t>
      </w:r>
    </w:p>
    <w:p>
      <w:pPr>
        <w:pStyle w:val="ListBullet"/>
      </w:pPr>
      <w:r>
        <w:rPr>
          <w:sz w:val="21"/>
        </w:rPr>
        <w:t>Implantação rápida, em nuvem ou no servidor da prefeitura.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E0EE"/>
          <w:left w:val="single" w:sz="4" w:color="D9E0EE"/>
          <w:bottom w:val="single" w:sz="4" w:color="D9E0EE"/>
          <w:right w:val="single" w:sz="4" w:color="D9E0EE"/>
          <w:insideH w:val="single" w:sz="4" w:color="D9E0EE"/>
          <w:insideV w:val="single" w:sz="4" w:color="D9E0EE"/>
        </w:tblBorders>
      </w:tblPr>
      <w:tblGrid>
        <w:gridCol w:w="9461"/>
      </w:tblGrid>
      <w:tr>
        <w:tc>
          <w:tcPr>
            <w:tcW w:type="dxa" w:w="9461"/>
            <w:shd w:val="clear" w:fill="0C326F"/>
          </w:tcPr>
          <w:p>
            <w:pPr>
              <w:spacing w:before="200"/>
              <w:jc w:val="center"/>
            </w:pPr>
            <w:r/>
            <w:r>
              <w:rPr>
                <w:b/>
                <w:color w:val="FFFFFF"/>
                <w:sz w:val="30"/>
              </w:rPr>
              <w:t>Vamos modernizar a sua prefeitura?</w:t>
            </w:r>
          </w:p>
          <w:p>
            <w:pPr>
              <w:jc w:val="center"/>
            </w:pPr>
            <w:r>
              <w:rPr>
                <w:color w:val="E8EEFB"/>
                <w:sz w:val="21"/>
              </w:rPr>
              <w:t>Agende uma demonstração gratuita e veja o portal funcionando com os dados do seu município.</w:t>
            </w:r>
          </w:p>
          <w:p>
            <w:pPr>
              <w:spacing w:after="200"/>
              <w:jc w:val="center"/>
            </w:pPr>
            <w:r>
              <w:rPr>
                <w:b/>
                <w:color w:val="FFCD07"/>
                <w:sz w:val="20"/>
              </w:rPr>
              <w:t>Lidera Tecnologia e Gestão   ·   comercial@lideratecnologia.com.br   ·   www.lideratecnologia.com.br</w:t>
            </w:r>
          </w:p>
        </w:tc>
      </w:tr>
    </w:tbl>
    <w:p>
      <w:pPr>
        <w:spacing w:after="120"/>
        <w:jc w:val="center"/>
      </w:pPr>
      <w:r>
        <w:rPr>
          <w:b w:val="0"/>
          <w:i/>
          <w:color w:val="667788"/>
          <w:sz w:val="18"/>
        </w:rPr>
        <w:t>Investimento sob consulta, conforme o porte do município.</w:t>
      </w:r>
    </w:p>
    <w:sectPr w:rsidR="00FC693F" w:rsidRPr="0006063C" w:rsidSect="00034616">
      <w:pgSz w:w="11909" w:h="16834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326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351B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32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