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Tratado Integral sobre el Marco Regulatorio y Legal del Sector Seguros en la República de Panamá</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 a la Arquitectura Regulatoria del Seguro Panameño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República de Panamá se ha consolidado como un centro financiero preeminente en América Latina, un estatus que se ha logrado mediante la construcción de un ecosistema regulatorio tripartito que abarca la banca, los valores y los seguros. El sector de seguros, que representa un pilar crítico para la estabilidad macroeconómica y la mitigación del riesgo sistémico, está regido por una intrincada red de leyes estatutarias, resoluciones administrativas, códigos comerciales y políticas fiscales. El objetivo principal de esta vasta arquitectura regulatoria es garantizar la solvencia absoluta de las entidades que asumen riesgos, proteger al consumidor final de las asimetrías de información y mantener un equilibrio de mercado competitivo, transparente y equitativo.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análisis exhaustivo deconstruye los marcos legales que rigen la industria de seguros en Panamá, configurando una base de conocimiento profundo y técnico. El pilar fundamental de este ecosistema es la Ley 12 de 3 de abril de 2012, la cual estableció el régimen de supervisión moderno y creó la Superintendencia de Seguros y Reaseguros de Panamá (SSRP) como un ente autónomo. Más allá de este estatuto principal, la realidad operativa del sector está profundamente moldeada por las regulaciones subordinadas, acuerdos y resoluciones emitidas por la SSRP, las cuales adaptan el mercado a los rigurosos estándares globales, tales como las Normas Internacionales de Información Financiera (NIIF 17).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Adicionalmente, la intersección operativa entre las instituciones de crédito y los proveedores de seguros, comúnmente denominada como el canal de bancaseguros, exige una intervención regulatoria transversal por parte de la Superintendencia de Bancos de Panamá (SBP) para prevenir la coerción monopólica y preservar la libertad de contratación del consumidor. Las relaciones contractuales privadas que subyacen a todas estas actividades comerciales están ancladas en las profundas raíces históricas del Código de Comercio panameño, complementadas por legislación especializada como la Ley de Comercio Marítimo.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manera simultánea, la administración de productos de vida a largo plazo y de retiro se cruza intensamente con la Ley 10 de 16 de abril de 1993, la cual dicta las realidades operativas y los potentes incentivos fiscales de los fondos de pensiones complementarios. Finalmente, las obligaciones tributarias del sector están codificadas dentro del Código Fiscal, el cual impone impuestos específicos sobre las primas, contribuciones destinadas a servicios de emergencia y estructuras del impuesto al valor agregado que alteran fundamentalmente la modelación económica de los productos de seguros.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través de un examen metódico de estos marcos interconectados, este documento sintetiza los estatutos primarios, las dinámicas institucionales de segundo orden y las implicaciones macroeconómicas de tercer orden que definen el panorama asegurador panameño contemporáneo.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Marco Estatutario Central: La Ley 12 de 3 de abril de 2012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Antes de 2012, el mercado de seguros panameño funcionaba bajo un régimen regulatorio anticuado que luchaba por mantener el ritmo frente a las inmensas complejidades del riesgo financiero globalizado. La promulgación de la Ley 12 de 3 de abril de 2012 revolucionó por completo el sector, estableciendo un marco de supervisión moderno, basado en el riesgo, dirigido a la solvencia estructural y a la protección estricta del consumidor. Esta ley no solo redefinió las reglas del juego comercial, sino que reestructuró la propia naturaleza de la intervención estatal en la economía privada.</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Creación, Naturaleza y Autonomía de la SSRP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cambio estructural más trascendental introducido por la Ley 12 fue el establecimiento formal de la Superintendencia de Seguros y Reaseguros de Panamá (SSRP) como un organismo estatal verdaderamente autónomo. El Artículo 6 de la Ley otorga a la SSRP su propia personalidad jurídica, un patrimonio propio e independiente y una autonomía absoluta en el ejercicio de sus funciones. Esta autonomía financiera y operativa es un requisito previo crítico para una supervisión prudencial efectiva, ya que aísla al regulador de las presiones políticas a corto plazo y permite la fiscalización objetiva y técnica del mercado. La SSRP es designada estrictamente como la autoridad única y exclusiva para la regulación, reglamentación, supervisión, control y fiscalización de todas las empresas, entidades y personas sujetas al ámbito de aplicación de la ley de seguros.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gobernanza de la SSRP está estructurada deliberadamente para garantizar la competencia técnica y la independencia de criterio. El Superintendente actúa como el representante legal de la institución, asumiendo la administración y el manejo de las gestiones diarias, y posee poderes extraordinarios para hacer cumplir la normativa. La jerarquía estructural incluye una Junta Directiva compuesta por cinco miembros nombrados por el Órgano Ejecutivo, lo que enfatiza una separación de poderes y una supervisión colegiada. De entre estos miembros, se elige a un presidente y a un secretario que ejercen el cargo por un periodo prorrogable de un año.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Además, el rigor técnico de la institución está salvaguardado por prerrequisitos estatutarios sumamente estrictos para su liderazgo. Por ejemplo, el Artículo 11 dicta que el Subdirector de Seguros y Reaseguros debe ser ciudadano panameño, poseer un título universitario, observar buena conducta sin condenas penales y, de manera crucial, tener por lo menos cinco años de experiencia comprobada en la actividad aseguradora, reaseguradora o de corretaje. Estos requisitos de idoneidad aseguran que el organismo regulador esté dirigido por individuos que posean un conocimiento institucional profundo de los riesgos altamente especializados inherentes a la industria, evitando el nombramiento de figuras puramente políticas carentes de pericia técnica. Para prevenir conflictos de interés, se prohíbe explícitamente que los directivos tengan participación directa o indirecta en empresas privadas supervisadas.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Ámbito de Aplicación, el Interés Público y las Excepciones Institucionales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Artículo 1 de la Ley 12 establece un ámbito de aplicación sumamente expansivo. Dicta que cualquier empresa, entidad o individuo cuyo objeto sea realizar operaciones de seguros o de fianzas queda sometido al control, autorización previa, fiscalización, supervisión y vigilancia de la SSRP. Este perímetro regulatorio incluye no solo a los suscriptores primarios (las compañías de seguros y reaseguros), sino a la totalidad del ecosistema de intermediación y servicios auxiliares: agentes de ventas de seguros, ejecutivos de cuentas, agencias de ventas, ajustadores independientes de seguros, inspectores de averías, administradoras de empresas de corretaje y personas naturales o jurídicas que se dediquen a la profesión de corredor de seguros.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definir las actividades de seguros como asuntos de "interés público", el Estado justifica su postura regulatoria fuertemente intervencionista. Esta es una clasificación jurisprudencial y económica fundamental; debido a que el seguro implica la captación masiva, la inversión y la administración fiduciaria de fondos de terceros destinados a protecciones futuras y contingentes, el colapso financiero de una aseguradora plantea un riesgo social sistémico inaceptable. El Estado asume el deber de proteger este interés público asegurando el desarrollo adecuado del mercado.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Artículo 2 amplía aún más este alcance regulatorio para abarcar entidades que tiendan a promover coberturas o planes de salud, modalidades de seguro que conlleven la entrega de rentas vitalicias y modalidades de seguro de vida que incluyan fondos de inversión o de ahorro para los cuales se expidan pólizas. Sin embargo, la ley establece excepciones institucionales muy matizadas. La excepción más prominente es la de la Caja de Seguro Social (CSS) de Panamá. La CSS está excepcionalmente permitida por la ley para autoasegurarse a sí misma los inmensos riesgos inherentes a los regímenes administrados por la institución, así como los riesgos de muerte, incendio y líneas aliadas correspondientes a su vasta cartera hipotecaria.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obstante, esta capacidad de autoaseguramiento del Estado no es absoluta ni irresponsable. La CSS está legalmente obligada a reasegurar dichos riesgos catastróficos o de alta concentración con empresas especializadas y dedicadas a dar cobertura de este tipo, en estricta conformidad con las normas legales vigentes y la reglamentación que apruebe la propia SSRP. Este mecanismo preventivo evita que una concentración excesiva de riesgo catastrófico (como un desastre natural que destruya miles de viviendas financiadas por la CSS) pueda llevar a la quiebra al sistema de pensiones público.</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Requisitos de Capitalización y Solvencia del Mercado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garantizar que solo operen dentro de la República entidades fundamentalmente sólidas y capaces de responder ante siniestros masivos, la Ley 12 establece barreras de entrada sumamente rigurosas. La principal de ellas es el requerimiento de capitalización estatutario. Para constituir una nueva compañía aseguradora en Panamá, el capital mínimo pagado se fija en cinco millones de dólares ($5,000,000.00).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agresivo umbral de capitalización cumple un doble propósito macroeconómico. En primer lugar, proporciona un amortiguador cuantitativo sustancial para absorber shocks operativos imprevistos, desviaciones actuariales o picos inusuales en la frecuencia de siniestros. En segundo lugar, actúa como un filtro cualitativo severo, garantizando que solo los actores institucionales con un respaldo financiero significativo y con intenciones estratégicas serias a largo plazo puedan ingresar al mercado panameño. Este mecanismo estatutario suprime activamente la proliferación de operadores subcapitalizados o entidades de fachada que históricamente plagaron las jurisdicciones con regulaciones laxas o permisivas.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Además del capital inicial, la SSRP monitorea continuamente los márgenes de solvencia dinámica de las compañías activas. A través de extensiones regulatorias, si el patrimonio de una compañía cae por debajo del margen de solvencia requerido, el Superintendente está facultado para ordenar incrementos inmediatos de capital o exigir reorganizaciones corporativas integrales para subsanar la insuficiencia, señalando plazos perentorios para el cumplimiento de dicha acción. El incumplimiento de las órdenes de recapitalización dictadas por el Superintendente constituye una causa legal directa para la intervención forzosa de la compañía por parte de la SSRP, y, en última instancia, para la revocatoria total y definitiva de la licencia para operar como compañía de seguros, sin perjuicio de otras medidas legales o penales que sean procedentes.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Regulación de Intermediarios, Corredores y Tarifas Actuariales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ecosistema de intermediación está fuertemente regulado debido a la profunda asimetría de información que existe inherentemente entre los suscriptores corporativos complejos y el público minorista no especializado. El Artículo 164 de la Ley 12 decreta que la profesión de corredor de seguros, precisamente por sus inmensas implicaciones económicas, financieras y fiduciarias, solo podrá ser ejercida por personas naturales o jurídicas que posean una "idoneidad" formalmente comprobada.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idoneidad técnica y moral es reconocida única y exclusivamente por la SSRP mediante la expedición de una licencia profesional. Para asegurar la competencia técnica del mercado, el Artículo 171 faculta a la Superintendencia para reglamentar rigurosamente los exámenes que deben aprobar los aspirantes a corredores de seguros en cada uno de los ramos específicos de la industria, fijando además el costo de dichas evaluaciones. Como medida de transparencia hacia las compañías, el Artículo 184 obliga a la SSRP a suministrar mensualmente a todas las aseguradoras establecidas en el país los nombres actualizados de los corredores debidamente autorizados para ejercer la profesión.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marco legal impone restricciones de comportamiento y éticas draconianas sobre los corredores. Están obligados estatutariamente a llevar libros de contabilidad formales y auditables de todas sus actividades comerciales. Las violaciones de sus deberes fiduciarios o regulatorios resultan en penalizaciones progresivas severas. Según el Artículo 195, en caso de reincidencia en faltas normativas, se impone una suspensión obligatoria de la licencia por un período de seis meses. Si la persona o firma persiste en reincidir, se procederá a la cancelación absoluta de la licencia, escenario en el cual el infractor deberá someterse nuevamente a todos los requisitos iniciales exigidos por el Artículo 166 si desea, eventualmente, obtener su licencia de nuevo.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suspensiones administrativas también se aplican de forma estricta si un corredor incurre en morosidad en el pago de la tasa regulatoria anual (Artículo 186) o si se demora en la consignación y renovación de la fianza de cumplimiento (Artículo 185) exigida para operar. Sin embargo, el Artículo 196 introduce un mecanismo de subsanación: esta suspensión específica por morosidad financiera se levanta automáticamente tan pronto como el corredor cumpla con la obligación que la motivó, sin perjuicio de su deber de cubrir los recargos e intereses acumulados con ocasión de la mora.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movilidad del consumidor y su libertad de elección también están fuertemente protegidas en la intermediación. Bajo el Artículo 190, los clientes asegurados retienen el derecho inalienable de cambiar a su corredor de seguros de registro. Para las pólizas abiertas o de declaraciones mensuales, los cambios de corredor serán efectivos a partir de la próxima fecha de renovación o en la fecha de su próximo aniversario. Además, la ley estipula que, en caso de cancelación de una póliza con aniversario por parte del asegurado, se aplicará la tabla de cancelación a corto plazo pactada en el contrato original o la que tenga en vigor la aseguradora de acuerdo con el Código de Comercio.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fijación de precios de los productos de seguros (el régimen tarifario) no se deja puramente a las fuerzas desenfrenadas del libre mercado. El Artículo 145 dicta categóricamente que todas las tarifas comerciales utilizadas por las aseguradoras deben observar principios técnicos actuariales irrenunciables, específicamente los principios de equidad y suficiencia. El principio de equidad asegura que los asegurados no sean sometidos a precios discriminatorios, arbitrarios o extorsivos basados en factores no técnicos. El principio de suficiencia, de importancia crítica para el regulador, garantiza que las primas cobradas al público sean matemáticamente adecuadas y suficientes para cubrir la probabilidad agregada de los riesgos asegurados, los gastos operativos de la empresa y la acumulación de las reservas técnicas exigidas por ley. Si la SSRP detecta mediante auditorías que una aseguradora está utilizando tarifas comerciales que violan estos principios (por ejemplo, practicando dumping de precios que amenaza su propia solvencia futura), el Artículo 147 otorga al regulador la autoridad ejecutiva para ordenar la modificación inmediata de dichas tarifas, sin perjuicio de la aplicación concurrente de las severas sanciones establecidas en la ley. Asimismo, el Artículo 149 recalca que los contratos de seguros siempre deben ajustarse a lo establecido en las disposiciones previas.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Penalidades, Revocaciones y el Debido Proceso Administrativo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Ley 12 construye una arquitectura punitiva formidable para disuadir la mala praxis corporativa. El Artículo 167 aborda específicamente las prohibiciones para poseer licencias o ejercer la profesión en el sector asegurador. Un individuo o entidad corporativa tiene estrictamente prohibido operar si, en los últimos cinco años, se le ha revocado en la República de Panamá o en cualquier jurisdicción extranjera una autorización o licencia necesaria para desempeñarse en la actividad aseguradora o de corretaje. Adicionalmente, las personas que hayan sido formalmente declaradas en estado de quiebra o en concurso de acreedores tienen vetada la entrada al mercado, un cordón sanitario diseñado para asegurar que aquellos con historiales comprobados de mala gestión financiera catastrófica no puedan arriesgar el capital de los asegurados panameños.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Según el Artículo 152, a las empresas o corporaciones que violen lo dispuesto en los parámetros técnicos o regulatorios de la ley se les impondrán fuertes sanciones o multas de conformidad con lo establecido en el Título VII.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Curiosamente, desde una perspectiva de derecho administrativo procesal, el Artículo 6 aclara un derecho fundamental para los administrados: las acciones administrativas y sanciones adoptadas por la SSRP, cuando son impugnadas o apeladas de conformidad con los procedimientos generales dictados en la Ley 38 de 2000 (Ley de Procedimiento Administrativo General), tendrán inherentemente un "efecto suspensivo". Este matiz jurídico significa que, mientras una apelación esté siendo revisada activamente por las autoridades competentes, la ejecución material de la sanción económica o disciplinaria queda temporalmente en pausa. Esta disposición equilibra el poder punitivo del Estado con las garantías del debido proceso y la defensa de las entidades reguladas. En casos extremos, como las resoluciones de liquidación forzosa dictadas por la SSRP, la jurisprudencia establece que estas pueden ser impugnadas por la vía incidental ante la Sala Tercera de la Corte Suprema de Justicia dentro de plazos perentorios muy cortos (cinco días hábiles), tramitándose ante la Junta de Liquidación.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de la Ley 12 de 2012</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 Regulatorio o Mecanismo</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Implicación Estratégica y Económica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Gobernanza de la SSRP</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 autónomo, financiado por tasas propias, 5 miembros de Junta, subdirector experto.</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Aísla la supervisión de la volatilidad política; garantiza que las decisiones se tomen con rigor actuarial.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Capital Mínimo de Entrada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Requisito base de $5,000,000.00 para nuevas aseguradoras.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Filtra actores subcapitalizados; protege la solvencia sistémica del mercado frente a siniestros tempranos.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Control Tarifario</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Demostración obligatoria de los principios de "Equidad" y "Suficiencia".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Evita guerras de precios destructivas (dumping) y protege al consumidor contra cobros abusivos.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Licenciamiento de Corredores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Exámenes obligatorios, libros de contabilidad, fianzas de cumplimiento.</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Profesionaliza la intermediación; crea mecanismos financieros para resarcir errores u omisiones (E&amp;O).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Prohibiciones de Entrada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Veto a entidades con revocaciones previas (últimos 5 años) o historial de quiebra.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 un cordón sanitario que protege al mercado panameño de actores con antecedentes de negligencia.</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Dinámicas del Ente Regulador: Acuerdos y Resoluciones de la SSRP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Mientras que la Ley 12 proporciona la inamovible estructura ósea del mercado de seguros, el sistema muscular que permite la adaptación y la exigencia del cumplimiento diario está formado por los Acuerdos y las Resoluciones emitidos por la Junta Directiva y la Dirección General de la SSRP. Estos instrumentos de derecho administrativo permiten al regulador adaptarse rápidamente a los cambiantes estándares financieros globales, a los avances tecnológicos y a las fricciones operativas domésticas, sin requerir las arduas y lentas enmiendas legislativas por parte de la Asamblea Nacional. El cumplimiento estricto de estas normativas es lo que define el día a día legal de una aseguradora operando en Panamá.</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Cambio de Paradigma Contable: El Acuerdo 1-2024 y las NIIF 17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lugar a dudas, la acción regulatoria estructuralmente más profunda y compleja en la historia reciente del sector es el Acuerdo No. 1 de 12 de enero de 2024 (y sus modificaciones subsecuentes, tales como el Acuerdo 1-2026 y la Resolución JD-053-2024 que amplía las facultades del Superintendente sobre la materia). Este Acuerdo establece formalmente las disposiciones de estricto cumplimiento para la adopción, aplicación y reporte de las Normas Internacionales de Información Financiera (NIIF)—específicamente la NIIF 17—aplicables a todas las operaciones de seguros y reaseguros, vinculándolas directamente con los requerimientos de capital de solvencia y liquidez mínima.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implementación de la NIIF 17 (IFRS 17 por sus siglas en inglés) altera de manera fundamental las metodologías contables y actuariales mediante las cuales las aseguradoras calculan sus reservas técnicas, reconocen sus ingresos a lo largo del tiempo y presentan sus balances financieros al público y al regulador. La SSRP no permite la adopción pasiva; exige informes meticulosos mediante plantillas estandarizadas que detallan el soporte técnico del impacto de la primera aplicación de esta norma.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regulación obliga a las aseguradoras a realizar una desagregación profunda de sus pasivos en tramos conceptuales muy específicos: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Pasivo por Cobertura Restante (LRC - Liability for Remaining Coverage):</w:t>
      </w:r>
      <w:r w:rsidDel="00000000" w:rsidR="00000000" w:rsidRPr="00000000">
        <w:rPr>
          <w:rtl w:val="0"/>
        </w:rPr>
        <w:t xml:space="preserve"> Las aseguradoras deben proyectar y reservar capital para las obligaciones correspondientes a la cobertura futura de los contratos vigentes. Para calcular esto, la SSRP permite métodos de valoración duales dependiendo del perfil del riesgo: el Enfoque de Asignación de Primas (PAA - Premium Allocation Approach), que se utiliza generalmente para contratos simples y a corto plazo (como seguros de auto anuales), y el Enfoque de Bloques (BBA - Building Block Approach), utilizado para riesgos complejos y a largo plazo (como seguros de vida entera).</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Pasivo por Siniestros Ocurridos (LIC - Liability for Incurred Claims):</w:t>
      </w:r>
      <w:r w:rsidDel="00000000" w:rsidR="00000000" w:rsidRPr="00000000">
        <w:rPr>
          <w:rtl w:val="0"/>
        </w:rPr>
        <w:t xml:space="preserve"> Requiere un cálculo riguroso de las reservas para reclamaciones u obligaciones por siniestros que ya han ocurrido pero que no han sido reportados o liquidados totalmente (siniestros IBNR).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Más allá de las cifras finales, la SSRP exige a través de este Acuerdo una transparencia absoluta respecto a las variables actuariales que sustentan estos modelos matemáticos. Las aseguradoras están obligadas legalmente a remitir a la Superintendencia el detalle exacto de las tasas de mortalidad, morbilidad, caducidad (lapsos) y otras variables demográficas utilizadas. Deben justificar explícitamente el tipo de tabla aplicada (ya sea una tabla normativa internacional, una experiencia propia de la compañía o una tabla impuesta por el reasegurador), así como proporcionar una base argumentativa extensa para cualquier ajuste paramétrico realizado sobre las experiencias retrospectivas y prospectivas (Artículo 85 del Acuerdo). También se exige un resumen claro de las metodologías empleadas para definir las tasas de descuento financiero. Al imponer la NIIF 17 con tal nivel de detalle técnico mediante el Acuerdo 1-2024, la SSRP ha elevado al mercado asegurador panameño a los niveles más altos de escrutinio global, obligando a las empresas a reconocer inmediatamente los contratos deficitarios (onerosos) y prohibiendo la práctica contable de suavizar artificialmente los ingresos a lo largo de amplios horizontes temporales.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Protección al Consumidor, Manejo de Quejas y Tiempos de Respuesta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SSRP interviene activamente como un árbitro técnico en las fricciones legales inherentes entre los asegurados minoristas y las grandes corporaciones de seguros. El enfoque regulatorio hacia las quejas de los consumidores ha sido refinado y endurecido continuamente a lo largo de los años. Históricamente, este proceso estaba gobernado por normativas más laxas, pero las necesidades operativas modernas han forzado una evolución.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Recientemente, la Resolución General N° DG-SSRP-003 del 31 de julio de 2024 dejó sin efecto los marcos procesales anteriores (como la Resolución DG-SSRP-019 de 2020) con el objetivo explícito de modernizar y agilizar las fases de admisión, corrección y decisión de las quejas formales presentadas ante la Superintendencia por los consumidores. La ética regulatoria actual favorece enormemente la celeridad administrativa en pro del asegurado, imponiendo plazos de respuesta estrictos a las empresas corporativas.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Bajo las directrices contemporáneas —que fueron catalizadas inicialmente por la disrupción de la pandemia mediante la Circular No. SSRP-016-2020— las aseguradoras están obligadas a proporcionar y mantener avenidas digitales robustas para la gestión de reclamaciones. Están obligadas legalmente a publicar en sus páginas web y redes sociales el correo electrónico directo de sus "Ejecutivos de Controversias" para que los consumidores puedan contactarlos sin intermediarios. Fundamentalmente, el marco legal impone un límite estricto de treinta (30) días calendario para que la aseguradora emita una respuesta formal y vinculante a la reclamación del cliente.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una muestra de adaptación a la realidad tecnológica del consumidor promedio panameño, la SSRP ordenó explícitamente a las aseguradoras habilitar canales corporativos de WhatsApp. Esto se hizo para garantizar que los consumidores que carecen de computadoras, correos electrónicos formales o acceso a internet de banda ancha puedan enviar fotografías legibles de sus notas de reclamo directamente al Ejecutivo de Controversias, obligando a la aseguradora a procesar el trámite y a notificar el recibo de manera inmediata. Estas medidas demuestran un compromiso regulatorio con el acceso equitativo y expedito a la justicia administrativa dentro del sector financiero. El incumplimiento de estas resoluciones generales, así como la falta de envío de estadísticas mensuales de quejas a la SSRP, acarrea sanciones directas bajo el Título VII de la Ley 12.</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Modernización Institucional, Gobierno Corporativo y Reaseguro Internacional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preservar la integridad institucional y prevenir crisis de gestión, la SSRP emite continuamente normativas que rigen las operaciones internas de los sujetos regulados. Por ejemplo, el Acuerdo 3-2025 dicta disposiciones integrales y exhaustivas sobre Gobierno Corporativo. Estas normas obligan a las aseguradoras a adoptar controles internos robustos, comités de auditoría independientes, políticas para mitigar el riesgo de lavado de dinero y líneas claras de responsabilidad fiduciaria de la alta gerencia. Definen claramente que la gerencia general (CEO) y los ejecutivos que la acompañan constituyen la máxima autoridad ejecutiva y son directamente responsables ante el regulador por la gestión de la empresa. También exigen la figura del Oficial de Cumplimiento, quien debe actuar con total autonomía e independencia para garantizar el funcionamiento del sistema de prevención de blanqueo de capitales y financiamiento del terrorismo (BC/FT/FPADM).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ámbito internacional, el Acuerdo 2-2025 reglamenta de manera estricta el registro obligatorio de las empresas reaseguradoras extranjeras y de los corredores de reaseguros extranjeros que no están físicamente establecidos en Panamá, pero que asumen riesgos originados en el territorio nacional. Para poder suscribir negocios en Panamá, un corredor de reaseguro extranjero debe presentar ante la SSRP certificados de su regulador de origen que acrediten su capacidad legal, e, indispensablemente, debe constituir una Póliza de Errores y Omisiones (E&amp;O) a favor de la SSRP por la suma mínima de quinientos mil balboas (B/. 500,000.00), emitida por una aseguradora autorizada en Panamá. Este nivel de exigencia legal asegura que los portadores finales del riesgo catastrófico local sean solventes a nivel global y jurídicamente responsables ante el Estado panameño.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 manera paralela a estas exigencias hacia el mercado, la propia SSRP está inmersa en un renacimiento tecnológico interno. Mediante un convenio interinstitucional de alto nivel con la Autoridad Nacional para la Innovación Gubernamental (AIG), la SSRP está ejecutando una modernización digital profunda de sus procesos operativos y de fiscalización. Este esfuerzo de transformación digital está diseñado para optimizar la eficiencia del Estado, promover una transparencia radical en el análisis de datos financieros y acelerar sustancialmente los flujos de trabajo de cumplimiento regulatorio para todas las entidades supervisadas.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Intersección Crítica entre Banca y Seguros: El Canal de Bancaseguros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convergencia de los servicios bancarios de crédito y la distribución masiva de productos de seguros —un modelo comercial conocido globalmente como </w:t>
      </w:r>
      <w:r w:rsidDel="00000000" w:rsidR="00000000" w:rsidRPr="00000000">
        <w:rPr>
          <w:i w:val="1"/>
          <w:iCs w:val="1"/>
          <w:rtl w:val="0"/>
        </w:rPr>
        <w:t xml:space="preserve">bancaseguros</w:t>
      </w:r>
      <w:r w:rsidDel="00000000" w:rsidR="00000000" w:rsidRPr="00000000">
        <w:rPr>
          <w:rtl w:val="0"/>
        </w:rPr>
        <w:t xml:space="preserve">— es un dominio financiero altamente lucrativo pero profundamente plagado de dilemas éticos y legales. Los bancos comerciales, al actuar como los proveedores primarios de capital para hipotecas de vivienda, préstamos de automóviles y financiamiento de proyectos comerciales, poseen inherentemente una inmensa palanca de coerción sobre el consumidor. Debido a que las normativas de gestión de riesgo crediticio exigen universalmente que estos préstamos estén respaldados por pólizas de seguros subyacentes (por ejemplo, seguros de incendio y terremoto para una hipoteca, o seguros de vida que salden la deuda en caso de fallecimiento del prestatario), los bancos disponen de un mercado cautivo masivo.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 una intervención regulatoria contundente, esta dinámica genera una falla de mercado sistémica: los bancos utilizan su poder sobre la aprobación del crédito para coaccionar a los prestatarios a comprar las pólizas obligatorias exclusiva y únicamente de las compañías de seguros que son subsidiarias propiedad del mismo grupo tenedor (Holding) del banco. Esta práctica monopolística captura el 100% de los ingresos por primas dentro del mismo ecosistema bancario, aniquila la libre competencia en el mercado asegurador, e invariablemente resulta en precios más altos o coberturas subestándar para el consumidor cautivo.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Imponiendo la Libertad de Elección: El Acuerdo 009-2022 de la SBP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desmantelar estas prácticas anticompetitivas y restaurar el equilibrio del mercado, la Superintendencia de Bancos de Panamá (SBP) regula activamente de manera transversal el espacio de bancaseguros, actuando en sintonía con los principios de la ley de seguros. La piedra angular absoluta de esta postura regulatoria protectora es el Acuerdo SBP No. 009-2022, promulgado el 16 de agosto de 2022, el cual altera profundamente los requisitos legales de transparencia e información para el uso de productos y servicios bancarios.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Acuerdo 009-2022 introduce el vital Artículo 11-A en el marco regulatorio general bancario (modificando el Acuerdo 1-2011), estableciendo un mandato inquebrantable titulado "Divulgación de Información sobre la Libertad de Contratar Seguros". Esta regulación subordina explícita e imperativamente al sector bancario a los dictados de protección al consumidor establecidos en los Artículos 150 y 151 de la Ley 12 de 2012 (Ley de Seguros). Bajo este acuerdo, los bancos están obligados legalmente a informar a los clientes y clientes potenciales, </w:t>
      </w:r>
      <w:r w:rsidDel="00000000" w:rsidR="00000000" w:rsidRPr="00000000">
        <w:rPr>
          <w:i w:val="1"/>
          <w:iCs w:val="1"/>
          <w:rtl w:val="0"/>
        </w:rPr>
        <w:t xml:space="preserve">antes de la formalización o firma de cualquier contrato de crédito</w:t>
      </w:r>
      <w:r w:rsidDel="00000000" w:rsidR="00000000" w:rsidRPr="00000000">
        <w:rPr>
          <w:rtl w:val="0"/>
        </w:rPr>
        <w:t xml:space="preserve">, sobre la absoluta libertad de elección que poseen. El banco debe dejar constancia de que el cliente tiene el derecho inalienable de contratar las pólizas de seguros requeridas para respaldar la obligación bancaria con </w:t>
      </w:r>
      <w:r w:rsidDel="00000000" w:rsidR="00000000" w:rsidRPr="00000000">
        <w:rPr>
          <w:i w:val="1"/>
          <w:iCs w:val="1"/>
          <w:rtl w:val="0"/>
        </w:rPr>
        <w:t xml:space="preserve">cualquier</w:t>
      </w:r>
      <w:r w:rsidDel="00000000" w:rsidR="00000000" w:rsidRPr="00000000">
        <w:rPr>
          <w:rtl w:val="0"/>
        </w:rPr>
        <w:t xml:space="preserve"> aseguradora autorizada en el mercado abierto o a través de los canales de comercialización autorizados, prohibiendo activamente que el banco obligue al cliente a utilizar las pólizas colectivas internas del banco.</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Mandatos Operativos, Fideicomisos y Avisos de Vencimiento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regulaciones de la SBP profundizan aún más para proteger a los consumidores que, de otro modo, quedarían atrapados en arquitecturas jurídicas de financiamiento sumamente complejas. Una práctica bancaria común en Panamá implica estructurar el crédito garantizado a través de un Fideicomiso (Trust), donde el banco es técnicamente el beneficiario principal del seguro en caso de siniestro. El Acuerdo 009-2022 dicta expresamente que, incluso en el evento de que el banco utilice la figura del fideicomiso para la estructuración de créditos y sea el beneficiario de este, corresponderá ineludiblemente a la entidad bancaria notificar formalmente al cliente-deudor sobre su inclusión en el seguro colectivo. Aún más, el banco tiene la carga estatutaria de entregar física o digitalmente el certificado individual de la póliza al deudor y conservar constancia auditable de dicha entrega, previniendo así el cobro de tarifas ocultas y garantizando que el deudor sepa exactamente qué riesgos están cubiertos.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 allá de la transparencia inicial, la SBP reconoció el riesgo catastrófico que representan las cancelaciones de pólizas para los consumidores. El Acuerdo 009-2022 establece que, en el evento de que la póliza de seguro que respalda una obligación bancaria se encuentre vencida o haya sido cancelada, el banco tiene el deber afirmativo y legal de asegurarse de notificar inmediatamente al cliente de tal condición de desprotección.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dura doctrina anticoerción ya había sido firmemente reiterada por la SBP mediante la Circular N° 032-2020. Esta directiva prohíbe de manera categórica a las entidades bancarias el condicionamiento o la sujeción de la aprobación o el desembolso de un préstamo bancario a que el cliente acceda a elegir o designar a compañías de seguros relacionadas corporativamente al banco o al grupo bancario. La SBP considera que esta coerción no es simplemente una violación menor de los derechos del consumidor, sino un menoscabo grave a la solidez general, la confianza pública y la reputación operativa de todo el Centro Bancario Internacional.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Regulación de Bancaseguros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 Legal Primario</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Propósito Económico y Sistémico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Circular SBP 032-2020</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Prohíbe condicionar la aprobación de crédito al uso exclusivo de aseguradoras afiliadas al banco.</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Rompe los monopolios verticales forzosos; estimula la libre competencia de precios y coberturas entre aseguradoras independientes.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Acuerdo SBP 009-2022 (Art. 11-A)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Hace cumplir la "Libertad de Contratación" de la Ley 12; los bancos deben notificar por escrito este derecho antes de firmar el préstamo.</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 la asimetría de información en el momento de la venta; empodera jurídicamente la elección del consumidor.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Deber de Notificación en Fideicomisos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bancos deben entregar certificados individuales de pólizas colectivas a los deudores, incluso si el crédito está en fideicomiso.</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Previene el cobro de primas fantasma u ocultas en las cuotas del préstamo y asegura que el deudor conozca los términos de su cobertura.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Alertas de Vencimiento Obligatorias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Obliga a los bancos a notificar afirmativamente a los clientes sobre el vencimiento o cancelación de su póliza endosada.</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Previene pérdidas financieras ruinosas y no aseguradas (ej. la pérdida total de una casa por incendio) debido a olvidos administrativos durante la vida útil del préstamo.</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Fundamentos Contractuales: El Código de Comercio y la Ley Marítima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Mientras que el derecho administrativo rige a las instituciones (SSRP y SBP), la relación jurídica sustantiva de derecho privado entre el asegurador y el asegurado está fundamentada en las antiquísimas raíces del Código de Comercio de Panamá. Específicamente, el Libro Primero, Título XIX, regula de manera detallada las minucias del "Seguro Terrestre" (comprendido entre los Artículos 1013 al 1140), complementado por la legislación especializada que es la Ley 55 de 2008 sobre el Comercio Marítimo para la cobertura de naves y fletes.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Formalidades y Efectos del Contrato de Seguro Terrestre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contrato de seguro es inherentemente un contrato aleatorio, sinalagmático y solemne. El Código de Comercio establece formalidades estrictas para su génesis legal. El Artículo 1013 declara inequívocamente que el contrato de seguro, para que tenga validez jurídica alguna, "debe constar por escrito, y lo constituirá la póliza de seguro". Un acuerdo verbal para asegurar un riesgo carece de peso y efecto legal en la jurisprudencia mercantil panameña. Esta regla de solemnidad escrita está diseñada para erradicar las ambigüedades probatorias respecto a los límites exactos de la cobertura, las exclusiones del riesgo asumido y el cálculo preciso de la prima.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Código proporciona mecanismos matemáticos y legales sofisticados para el manejo de la nulidad o el fracaso del riesgo estipulado. Según el Artículo 1014, si los contratos de seguro quedan sin efecto, ya sea en su totalidad o en parte, los aseguradores están legalmente obligados a devolver el premio (prima) recibido al cliente. Sin embargo, reconociendo el costo de adquisición y los gastos administrativos incurridos por el suscriptor al emitir el contrato, la ley permite al asegurador retener por vía de indemnización la mitad de la prima. En un escenario altamente específico, donde la cosa asegurada ha perecido o sido destruida </w:t>
      </w:r>
      <w:r w:rsidDel="00000000" w:rsidR="00000000" w:rsidRPr="00000000">
        <w:rPr>
          <w:i w:val="1"/>
          <w:iCs w:val="1"/>
          <w:rtl w:val="0"/>
        </w:rPr>
        <w:t xml:space="preserve">después</w:t>
      </w:r>
      <w:r w:rsidDel="00000000" w:rsidR="00000000" w:rsidRPr="00000000">
        <w:rPr>
          <w:rtl w:val="0"/>
        </w:rPr>
        <w:t xml:space="preserve"> de emitida la póliza pero por causas exentas o antes de que el riesgo entrara en vigor técnico, la ley dicta que hay lugar a la repetición (devolución) del premio, pero con el descuento de un veinticinco por ciento (25%) a favor de la aseguradora.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principios de subrogación, concurrencia y responsabilidades proporcionales están abordados con precisión forense. Bajo el Artículo 1015, si una parte asegurada exonera o libera de responsabilidad expresamente a uno o varios de los múltiples aseguradores que estaban legalmente obligados a cubrir un mismo siniestro, esta exoneración unilateral produce el efecto legal de un </w:t>
      </w:r>
      <w:r w:rsidDel="00000000" w:rsidR="00000000" w:rsidRPr="00000000">
        <w:rPr>
          <w:i w:val="1"/>
          <w:iCs w:val="1"/>
          <w:rtl w:val="0"/>
        </w:rPr>
        <w:t xml:space="preserve">pago realizado</w:t>
      </w:r>
      <w:r w:rsidDel="00000000" w:rsidR="00000000" w:rsidRPr="00000000">
        <w:rPr>
          <w:rtl w:val="0"/>
        </w:rPr>
        <w:t xml:space="preserve"> en cuanto a la parte proporcional (prorrata) que a esos aseguradores liberados les habría correspondido pagar. Consecuentemente, el asegurado en este escenario solo conservará el derecho de acción judicial contra los demás aseguradores restantes únicamente por la fracción del riesgo que a estos les corresponde directamente, sin poder exigirles la parte de los exonerados. De importancia crítica para el mercado global, si el asegurador primario había contratado un reaseguro para ceder su exposición, este reaseguro no podrá hacerse efectivo ni cobrarse si el asegurado original decidió exonerar al asegurador primario. Esto preserva celosamente el principio universal de indemnidad, asegurando que el seguro no se convierta en una fuente de enriquecimiento ilícito.</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Seguro de Cosechas y Riesgos Agrícolas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Código de Comercio dedica un nivel de especificidad inusual al volátil ámbito de los seguros agrícolas y de productos de la tierra (Artículos 1034 al 1041). Dada la naturaleza perecedera, estacional y orgánica de estos activos, el legislador comprendió la necesidad de normas a la medida. El Artículo 1035 exige que los contratos de seguro contra riesgos agrícolas deben contener estipulaciones que van más allá de una póliza de incendio normal: deben denotar la denominación exacta del producto orgánico asegurado, la época aproximada en la que se realizará su cosecha, y la ubicación física exacta donde se hallan depositados los productos si el seguro recae sobre frutos que ya han sido percibidos o cosechados. Por defecto, si las partes no señalan un tiempo de duración en la póliza, el Artículo 1036 establece la presunción legal de que el seguro de cosechas se entiende contraído por el plazo de un año.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cálculo de la indemnización por siniestros agrícolas representa una fascinante aplicación jurídica de la teoría del valor esperado y el costo de oportunidad. Según el Artículo 1037, la indemnización no se basa simplemente en los insumos gastados, sino que se determina calculando el valor comercial que los frutos de una "producción regular" tendrían en el mercado, según el uso o la costumbre al momento en que debió haberse cosechado, </w:t>
      </w:r>
      <w:r w:rsidDel="00000000" w:rsidR="00000000" w:rsidRPr="00000000">
        <w:rPr>
          <w:i w:val="1"/>
          <w:iCs w:val="1"/>
          <w:rtl w:val="0"/>
        </w:rPr>
        <w:t xml:space="preserve">si no hubiese ocurrido el desastre</w:t>
      </w:r>
      <w:r w:rsidDel="00000000" w:rsidR="00000000" w:rsidRPr="00000000">
        <w:rPr>
          <w:rtl w:val="0"/>
        </w:rPr>
        <w:t xml:space="preserve">. A este valor esperado ideal se le resta el valor residual que puedan tener las cosechas dañadas después del siniestro. El asegurador paga esta diferencia matemática como su obligación de indemnización.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 aún, los peritos ajustadores encargados de la regulación del siniestro están obligados legalmente (Artículo 1038) a considerar un factor temporal crítico para minimizar la pérdida económica: deben evaluar si, dada la época del año en que ocurrió el desastre, resulta factible agronómicamente realizar una </w:t>
      </w:r>
      <w:r w:rsidDel="00000000" w:rsidR="00000000" w:rsidRPr="00000000">
        <w:rPr>
          <w:i w:val="1"/>
          <w:iCs w:val="1"/>
          <w:rtl w:val="0"/>
        </w:rPr>
        <w:t xml:space="preserve">segunda siembra</w:t>
      </w:r>
      <w:r w:rsidDel="00000000" w:rsidR="00000000" w:rsidRPr="00000000">
        <w:rPr>
          <w:rtl w:val="0"/>
        </w:rPr>
        <w:t xml:space="preserve"> o plantación, o si el estado parcial de los frutos aún permite esperar alguna cosecha futura. Esto afecta directamente la cuantía del reclamo.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combatir frontalmente el riesgo moral (moral hazard), el Artículo 1039 impone al agricultor un estricto deber de diligencia y cuidado. Si el asegurado abandona sus plantaciones tras el aviso de tormenta, o si por negligencia las deja perder o desmejorar al no tomar las medidas de prudencia básicas tendientes a prevenir o mitigar el daño, el seguro quedará inmediata y totalmente sin efecto, eximiendo a la aseguradora del pago. Por último, el Artículo 1040 establece una distinción ontológica crucial en el campo: un asegurador de "productos de la tierra" responde únicamente por los daños que sufran las cosechas (el rendimiento o fruto), pero no tiene responsabilidad alguna por el daño estructural físico que sufran las plantaciones en sí mismas (como la destrucción del tronco de un árbol frutal), ni garantiza variaciones imprevistas en la cantidad o calidad de la cosecha salvo estipulación en contrario pagada mediante extraprima.</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Seguros Marítimos, Naves y Responsabilidad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intersección del derecho de seguros y el comercio marítimo es de una vitalidad estratégica incalculable para Panamá, dado el impacto económico global del Canal de Panamá y el hecho de que la nación posee el registro abierto de naves mercantes más grande del mundo. Las intrincadas relaciones comerciales marítimas, que alguna vez estuvieron alojadas en el Código de Comercio tradicional, ahora están extensamente gobernadas por la Ley 55 de 2008 (Ley de Comercio Marítimo).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tratamiento jurídico que se le da a una nave dictamina fundamentalmente cómo los aseguradores marítimos estructuran y suscriben las pólizas de Casco y Maquinaria (H&amp;M - Hull and Machinery) y las pólizas de Protección e Indemnización (P&amp;I Clubs). El Artículo 1 de la Ley 55 define a las naves mercantes como una clase de bienes particularísima; aunque son muebles por su naturaleza física, están regidas por disposiciones especializadas que difieren del derecho común.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factor de mayor riesgo para los aseguradores marítimos y los acreedores financieros se consagra en el Artículo 4, el cual dicta que las naves están indisolublemente "afectas al pago de las deudas del propietario", ya sean deudas comunes o créditos marítimos privilegiados. La ley otorga a los acreedores el derecho procesal agresivo de perseguir y secuestrar la nave sin importar en qué aguas se encuentre, </w:t>
      </w:r>
      <w:r w:rsidDel="00000000" w:rsidR="00000000" w:rsidRPr="00000000">
        <w:rPr>
          <w:i w:val="1"/>
          <w:iCs w:val="1"/>
          <w:rtl w:val="0"/>
        </w:rPr>
        <w:t xml:space="preserve">aun si la nave ha pasado a poder de terceros</w:t>
      </w:r>
      <w:r w:rsidDel="00000000" w:rsidR="00000000" w:rsidRPr="00000000">
        <w:rPr>
          <w:rtl w:val="0"/>
        </w:rPr>
        <w:t xml:space="preserve"> compradores, mientras dure la responsabilidad de la deuda. Esta persecución global es el principal riesgo que aseguran las pólizas de título y responsabilidad marítima.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Sin embargo, los aseguradores y las instituciones de financiamiento naval dependen del poderoso mecanismo de extinción de pasivos detallado en el Artículo 17: en el escenario de una venta judicial forzosa de la nave, ejecutada mediante subasta por los Tribunales Marítimos, se extinguirá total y absolutamente toda responsabilidad de la nave desde el día del remate. Esto otorga al nuevo comprador un título inmaculado (clean title) libre de deudas previas. Por el contrario, en una venta voluntaria estándar entre corporaciones (Artículo 15), la propiedad de la nave se transmite al comprador llevando consigo todas las cargas, gravámenes e hipotecas navales preexistentes, quedando a salvo los derechos y privilegios de los acreedores originales. Esta mecánica jurídica hace que las auditorías de riesgo y los seguros de protección marítima sean una necesidad comercial insoslayable en todas las transacciones de compraventa naval privada bajo la bandera panameña.</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Sinergia con los Fondos de Jubilación y Pensiones: La Ley 10 de 1993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compañías de seguros en Panamá no operan únicamente como entidades que asumen la transferencia de riesgo de siniestros, sino que fungen como colosales inversores institucionales y administradores fiduciarios del capital a largo plazo de la ciudadanía. Este rol de gestión de la riqueza está entrelazado de manera profunda e indisoluble con la Ley 10 de 16 de abril de 1993. Esta legislación histórica estableció un poderoso marco de incentivos fiscales y de flexibilidad regulatoria para fomentar la creación, comercialización e información de fondos privados para jubilados, pensionados y otros beneficios complementarios.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Arquitectura Administrativa y Fiduciaria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génesis de la Ley 10 radicaba en el reconocimiento por parte del Estado de que el sistema estatal de la Caja de Seguro Social enfrentaría inevitablemente severas presiones demográficas y actuariales. Por lo tanto, el legislador buscó incentivar agresivamente al sector privado para construir pilares de jubilación complementarios y voluntarios.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Artículo 4 establece estrictas barreras de entrada institucionales para la gestión de estos capitales sensibles: dicta que estos planes privados solo pueden ser emitidos, estructurados y administrados por entidades altamente reguladas, a saber: bancos de licencia general (incluyendo el Banco Nacional), compañías de seguros legalmente autorizadas para operar en el país, y fideicomisos administrados por empresas con licencia fiduciaria.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esquema de supervisión de estos fondos es dual y especializado. Mientras que las compañías de seguros permanecen sujetas a la estricta vigilancia de la SSRP en cuanto a su solvencia general y a la fiscalización técnica de los cálculos actuariales que sustentan los planes (Artículo 14) , la regulación integral, autorización y fiscalización financiera de los fondos de pensiones y jubilaciones como vehículos de inversión recae bajo la jurisdicción férrea de la Superintendencia del Mercado de Valores (SMV, anteriormente la Comisión Nacional de Valores). Específicamente, dentro de la SMV, se delegó a la Dirección Nacional de Pensiones y Sociedades de Inversión la responsabilidad de supervisar directamente todos los planes y fondos previsionales que se ofrecen públicamente en la República.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estándares de contabilidad, auditoría y valoración impuestos a las aseguradoras y administradoras de estos fondos son extraordinariamente rigurosos. Legalmente, las administradoras deben regirse contablemente de acuerdo con las Normas Internacionales de Información Financiera (NIIF) que determine la SMV. Para garantizar una equidad matemática absoluta y una transparencia radical en la valoración diaria de las inversiones a largo plazo de los contribuyentes, el Artículo 8-G de la ley modificada ordena imperativamente que el patrimonio de los afiliados deberá expresarse mediante cuotas de participación presentadas en forma de número índice, utilizando una precisión algorítmica de "un mínimo de ocho decimales". Esta extrema granularidad decimal es vital para asegurar que los intereses devengados diariamente y los dividendos reinvertidos se distribuyan de manera milimétricamente exacta a lo largo de décadas de capitalización compuesta en las micro-cuentas de miles de afiliados.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Además, para prevenir fraudes, esquemas Ponzi o la mezcla ilícita de los activos corporativos de la aseguradora con los ahorros de los jubilados, los custodios responsables de retener los activos físicos o digitales de las administradoras de fondos deben someterse a estrictas auditorías independientes, arqueos físicos de valores e inspecciones exhaustivas por parte de auditores externos de manera anual.</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Motor de Incentivos Fiscales y la Portabilidad de Capital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verdadero motor de crecimiento que impulsa la Ley 10 de 1993 es su estructura sumamente generosa de incentivos fiscales, diseñada con precisión técnica para alterar los comportamientos macroeconómicos de ahorro de la población y las corporaciones. Bajo el Artículo 2, las cuotas o contribuciones financieras realizadas por personas naturales a estos fondos o planes de jubilación y pensión aprobados son formalmente deducibles para los efectos de la determinación de su renta gravable, reduciendo de manera inmediata la carga fiscal del trabajador en sus declaraciones del Impuesto sobre la Renta.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nivel corporativo, el efecto multiplicador es aún mayor. El Artículo 7 permite a los empleadores deducir agresivamente de su renta bruta impositiva el 100% de los aportes financieros que realicen directamente a los fondos constituidos en beneficio exclusivo de sus trabajadores. Esto crea un beneficio simbiótico: reduce la exposición al impuesto corporativo de la empresa, al mismo tiempo que funciona como una poderosa herramienta de retención de talento humano a largo plazo. Los empleadores incluso deben tomar en cuenta los aportes personales planificados por el empleado para ajustar legalmente a la baja las retenciones mensuales en la fuente del impuesto sobre la renta de la nómina patronal.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poderoso mecanismo de crecimiento con impuestos diferidos se mantiene intacto durante toda la vida laboral del afiliado hasta que el capital finalmente es desplegado. Originalmente, el Artículo 10 estipulaba que el beneficiario pagaría el impuesto sobre la renta sobre el equivalente de los aportes únicamente en el momento en que el fondo se liquidara o comenzaran a hacerse efectivos los pagos periódicos. De manera crítica para la planificación patrimonial moderna, la Ley 6 de 2005 introdujo una modificación histórica al Artículo 708 del Código Fiscal que blindó absolutamente a los jubilados: decretó que "las sumas que reciban los beneficiarios de fondos para jubilados, pensionados y otros beneficios conforme a la Ley 10 de 1993, al momento en que se comiencen a recibir los pagos periódicos del fondo, de conformidad con el plan de retiro suscrito, </w:t>
      </w:r>
      <w:r w:rsidDel="00000000" w:rsidR="00000000" w:rsidRPr="00000000">
        <w:rPr>
          <w:i w:val="1"/>
          <w:iCs w:val="1"/>
          <w:rtl w:val="0"/>
        </w:rPr>
        <w:t xml:space="preserve">no causarán el impuesto</w:t>
      </w:r>
      <w:r w:rsidDel="00000000" w:rsidR="00000000" w:rsidRPr="00000000">
        <w:rPr>
          <w:rtl w:val="0"/>
        </w:rPr>
        <w:t xml:space="preserve">". Esto transforma al seguro de retiro panameño en uno de los vehículos de escudo fiscal para el ciclo de vida más eficientes del continente.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fomentar la competitividad extrema y evitar que los bancos o las compañías de seguros secuestren a sus clientes en fondos con bajo rendimiento por la vía de tarifas coercitivas, la ley estatuye férreos derechos de portabilidad para el consumidor. El Artículo 11 garantiza legalmente que la administración de los planes y el monto total de los fondos depositados en ellos pueden ser transferidos íntegramente por el beneficiario a cualquier otra institución autorizada del mercado. La condición procesal es simple: el cliente solo debe notificar su decisión con un plazo que no puede ser menor a treinta (30) días ni mayor a sesenta (60) días calendario. Para blindar este derecho a la fuga de capitales hacia fondos más rentables, la ley prohíbe tajantemente a los contratos establecer "penalidad por la transferencia de los fondos o de la cuenta a otra institución".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pesar de estas ventajas financieras, fiscales y regulatorias tan formidables, los análisis demográficos y estadísticos proporcionados por el Estado indican que la adopción masiva ha sido un reto cultural. La incidencia de personas afiliadas es relativamente baja y se concentra demográficamente, alcanzando su pico de afiliación principalmente entre las personas en sus años económicamente más productivos (específicamente en el rango de edad entre los 40 y 49 años), correlacionándose directamente con mayores niveles de educación secundaria y universitaria, indicando la necesidad de mayor educación financiera y penetración de mercado por parte del sector asegurador.</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Régimen Tributario del Seguro: El Código Fiscal de Panamá</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sector asegurador en Panamá no opera en un vacío impositivo. Está sujeto a un régimen fiscal altamente especializado y multifacético codificado a lo largo del Código Fiscal de la República. La arquitectura fiscal impacta de manera directa la modelación matemática de los precios de las primas, la rentabilidad estructural neta de los accionistas de las aseguradoras, y es utilizada hábilmente por el Estado como un motor de recaudación ineludible para la financiación de servicios públicos y de emergencia vitales.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Impuesto Directo sobre Primas (El Gravamen del 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impuesto directo y principal que recae sobre el volumen operativo del sector asegurador es el Impuesto sobre Primas de Seguros. El Código Fiscal (en el contexto de su Artículo 1014) impone un gravamen fundamental del dos por ciento (2%) sobre las </w:t>
      </w:r>
      <w:r w:rsidDel="00000000" w:rsidR="00000000" w:rsidRPr="00000000">
        <w:rPr>
          <w:i w:val="1"/>
          <w:iCs w:val="1"/>
          <w:rtl w:val="0"/>
        </w:rPr>
        <w:t xml:space="preserve">primas brutas</w:t>
      </w:r>
      <w:r w:rsidDel="00000000" w:rsidR="00000000" w:rsidRPr="00000000">
        <w:rPr>
          <w:rtl w:val="0"/>
        </w:rPr>
        <w:t xml:space="preserve"> cobradas por las compañías de seguros en virtud de riesgos asumidos dentro de la jurisdicción geográfica de la República de Panamá.</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esta mecánica fiscal, las aseguradoras actúan </w:t>
      </w:r>
      <w:r w:rsidDel="00000000" w:rsidR="00000000" w:rsidRPr="00000000">
        <w:rPr>
          <w:i w:val="1"/>
          <w:iCs w:val="1"/>
          <w:rtl w:val="0"/>
        </w:rPr>
        <w:t xml:space="preserve">de facto</w:t>
      </w:r>
      <w:r w:rsidDel="00000000" w:rsidR="00000000" w:rsidRPr="00000000">
        <w:rPr>
          <w:rtl w:val="0"/>
        </w:rPr>
        <w:t xml:space="preserve"> como agentes de recaudación delegados del Estado. Están obligadas legalmente a preparar y someter una declaración jurada detallando el balance y el informe anual de todas las primas brutas cobradas durante el año calendario inmediatamente anterior. Deben liquidar y pagar el 100% de este impuesto correspondiente del 2% a la Dirección General de Ingresos (DGI) del Ministerio de Economía y Finanzas (MEF) a más tardar en los primeros diez (10) días del mes de marzo de cada año. Operativamente, este pago a las arcas estatales se ejecuta a través de la plataforma en línea </w:t>
      </w:r>
      <w:r w:rsidDel="00000000" w:rsidR="00000000" w:rsidRPr="00000000">
        <w:rPr>
          <w:i w:val="1"/>
          <w:iCs w:val="1"/>
          <w:rtl w:val="0"/>
        </w:rPr>
        <w:t xml:space="preserve">e-Tax 2.0</w:t>
      </w:r>
      <w:r w:rsidDel="00000000" w:rsidR="00000000" w:rsidRPr="00000000">
        <w:rPr>
          <w:rtl w:val="0"/>
        </w:rPr>
        <w:t xml:space="preserve"> del gobierno, utilizando específicamente la Boleta de Pago con código 204 para la liquidación anual (Formulario 113) y el código 766 para los pagos o liquidaciones periódicas (Formulario 118).</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sanciones pecuniarias por evadir, calcular mal o retrasarse en la remisión de este impuesto sobre las primas son deliberadamente gravosas para desincentivar el jineteo de los fondos del Estado. Si un contribuyente corporativo no presenta la declaración-liquidación y no paga el impuesto correspondiente en el plazo límite, la DGI impone inmediatamente un recargo punitivo del diez por ciento (10%) sobre el saldo adeudado, al cual se le suma un severo interés de mora del uno por ciento (1%) mensual computado desde el instante exacto en que el impuesto debió ser liquidado. Si la morosidad y negligencia corporativa se prolonga y supera los sesenta (60) días de impago, el Estado intensifica la sanción de manera catastrófica para el balance de la empresa: el infractor será sometido a una multa equivalente a un monto que varía entre dos a cinco veces (200% a 500%) el valor total del impuesto dejado de pagar.</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Impuestos de Destinación Específica: Bomberos y Autoridad de Tránsito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 allá del impuesto general del 2% a las primas brutas que entra al fondo consolidado de la nación, el Estado panameño utiliza de forma pragmática la facturación recurrente del sector asegurador para financiar de manera directa instituciones públicas críticas a través de impuestos de destinación específica (ring-fenced taxes).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caso más prominente es el impuesto especializado del cinco por ciento (5%) que se recarga de forma obligatoria, exclusiva y directa sobre la facturación de todas las primas correspondientes a pólizas del ramo de Seguro de Incendio. Históricamente codificado, este mandato fue fortalecido sustancialmente mediante la Ley 65 de 2016 (que modificó el Artículo 63 de la Ley 12 de 2012 de Seguros). Esta ley establece perentoriamente que la totalidad de los ingresos multimillonarios generados por este impuesto del 5% sobre el riesgo de incendio localizado en Panamá no pertenece al gobierno central, sino que debe ser transferido integralmente de manera fiduciaria al fondo de mantenimiento y equipamiento del Benemérito Cuerpo de Bomberos de la República de Panamá. Para garantizar la pulcritud del flujo de caja, la Asamblea Nacional invistió a la propia SSRP con la responsabilidad primaria de fiscalizar el cobro y pago de estos impuestos, exigiéndole remitir informes mensuales por escrito al fiduciario del Fondo y a los Bomberos detallando los impuestos pagados por cada compañía de seguros individualizada y exponiendo cualquier retraso corporativo.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 manera análoga, el gigantesco mercado de los seguros de automóviles es utilizado para gravar el uso de la infraestructura de transporte. Existe un impuesto adicional del uno por ciento (1%) cobrado exclusivamente sobre todas las pólizas de seguros de vehículos de motor. Para cumplir con este mandato, las compañías de seguros actúan como recaudadoras y deben presentar, dentro de los primeros quince (15) días de cada mes, una declaración jurada exhaustiva sobre las primas automotrices cobradas en el mes inmediatamente anterior. Simultáneamente a la declaración, las aseguradoras deben remitir financieramente todas las sumas correspondientes a este 1% a las arcas de la Autoridad de Tránsito y Transporte Terrestre (ATTT). Este gravamen funciona, desde una perspectiva económica, como una tasa indirecta al usuario, donde los conductores aseguran sus vehículos privados y, a cambio, financian administrativamente al organismo estatal encargado de regular y mantener la seguridad vial.</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Complejidad del Impuesto al Valor Agregado: El ITBMS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aplicación del Impuesto a la Transferencia de Bienes Corporales Muebles y la Prestación de Servicios (ITBMS), que constituye el equivalente panameño al Impuesto al Valor Agregado (IVA), actualmente fijado en una tasa base del siete por ciento (7%), introduce un nivel significativo de complejidad transaccional y cumplimiento contable en el ecosistema de los seguros.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regla comercial general fundamentada en la base tributaria, la prestación o comercialización de servicios corporativos, lo cual abarca la evaluación de riesgos y la suscripción de la inmensa mayoría de las pólizas de seguros de daños, comerciales y de propiedad, se considera un servicio gravado y está sujeto de forma plena al cobro del 7% de ITBMS. Esto obliga a la aseguradora a calcular el impuesto, añadirlo sobre la prima neta comercial que se cobra al consumidor final y ejercer como agente de retención del Estado. Para el control cruzado, la DGI exige la liquidación y presentación metódica del ITBMS mediante la declaración jurada Formulario 430 (y el Formulario 4331 para retenedores), requiriendo un desglose contable granular de todas las ventas gravadas, e incluso el registro de las deducciones y notas de crédito de devoluciones y descuentos, limitando la validez de estos ajustes impositivos a un estricto margen de tiempo no superior a los ciento ochenta (180) días entre la fecha original de facturación de la póliza y la fecha real de la devolución o cancelación del contrato (conforme al Parágrafo 17 del Artículo 1057-V del Código Fiscal). La defraudación fiscal en este impuesto acarrea penas de multa de entre cinco (5) a diez (10) veces el monto defraudado, o arrestos que varían de un mes a un año.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 embargo, el Código Fiscal proporciona exenciones (exoneraciones) altamente específicas y estratégicamente dirigidas para el ITBMS que alteran el diseño de los productos y la penetración de ciertos ramos de seguros en la sociedad. El Artículo 1057 del Código Fiscal dictamina que están exentos y fuera de la órbita de cobro del ITBMS todos aquellos servicios que estén estrictamente "vinculados con la salud de los seres humanos". En consecuencia directa de esta disposición de salud pública, la comercialización de seguros médicos, primas de hospitalización y planes de salud preventivos queda completamente exenta del sobrecargo del 7% de ITBMS. Esta política fiscal disminuye la barrera de entrada de precios (price barrier) para que la población adquiera cobertura médica privada, mitigando de paso la saturación de los hospitales públicos del Estado. De la misma manera legal y lógica, las pólizas de seguro de vida individual, los componentes vinculados puramente al ahorro patrimonial y los fondos de jubilación (interconectados con los incentivos de la Ley 10) operan totalmente fuera del perímetro de recaudación del ITBMS, dado que el sistema los clasifica y ampara funcionalmente como vehículos de inversión a largo plazo y protección de contingencias, en lugar de servicios comerciales consumibles.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Impuesto Sobre la Renta Corporativo (ISR) y la Territorialidad Panameña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compañías de seguros, como entidades jurídicas (sociedades anónimas) que generan ingresos masivos, están naturalmente sujetas al esquema del Impuesto Sobre la Renta Corporativo (ISR) delineado fundamentalmente en el Artículo 699 y siguientes del Código Fiscal. Tradicionalmente, la base del ISR para entidades comerciales con altos volúmenes estipulaba que las personas jurídicas con ingresos gravables significativos (por ejemplo, superando el límite de B/.500,000) debían pagar una suma base más un porcentaje del treinta y cuatro por ciento (34%) sobre el excedente, tasa que se ha ido modelando en las últimas décadas de reforma tributaria hacia un </w:t>
      </w:r>
      <w:r w:rsidDel="00000000" w:rsidR="00000000" w:rsidRPr="00000000">
        <w:rPr>
          <w:i w:val="1"/>
          <w:iCs w:val="1"/>
          <w:rtl w:val="0"/>
        </w:rPr>
        <w:t xml:space="preserve">flat tax</w:t>
      </w:r>
      <w:r w:rsidDel="00000000" w:rsidR="00000000" w:rsidRPr="00000000">
        <w:rPr>
          <w:rtl w:val="0"/>
        </w:rPr>
        <w:t xml:space="preserve"> corporativo en torno al 25% según la norma contemporánea.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embargo, la faceta más crítica y diferenciadora de la doctrina fiscal panameña para el sector asegurador internacional es la aplicación rígida del </w:t>
      </w:r>
      <w:r w:rsidDel="00000000" w:rsidR="00000000" w:rsidRPr="00000000">
        <w:rPr>
          <w:i w:val="1"/>
          <w:iCs w:val="1"/>
          <w:rtl w:val="0"/>
        </w:rPr>
        <w:t xml:space="preserve">Principio de Territorialidad</w:t>
      </w:r>
      <w:r w:rsidDel="00000000" w:rsidR="00000000" w:rsidRPr="00000000">
        <w:rPr>
          <w:rtl w:val="0"/>
        </w:rPr>
        <w:t xml:space="preserve">. El Artículo 706 impone legalmente que el Impuesto sobre la Renta gravable de las corporaciones y personas jurídicas "recaerá sobre lo que obtengan durante el año gravable" producto exclusivo de las operaciones perfeccionadas o consumadas </w:t>
      </w:r>
      <w:r w:rsidDel="00000000" w:rsidR="00000000" w:rsidRPr="00000000">
        <w:rPr>
          <w:i w:val="1"/>
          <w:iCs w:val="1"/>
          <w:rtl w:val="0"/>
        </w:rPr>
        <w:t xml:space="preserve">dentro del territorio geográfico de la República de Panamá</w:t>
      </w:r>
      <w:r w:rsidDel="00000000" w:rsidR="00000000" w:rsidRPr="00000000">
        <w:rPr>
          <w:rtl w:val="0"/>
        </w:rPr>
        <w:t xml:space="preserve">. Además, este mismo artículo prohíbe terminantemente a las compañías deducir de su base impositiva bruta los montos financieros que, por concepto de pago de dividendos, repatriación de capital o cuotas de participación, deban distribuir o enviar al exterior a sus accionistas o sociedades holding.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conglomerados multinacionales de seguros o las reaseguradoras internacionales masivas que operan sus oficinas regionales (hubs) desde la Ciudad de Panamá, esta doctrina territorial impone una segregación contable extrema. Es imperativo existencial separar meticulosamente la facturación de las primas de fuente nacional o riesgo doméstico (las cuales pagan 100% de los tributos locales) de los inmensos volúmenes de primas o reaseguros originados a partir de riesgos foráneos de fuente extranjera (offshore), las cuales están legalmente exentas del ISR panameño. Finalmente, las realidades operativas implican años de pérdidas catastróficas. El Código Fiscal dicta reglas restrictivas e inflexibles para la amortización de estas pérdidas. Los Artículos Transitorios del Código limitan estrictamente los escudos fiscales (loss carry-forwards): las pérdidas corporativas solo pueden deducirse legalmente y arrastrarse hacia el futuro durante un horizonte máximo estricto de cinco (5) años fiscales consecutivos. Aún más punitivo, la empresa solo puede aplicar una cuota máxima en partidas iguales del 20% anual contra su renta. La porción no deducida en un año perece irremediablemente, y se consagra que el "derecho de deducir pérdida es intransferible, aún en los casos de consolidaciones o fusiones" corporativas, evitando así un mercado secundario de compraventa de corporaciones aseguradoras en bancarrota puramente para explotar sus vacíos fiscales.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del Código Fiscal</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Tasa o Base Imponible Aplicada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Destinación de los Fondos / Propósito Económico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Impuesto de Primas (General)</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sobre todas las Primas Brutas de fuente local.</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Dirigido al Tesoro Nacional a través de las recaudaciones de la DGI (Formularios 113/118).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Impuesto sobre Pólizas de Incendio</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sobre el valor comercial de las primas de Incendio y ramos aliados.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Fondo Fiduciario intocable destinado exclusivamente a financiar al Benemérito Cuerpo de Bomberos de Panamá.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Impuesto de Pólizas de Automóvil</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sobre las primas de seguros de vehículos de motor.</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Financiamiento directo de la Autoridad del Tránsito y Transporte Terrestre (ATTT) para seguridad vial.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Impuesto al Valor Agregado (ITBMS)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base sobre el valor del servicio comercial del seguro de daños.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Ingresos Corrientes del Estado. </w:t>
            </w:r>
            <w:r w:rsidDel="00000000" w:rsidR="00000000" w:rsidRPr="00000000">
              <w:rPr>
                <w:i w:val="1"/>
                <w:iCs w:val="1"/>
                <w:rtl w:val="0"/>
              </w:rPr>
              <w:t xml:space="preserve">(Nota crucial: Los seguros de gastos médicos, salud humana y vida están exentos por ley para proteger la seguridad social)</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Escudos Fiscales por Retiro (Ley 10)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Deducción total en ISR para corporaciones e individuos de sus aportes al fondo.</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Incentiva la movilización del ahorro privado a largo plazo para aliviar futuras crisis del sistema público de la CSS.</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Conclusión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arquitectura legal y regulatoria del sector de seguros en la República de Panamá se erige no como un simple conjunto de normativas dispares, sino como un sistema altamente sofisticado, interconectado y diseñado con precisión quirúrgica para equilibrar el imperativo de la expansión comercial del sector privado con la necesidad innegociable de mantener una solvencia sistémica absoluta en el ecosistema financiero.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pilar estructural que fundamenta todo el sector es la Ley 12 de 2012, la cual establece las bases inamovibles para el funcionamiento del mercado, imponiendo barreras de entrada formidablemente altas (como la exigencia de 5 millones de dólares en capital social mínimo pagado) y blindando a la Superintendencia de Seguros y Reaseguros con poderes autónomos y extraordinarios para fiscalizar la "idoneidad" de aseguradoras y corredores, interviniendo forzosamente a cualquier actor que amenace la integridad de los fondos del público y forzando el respeto por la equidad y suficiencia tarifaria. Esta autoridad legislativa abstracta toma forma física en las operaciones diarias a través del derecho administrativo de las Resoluciones y Acuerdos dictados por la SSRP. Esto es sumamente evidente en el gigantesco salto hacia la total transparencia y la adopción de los rigurosos estándares de revelación global mediante la imposición formal del modelo NIIF 17 (Acuerdo 1-2024), el cual descompone y transparenta matemáticamente los pasivos de cobertura y liquidación de las empresas, imposibilitando los maquillajes financieros a largo plazo.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Simultáneamente, la genialidad del sistema radica en su aguda conciencia de las vulnerabilidades y fricciones intersectoriales y monopolísticas. Al habilitar a la Superintendencia de Bancos para intervenir regulatoriamente de forma estricta sobre el vital y multimillonario canal de bancaseguros, mediante normativas anti-coercitivas tan directas como el Acuerdo 009-2022 y la Circular 032-2020, el Estado garantiza la destrucción de oligopolios verticales, previene que las maquinarias crediticias bancarias exploten a los deudores minoristas cautivos y preserva la doctrina fundamental de la libertad de elección contractual dentro de un mercado verdaderamente competitivo y no coercitivo. Esta protección al consumidor se apuntala aún más sobre los férreos y venerables cimientos de derecho privado consagrados en el Título XIX del Código de Comercio, los cuales dictaminan implacablemente las responsabilidades solemnes, formales y por escrito del contrato de seguro, regulando de manera técnica la exoneración de responsabilidades, el cálculo matemático de lucro cesante y siniestros en cosechas agrícolas y las complejísimas mecánicas de deudas que siguen persiguiendo a las naves en el dominio de los seguros marítimos bajo la Ley 55.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otro lado, la perfecta y estratégica integración de la actividad aseguradora institucional con el aparato regulatorio de las pensiones dictado en la Ley 10 de 1993, transforma a las compañías aseguradoras panameñas: de ser meros y pasivos suscriptores de pólizas de riesgo contingente, evolucionan hasta convertirse en pilares macroeconómicos y fideicomisarios indispensables de la nación. A través de exenciones fiscales que bordean en la eliminación total del impuesto a la renta en los pagos de retiro y la exigencia de una precisión contable forense de hasta ocho decimales en sus cuotas de indexación, las aseguradoras propulsan y custodian el ahorro privado a largo plazo.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Finalmente, el entramado tributario diseñado con especificidad técnica a lo largo del Código Fiscal, con la ejecución implacable de la Dirección General de Ingresos, demuestra cómo el Estado emplea y somete a la industria de los seguros para que actúen como agentes fiduciarios perfectos para la recaudación del tesoro público. La implementación de la tasa general del 2% sobre el grueso de las primas y el ITBMS se complementa de forma pragmática y vital con el cobro especializado del 5% de gravamen sobre las coberturas de incendio destinado inexorablemente al rescate de las infraestructuras de los bomberos y la cuota del 1% sobre los autos para financiar a la ATTT. En su gran e interrelacionada totalidad, la arquitectura regulatoria legal, comercial y fiscal de los seguros en Panamá constituye un modelo jurídico y técnico sobresaliente de supervisión prudencial basada en el control de riesgos, la protección irrestricta de la libre competencia fiduciaria y la astuta integración macroeconómica del bienestar nacional.</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Fuentes citadas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Ley 12 de 2012: Regulación de Seguros en Panamá | PDF - Scribd, https://es.scribd.com/document/683381093/CUESTINARIO-DE-SEGUROS-LEY-12-1 2. QUE REGULA LA ACTIVIDAD DE SEGUROS Y DICTA OTRAS DISPOSICIONES. - Superintendencia del Mercado de Valores de Panamá, https://supervalores.gob.pa/wp-content/uploads/2021/03/Ley_12_de_2012.pdf 3. circular n° ssrp-020-2024 - Superintendencia de Seguros y Reaseguros de Panamá, https://superseguros.gob.pa/bitnami/wordpress/wp-content/uploads/Cir-020-2024-1.pdf 4. No. 29967-B Gaceta Oficial Digital, jueves 08 de febrero de 2024, https://www.gacetaoficial.gob.pa/pdfTemp/29967_B/GacetaNo_29967b_20240208.pdf 5. Acuerdo No. 9-2022 - Superintendencia de bancos de Panama, https://www.superbancos.gob.pa/documentos/leyes_y_regulaciones/acuerdos/2022/Acuerdo_09-2022.pdf 6. 0032-2020 Señor(a) Gerente General Ciudad Ref. Libertad del cliente para contra - Superintendencia de bancos de Panama, https://www.superbancos.gob.pa/documentos/leyes_y_regulaciones/circulares/2020/circular-032-2020.pdf 7. Art. 1013 del Código de Comercio (Panamá) - Texto y - Jurídica, https://www.juridicapanama.com/articles/7288 8. LEY NO. 55 DE 06-08-2008 DEL COMERCIO MARITIMO. - Órgano Judicial, https://www.organojudicial.gob.pa/uploads/wp_repo/blogs.dir/cendoj/MARITIMO/ley_55_de_2008_del_comercio_maritimo.pdf 9. Código De Comercio | Jurídica, https://www.juridicapanama.com/library/C%C3%B3digo%20de%20Comercio?libro=LIBRO+PRIMERO+Del+Comercio+en+General&amp;page=3&amp;titulo=T%C3%8DTULO+XIX+Del+Seguro+Terrestre 10. 1 LEY 10 (De 16 de abril de 1993) "Por la cual se establecen incentivos para la información de fondos para jubilados, pens - Superintendencia del Mercado de Valores de Panamá, https://supervalores.gob.pa/wp-content/uploads/2021/03/L-1993-10-TEXTO_UNICO.pdf 11. LEY No - Superintendencia del Mercado de Valores de Panamá, https://supervalores.gob.pa/files/pensiones/L10-93.doc 12. Servicios Exentos de ITBMS (Artículo 1057 del Código Fiscal) - Dirección General de Ingresos - MEF, https://dgi.mef.gob.pa/itbms/SE-Itbms 13. Declaración Jurada Mensual sobre Primas de Pólizas de Seguros contra Incendio y Renovaciones. Formulario 118 - Dirección General de Ingresos - MEF, https://dgi.mef.gob.pa/DInforme/Formulario118 14. QUE MODIFICA UN ARTICULO DE LA LEY 12 DE 2012, QUE REGULA LA ACTIVIDAD DE SEGUROS. (IMPUESTO SOBRE PRIMAS DE SEGURO DE INCENDIO - Asamblea Nacional, https://s3-legispan.asamblea.gob.pa/legispan/NORMAS/2010/2016/LEY/Administrador%20Legispan_28176-B_2016_12_13_ASAMBLEA%20NACIONAL_65.pdf 15. Declaración Jurada Anual de Impuesto de Seguros. Formulario 113 - DGI, https://dgi.mef.gob.pa/DInforme/Formulario113 16. Ley 12 de la República de Panamá - Revista Javeriana, https://revistas.javeriana.edu.co/index.php/iberoseguros/article/download/12105/9956/43724 17. Ley 12 de 2012 sobre Seguros en Panamá - Scribd, https://es.scribd.com/document/684559677/ley-2012-012-v02-Regula-la-actividad-de-seguros-1 18. LEY No.59 DE 29-07-1996 POR LA CUAL SE REGLAMENTAN LAS ENTIDADES ASEGURADORAS, ADMINISTRADORAS DEEMPRESAS Y CORREDORES O AJU, https://docs.panama.justia.com/federales/leyes/59-de-1996-aug-1-1996.pdf 19. LEY 12 de 3 de abril de 2012 de la República de Panamá Que regula la actividad de seguros y dicta otras - Revista Javeriana, https://revistas.javeriana.edu.co/index.php/iberoseguros/article/download/11475/10006/43890 20. REPÚBLICA DE PANAMÁ - Junta de Liquidación de SEGUROS CONSTITUCION, SA (EN LIQUIDACION FORZOSA), https://superseguros.gob.pa/wp-content/uploads/2019/09/Res-No.12.pdf 21. Acuerdos y Fallos - Superintendencia de Seguros y Reaseguros de Panamá, https://www.superseguros.gob.pa/legal/acuerdos-y-fallos/ 22. Resoluciones - Superintendencia de Seguros y Reaseguros de Panamá, https://superseguros.gob.pa/legal/resoluciones/ 23. república de panamá - Gaceta Oficial Digital, https://www.gacetaoficial.gob.pa/pdfTemp/30096/106622.pdf 24. Circular No. SSRP-016-2020 del 2 de abril de 2020 - Centro de Estudios Regulatorios, https://www.cerlatam.com/normatividad/normas-nacionales-de-panama/circular-no-ssrp-016-2020-del-2-de-abril-de-2020/ 25. república de panamá superintencia de seguros y reaseguros - resolución general nº 0174. - Aseguradora Global, https://www.aseguradoraglobal.com.pa/sites/default/files/resolucion_general_no_1074.pdf 26. Gaceta Oficial Digital, https://www.gacetaoficial.gob.pa/pdfTemp/30421_B/116302.pdf 27. Año Panamá, R. de Panamá lunes 17 de febrero de 2025 N° 30220 MINISTERIO DE LA PRESIDENCIA Decreto N° 32 (De viernes 14 de, http://gacetas.procuraduria-admon.gob.pa/30220_2025.pdf 28. Convenio interinstitucional impulsa la modernización digital del sector asegurador en Panamá... - Autoridad Nacional para la Innovación Gubernamental, https://aig.gob.pa/convenio-interinstitucional-impulsa-la-modernizacion-digital-del-sector-asegurador-en-panama/ 29. Rule 9-2022 - T R A N S L A T I O N, https://www.superbancos.gob.pa/documents/laws_regulations/rules/2022/rule-09-2022.pdf 30. ASAMBLEA NACIONAL LEY 55 (De 6 de agosto de 2008) “DEL COMERCIO MARÍTIMO” LEY 56 (De 6 de agosto de 2008) “GENERAL DE - GACETA OFICIAL, https://www.gacetaoficial.gob.pa/pdfTemp/26100/GacetaNo_26100_20080807.pdf 31. Federales &gt; Leyes &gt; Ley 10 De 1993 - Justia Panamá, https://panama.justia.com/federales/leyes/10-de-1993-apr-20-1993/gdoc/ 32. Enciclopedia Juridica - 317-0481/317-0480 www.ejuridica.com - Superintendencia del Mercado de Valores de Panamá, https://supervalores.gob.pa/files/pensiones/articulos/R59-03_Presidencia.pdf 33. REPÚBLICA DE PANAMÁ COMISIÓN NACIONAL DE VALORES Resolución Nº CNV- 307 - GACETA OFICIAL, https://www.gacetaoficial.gob.pa/pdfTemp/26384_B/22365.pdf 34. Análisis de la afiliación a fondos privados de pensión o jubilación | MEF, https://www.mef.gob.pa/wp-content/uploads/2020/12/Afiliacion-a-fondos-privados-de-pension-o-jubilacion-octubre-de-2017.pdf 35. Impuestos sobre Primas de Seguros - Superintendencia de Seguros y Reaseguros de Panamá, https://superseguros.gob.pa/estadistica-financiera/impuestos-sobre-primas-de-seguros/ 36. UN IMPUESTO QUE SEGURO USTED PAGA El artículo 683, numeral 8 del Código Fiscal (CF) establece que el Impuesto de seguro es un - RC Group Panama, https://rcgroup.com.pa/wp-content/uploads/2020/09/UN_IMPUESTO_QUE_SEGURO_USTED_PAGA_20_9_2020.pdf 37. Generalidades ITBMS - DGI, https://dgi.mef.gob.pa/itbms/Generalidades 38. Código Fiscal, artículo 1057-V, adicionado por la Ley 75 de 1976 - ETAX 2, https://etax2.mef.gob.pa/etax2web/microayudas/Ayuda_otros/F430v4hlp.htm 39. CODIGO FISCAL TITULO I DEL IMPUESTO SOBRE LA RENTA CAPITULO I Objeto, Sujeto y Tarifa del Impuesto Artículo 694.- Renta Gravabl, https://docs.panama.justia.com/federales/codigos/codigo-fiscal.pdf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