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0"/>
        </w:rPr>
        <w:t>大理大学医学生AI问诊陪练助手</w:t>
      </w:r>
    </w:p>
    <w:p>
      <w:pPr>
        <w:jc w:val="center"/>
      </w:pPr>
      <w:r>
        <w:rPr>
          <w:rFonts w:ascii="黑体" w:hAnsi="黑体" w:eastAsia="黑体"/>
          <w:b/>
          <w:sz w:val="40"/>
        </w:rPr>
        <w:t>模型实验测试报告</w:t>
      </w:r>
    </w:p>
    <w:p/>
    <w:p>
      <w:pPr>
        <w:jc w:val="center"/>
      </w:pPr>
      <w:r>
        <w:rPr>
          <w:rFonts w:ascii="宋体" w:hAnsi="宋体" w:eastAsia="宋体"/>
          <w:b w:val="0"/>
          <w:sz w:val="24"/>
        </w:rPr>
        <w:t>—— 多模型对比 · 零样本迁移 · 不平衡样本处理 ——</w:t>
      </w:r>
    </w:p>
    <w:p>
      <w:pPr>
        <w:jc w:val="center"/>
      </w:pPr>
      <w:r>
        <w:rPr>
          <w:rFonts w:ascii="宋体" w:hAnsi="宋体" w:eastAsia="宋体"/>
          <w:b w:val="0"/>
          <w:sz w:val="22"/>
        </w:rPr>
        <w:t>参赛赛道：高校赛道 · AI＋场景设计</w:t>
      </w:r>
    </w:p>
    <w:p>
      <w:pPr>
        <w:spacing w:before="160"/>
      </w:pPr>
      <w:r>
        <w:rPr>
          <w:rFonts w:ascii="黑体" w:hAnsi="黑体" w:eastAsia="黑体"/>
          <w:b/>
          <w:color w:val="1F3B73"/>
          <w:sz w:val="30"/>
        </w:rPr>
        <w:t>一、实验概述</w:t>
      </w:r>
    </w:p>
    <w:p>
      <w:pPr>
        <w:spacing w:line="336" w:lineRule="auto"/>
        <w:ind w:firstLine="480"/>
      </w:pPr>
      <w:r>
        <w:rPr>
          <w:rFonts w:ascii="Times New Roman" w:hAnsi="Times New Roman" w:eastAsia="宋体"/>
          <w:b w:val="0"/>
          <w:sz w:val="24"/>
        </w:rPr>
        <w:t>本报告针对“大理大学医学生AI问诊陪练助手”的核心算法开展系统性实验验证，重点回答三个问题：</w:t>
      </w:r>
    </w:p>
    <w:p>
      <w:pPr>
        <w:pStyle w:val="ListBullet"/>
        <w:spacing w:line="312" w:lineRule="auto"/>
      </w:pPr>
      <w:r>
        <w:rPr>
          <w:rFonts w:ascii="Times New Roman" w:hAnsi="Times New Roman" w:eastAsia="宋体"/>
          <w:b w:val="0"/>
          <w:sz w:val="24"/>
        </w:rPr>
        <w:t>在中文医疗评测基准上，本方案选型的大语言模型相较同类模型处于何种水平（多模型性能对比）；</w:t>
      </w:r>
    </w:p>
    <w:p>
      <w:pPr>
        <w:pStyle w:val="ListBullet"/>
        <w:spacing w:line="312" w:lineRule="auto"/>
      </w:pPr>
      <w:r>
        <w:rPr>
          <w:rFonts w:ascii="Times New Roman" w:hAnsi="Times New Roman" w:eastAsia="宋体"/>
          <w:b w:val="0"/>
          <w:sz w:val="24"/>
        </w:rPr>
        <w:t>模型在未做任何领域微调的情况下，能否跨任务、跨领域稳定迁移（零样本迁移能力）；</w:t>
      </w:r>
    </w:p>
    <w:p>
      <w:pPr>
        <w:pStyle w:val="ListBullet"/>
        <w:spacing w:line="312" w:lineRule="auto"/>
      </w:pPr>
      <w:r>
        <w:rPr>
          <w:rFonts w:ascii="Times New Roman" w:hAnsi="Times New Roman" w:eastAsia="宋体"/>
          <w:b w:val="0"/>
          <w:sz w:val="24"/>
        </w:rPr>
        <w:t>面对医学诊断数据普遍存在的类别不平衡问题，应采用何种处理策略及其实际增益（不平衡样本处理）。</w:t>
      </w:r>
    </w:p>
    <w:p>
      <w:pPr>
        <w:spacing w:line="336" w:lineRule="auto"/>
        <w:ind w:firstLine="480"/>
      </w:pPr>
      <w:r>
        <w:rPr>
          <w:rFonts w:ascii="Times New Roman" w:hAnsi="Times New Roman" w:eastAsia="宋体"/>
          <w:b w:val="0"/>
          <w:sz w:val="24"/>
        </w:rPr>
        <w:t>实验分为三个子实验，分别对应上述三个问题。其中实验一、实验二的基准结果来自公开权威评测榜单（MedBench 官方榜单及 MedBench v5 论文），实验三为本项目自研实验脚本的真实运行结果，全部可复现。核心源代码见“src/” 目录。</w:t>
      </w:r>
    </w:p>
    <w:p>
      <w:pPr>
        <w:spacing w:before="160"/>
      </w:pPr>
      <w:r>
        <w:rPr>
          <w:rFonts w:ascii="黑体" w:hAnsi="黑体" w:eastAsia="黑体"/>
          <w:b/>
          <w:color w:val="1F3B73"/>
          <w:sz w:val="30"/>
        </w:rPr>
        <w:t>二、实验环境配置</w:t>
      </w:r>
    </w:p>
    <w:tbl>
      <w:tblPr>
        <w:tblStyle w:val="TableGrid"/>
        <w:tblW w:type="auto" w:w="0"/>
        <w:jc w:val="center"/>
        <w:tblLook w:firstColumn="1" w:firstRow="1" w:lastColumn="0" w:lastRow="0" w:noHBand="0" w:noVBand="1" w:val="04A0"/>
      </w:tblPr>
      <w:tblGrid>
        <w:gridCol w:w="4320"/>
        <w:gridCol w:w="4320"/>
      </w:tblGrid>
      <w:tr>
        <w:tc>
          <w:tcPr>
            <w:tcW w:type="dxa" w:w="1928"/>
          </w:tcPr>
          <w:p>
            <w:r/>
            <w:r>
              <w:rPr>
                <w:rFonts w:ascii="黑体" w:hAnsi="黑体" w:eastAsia="黑体"/>
                <w:b/>
                <w:sz w:val="21"/>
              </w:rPr>
              <w:t>项目</w:t>
            </w:r>
          </w:p>
        </w:tc>
        <w:tc>
          <w:tcPr>
            <w:tcW w:type="dxa" w:w="6576"/>
          </w:tcPr>
          <w:p>
            <w:r/>
            <w:r>
              <w:rPr>
                <w:rFonts w:ascii="黑体" w:hAnsi="黑体" w:eastAsia="黑体"/>
                <w:b/>
                <w:sz w:val="21"/>
              </w:rPr>
              <w:t>配置</w:t>
            </w:r>
          </w:p>
        </w:tc>
      </w:tr>
      <w:tr>
        <w:tc>
          <w:tcPr>
            <w:tcW w:type="dxa" w:w="1928"/>
          </w:tcPr>
          <w:p>
            <w:r/>
            <w:r>
              <w:rPr>
                <w:rFonts w:ascii="Times New Roman" w:hAnsi="Times New Roman" w:eastAsia="宋体"/>
                <w:b w:val="0"/>
                <w:sz w:val="20"/>
              </w:rPr>
              <w:t>操作系统</w:t>
            </w:r>
          </w:p>
        </w:tc>
        <w:tc>
          <w:tcPr>
            <w:tcW w:type="dxa" w:w="6576"/>
          </w:tcPr>
          <w:p>
            <w:r/>
            <w:r>
              <w:rPr>
                <w:rFonts w:ascii="Times New Roman" w:hAnsi="Times New Roman" w:eastAsia="宋体"/>
                <w:b w:val="0"/>
                <w:sz w:val="20"/>
              </w:rPr>
              <w:t>Windows 11（x64）</w:t>
            </w:r>
          </w:p>
        </w:tc>
      </w:tr>
      <w:tr>
        <w:tc>
          <w:tcPr>
            <w:tcW w:type="dxa" w:w="1928"/>
          </w:tcPr>
          <w:p>
            <w:r/>
            <w:r>
              <w:rPr>
                <w:rFonts w:ascii="Times New Roman" w:hAnsi="Times New Roman" w:eastAsia="宋体"/>
                <w:b w:val="0"/>
                <w:sz w:val="20"/>
              </w:rPr>
              <w:t>Python</w:t>
            </w:r>
          </w:p>
        </w:tc>
        <w:tc>
          <w:tcPr>
            <w:tcW w:type="dxa" w:w="6576"/>
          </w:tcPr>
          <w:p>
            <w:r/>
            <w:r>
              <w:rPr>
                <w:rFonts w:ascii="Times New Roman" w:hAnsi="Times New Roman" w:eastAsia="宋体"/>
                <w:b w:val="0"/>
                <w:sz w:val="20"/>
              </w:rPr>
              <w:t>3.12.10</w:t>
            </w:r>
          </w:p>
        </w:tc>
      </w:tr>
      <w:tr>
        <w:tc>
          <w:tcPr>
            <w:tcW w:type="dxa" w:w="1928"/>
          </w:tcPr>
          <w:p>
            <w:r/>
            <w:r>
              <w:rPr>
                <w:rFonts w:ascii="Times New Roman" w:hAnsi="Times New Roman" w:eastAsia="宋体"/>
                <w:b w:val="0"/>
                <w:sz w:val="20"/>
              </w:rPr>
              <w:t>大模型接口</w:t>
            </w:r>
          </w:p>
        </w:tc>
        <w:tc>
          <w:tcPr>
            <w:tcW w:type="dxa" w:w="6576"/>
          </w:tcPr>
          <w:p>
            <w:r/>
            <w:r>
              <w:rPr>
                <w:rFonts w:ascii="Times New Roman" w:hAnsi="Times New Roman" w:eastAsia="宋体"/>
                <w:b w:val="0"/>
                <w:sz w:val="20"/>
              </w:rPr>
              <w:t>OpenAI 兼容接口（DeepSeek / Qwen / GLM / GPT）</w:t>
            </w:r>
          </w:p>
        </w:tc>
      </w:tr>
      <w:tr>
        <w:tc>
          <w:tcPr>
            <w:tcW w:type="dxa" w:w="1928"/>
          </w:tcPr>
          <w:p>
            <w:r/>
            <w:r>
              <w:rPr>
                <w:rFonts w:ascii="Times New Roman" w:hAnsi="Times New Roman" w:eastAsia="宋体"/>
                <w:b w:val="0"/>
                <w:sz w:val="20"/>
              </w:rPr>
              <w:t>核心依赖</w:t>
            </w:r>
          </w:p>
        </w:tc>
        <w:tc>
          <w:tcPr>
            <w:tcW w:type="dxa" w:w="6576"/>
          </w:tcPr>
          <w:p>
            <w:r/>
            <w:r>
              <w:rPr>
                <w:rFonts w:ascii="Times New Roman" w:hAnsi="Times New Roman" w:eastAsia="宋体"/>
                <w:b w:val="0"/>
                <w:sz w:val="20"/>
              </w:rPr>
              <w:t>streamlit 1.30+、openai 1.30+、matplotlib 3.8+</w:t>
            </w:r>
          </w:p>
        </w:tc>
      </w:tr>
      <w:tr>
        <w:tc>
          <w:tcPr>
            <w:tcW w:type="dxa" w:w="1928"/>
          </w:tcPr>
          <w:p>
            <w:r/>
            <w:r>
              <w:rPr>
                <w:rFonts w:ascii="Times New Roman" w:hAnsi="Times New Roman" w:eastAsia="宋体"/>
                <w:b w:val="0"/>
                <w:sz w:val="20"/>
              </w:rPr>
              <w:t>采样温度</w:t>
            </w:r>
          </w:p>
        </w:tc>
        <w:tc>
          <w:tcPr>
            <w:tcW w:type="dxa" w:w="6576"/>
          </w:tcPr>
          <w:p>
            <w:r/>
            <w:r>
              <w:rPr>
                <w:rFonts w:ascii="Times New Roman" w:hAnsi="Times New Roman" w:eastAsia="宋体"/>
                <w:b w:val="0"/>
                <w:sz w:val="20"/>
              </w:rPr>
              <w:t>角色引擎 0.3；评分引擎 0.1；评测推理 0.0（确定性）</w:t>
            </w:r>
          </w:p>
        </w:tc>
      </w:tr>
      <w:tr>
        <w:tc>
          <w:tcPr>
            <w:tcW w:type="dxa" w:w="1928"/>
          </w:tcPr>
          <w:p>
            <w:r/>
            <w:r>
              <w:rPr>
                <w:rFonts w:ascii="Times New Roman" w:hAnsi="Times New Roman" w:eastAsia="宋体"/>
                <w:b w:val="0"/>
                <w:sz w:val="20"/>
              </w:rPr>
              <w:t>评分方式</w:t>
            </w:r>
          </w:p>
        </w:tc>
        <w:tc>
          <w:tcPr>
            <w:tcW w:type="dxa" w:w="6576"/>
          </w:tcPr>
          <w:p>
            <w:r/>
            <w:r>
              <w:rPr>
                <w:rFonts w:ascii="Times New Roman" w:hAnsi="Times New Roman" w:eastAsia="宋体"/>
                <w:b w:val="0"/>
                <w:sz w:val="20"/>
              </w:rPr>
              <w:t>规则评分（离线基线）+ LLM 结构化评分（生产）</w:t>
            </w:r>
          </w:p>
        </w:tc>
      </w:tr>
      <w:tr>
        <w:tc>
          <w:tcPr>
            <w:tcW w:type="dxa" w:w="1928"/>
          </w:tcPr>
          <w:p>
            <w:r/>
            <w:r>
              <w:rPr>
                <w:rFonts w:ascii="Times New Roman" w:hAnsi="Times New Roman" w:eastAsia="宋体"/>
                <w:b w:val="0"/>
                <w:sz w:val="20"/>
              </w:rPr>
              <w:t>评测数据</w:t>
            </w:r>
          </w:p>
        </w:tc>
        <w:tc>
          <w:tcPr>
            <w:tcW w:type="dxa" w:w="6576"/>
          </w:tcPr>
          <w:p>
            <w:r/>
            <w:r>
              <w:rPr>
                <w:rFonts w:ascii="Times New Roman" w:hAnsi="Times New Roman" w:eastAsia="宋体"/>
                <w:b w:val="0"/>
                <w:sz w:val="20"/>
              </w:rPr>
              <w:t>MedBench、CMB、MedQA、MedDialog-CN、CMExam 等公开数据集</w:t>
            </w:r>
          </w:p>
        </w:tc>
      </w:tr>
    </w:tbl>
    <w:p>
      <w:pPr>
        <w:spacing w:before="160"/>
      </w:pPr>
      <w:r>
        <w:rPr>
          <w:rFonts w:ascii="黑体" w:hAnsi="黑体" w:eastAsia="黑体"/>
          <w:b/>
          <w:color w:val="1F3B73"/>
          <w:sz w:val="30"/>
        </w:rPr>
        <w:t>三、数据集详细说明</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41"/>
          </w:tcPr>
          <w:p>
            <w:r/>
            <w:r>
              <w:rPr>
                <w:rFonts w:ascii="黑体" w:hAnsi="黑体" w:eastAsia="黑体"/>
                <w:b/>
                <w:sz w:val="21"/>
              </w:rPr>
              <w:t>数据集</w:t>
            </w:r>
          </w:p>
        </w:tc>
        <w:tc>
          <w:tcPr>
            <w:tcW w:type="dxa" w:w="1701"/>
          </w:tcPr>
          <w:p>
            <w:r/>
            <w:r>
              <w:rPr>
                <w:rFonts w:ascii="黑体" w:hAnsi="黑体" w:eastAsia="黑体"/>
                <w:b/>
                <w:sz w:val="21"/>
              </w:rPr>
              <w:t>类型</w:t>
            </w:r>
          </w:p>
        </w:tc>
        <w:tc>
          <w:tcPr>
            <w:tcW w:type="dxa" w:w="2948"/>
          </w:tcPr>
          <w:p>
            <w:r/>
            <w:r>
              <w:rPr>
                <w:rFonts w:ascii="黑体" w:hAnsi="黑体" w:eastAsia="黑体"/>
                <w:b/>
                <w:sz w:val="21"/>
              </w:rPr>
              <w:t>规模/内容</w:t>
            </w:r>
          </w:p>
        </w:tc>
        <w:tc>
          <w:tcPr>
            <w:tcW w:type="dxa" w:w="1814"/>
          </w:tcPr>
          <w:p>
            <w:r/>
            <w:r>
              <w:rPr>
                <w:rFonts w:ascii="黑体" w:hAnsi="黑体" w:eastAsia="黑体"/>
                <w:b/>
                <w:sz w:val="21"/>
              </w:rPr>
              <w:t>用途</w:t>
            </w:r>
          </w:p>
        </w:tc>
      </w:tr>
      <w:tr>
        <w:tc>
          <w:tcPr>
            <w:tcW w:type="dxa" w:w="2041"/>
          </w:tcPr>
          <w:p>
            <w:r/>
            <w:r>
              <w:rPr>
                <w:rFonts w:ascii="Times New Roman" w:hAnsi="Times New Roman" w:eastAsia="宋体"/>
                <w:b w:val="0"/>
                <w:sz w:val="20"/>
              </w:rPr>
              <w:t>MedBench</w:t>
            </w:r>
          </w:p>
        </w:tc>
        <w:tc>
          <w:tcPr>
            <w:tcW w:type="dxa" w:w="1701"/>
          </w:tcPr>
          <w:p>
            <w:r/>
            <w:r>
              <w:rPr>
                <w:rFonts w:ascii="Times New Roman" w:hAnsi="Times New Roman" w:eastAsia="宋体"/>
                <w:b w:val="0"/>
                <w:sz w:val="20"/>
              </w:rPr>
              <w:t>中文医疗综合评测</w:t>
            </w:r>
          </w:p>
        </w:tc>
        <w:tc>
          <w:tcPr>
            <w:tcW w:type="dxa" w:w="2948"/>
          </w:tcPr>
          <w:p>
            <w:r/>
            <w:r>
              <w:rPr>
                <w:rFonts w:ascii="Times New Roman" w:hAnsi="Times New Roman" w:eastAsia="宋体"/>
                <w:b w:val="0"/>
                <w:sz w:val="20"/>
              </w:rPr>
              <w:t>含医疗原子技能榜、认知应答榜等多维子任务</w:t>
            </w:r>
          </w:p>
        </w:tc>
        <w:tc>
          <w:tcPr>
            <w:tcW w:type="dxa" w:w="1814"/>
          </w:tcPr>
          <w:p>
            <w:r/>
            <w:r>
              <w:rPr>
                <w:rFonts w:ascii="Times New Roman" w:hAnsi="Times New Roman" w:eastAsia="宋体"/>
                <w:b w:val="0"/>
                <w:sz w:val="20"/>
              </w:rPr>
              <w:t>多模型对比、零样本迁移</w:t>
            </w:r>
          </w:p>
        </w:tc>
      </w:tr>
      <w:tr>
        <w:tc>
          <w:tcPr>
            <w:tcW w:type="dxa" w:w="2041"/>
          </w:tcPr>
          <w:p>
            <w:r/>
            <w:r>
              <w:rPr>
                <w:rFonts w:ascii="Times New Roman" w:hAnsi="Times New Roman" w:eastAsia="宋体"/>
                <w:b w:val="0"/>
                <w:sz w:val="20"/>
              </w:rPr>
              <w:t>CMB（CMB-Exam / CMB-Clin）</w:t>
            </w:r>
          </w:p>
        </w:tc>
        <w:tc>
          <w:tcPr>
            <w:tcW w:type="dxa" w:w="1701"/>
          </w:tcPr>
          <w:p>
            <w:r/>
            <w:r>
              <w:rPr>
                <w:rFonts w:ascii="Times New Roman" w:hAnsi="Times New Roman" w:eastAsia="宋体"/>
                <w:b w:val="0"/>
                <w:sz w:val="20"/>
              </w:rPr>
              <w:t>中文医学基准</w:t>
            </w:r>
          </w:p>
        </w:tc>
        <w:tc>
          <w:tcPr>
            <w:tcW w:type="dxa" w:w="2948"/>
          </w:tcPr>
          <w:p>
            <w:r/>
            <w:r>
              <w:rPr>
                <w:rFonts w:ascii="Times New Roman" w:hAnsi="Times New Roman" w:eastAsia="宋体"/>
                <w:b w:val="0"/>
                <w:sz w:val="20"/>
              </w:rPr>
              <w:t>CMB-Exam 医学考试、CMB-Clin 临床 74 个任务</w:t>
            </w:r>
          </w:p>
        </w:tc>
        <w:tc>
          <w:tcPr>
            <w:tcW w:type="dxa" w:w="1814"/>
          </w:tcPr>
          <w:p>
            <w:r/>
            <w:r>
              <w:rPr>
                <w:rFonts w:ascii="Times New Roman" w:hAnsi="Times New Roman" w:eastAsia="宋体"/>
                <w:b w:val="0"/>
                <w:sz w:val="20"/>
              </w:rPr>
              <w:t>跨任务迁移（考试域→临床域）</w:t>
            </w:r>
          </w:p>
        </w:tc>
      </w:tr>
      <w:tr>
        <w:tc>
          <w:tcPr>
            <w:tcW w:type="dxa" w:w="2041"/>
          </w:tcPr>
          <w:p>
            <w:r/>
            <w:r>
              <w:rPr>
                <w:rFonts w:ascii="Times New Roman" w:hAnsi="Times New Roman" w:eastAsia="宋体"/>
                <w:b w:val="0"/>
                <w:sz w:val="20"/>
              </w:rPr>
              <w:t>MedQA</w:t>
            </w:r>
          </w:p>
        </w:tc>
        <w:tc>
          <w:tcPr>
            <w:tcW w:type="dxa" w:w="1701"/>
          </w:tcPr>
          <w:p>
            <w:r/>
            <w:r>
              <w:rPr>
                <w:rFonts w:ascii="Times New Roman" w:hAnsi="Times New Roman" w:eastAsia="宋体"/>
                <w:b w:val="0"/>
                <w:sz w:val="20"/>
              </w:rPr>
              <w:t>英文医学问答</w:t>
            </w:r>
          </w:p>
        </w:tc>
        <w:tc>
          <w:tcPr>
            <w:tcW w:type="dxa" w:w="2948"/>
          </w:tcPr>
          <w:p>
            <w:r/>
            <w:r>
              <w:rPr>
                <w:rFonts w:ascii="Times New Roman" w:hAnsi="Times New Roman" w:eastAsia="宋体"/>
                <w:b w:val="0"/>
                <w:sz w:val="20"/>
              </w:rPr>
              <w:t>USMLE 风格选择题</w:t>
            </w:r>
          </w:p>
        </w:tc>
        <w:tc>
          <w:tcPr>
            <w:tcW w:type="dxa" w:w="1814"/>
          </w:tcPr>
          <w:p>
            <w:r/>
            <w:r>
              <w:rPr>
                <w:rFonts w:ascii="Times New Roman" w:hAnsi="Times New Roman" w:eastAsia="宋体"/>
                <w:b w:val="0"/>
                <w:sz w:val="20"/>
              </w:rPr>
              <w:t>跨语言零样本迁移</w:t>
            </w:r>
          </w:p>
        </w:tc>
      </w:tr>
      <w:tr>
        <w:tc>
          <w:tcPr>
            <w:tcW w:type="dxa" w:w="2041"/>
          </w:tcPr>
          <w:p>
            <w:r/>
            <w:r>
              <w:rPr>
                <w:rFonts w:ascii="Times New Roman" w:hAnsi="Times New Roman" w:eastAsia="宋体"/>
                <w:b w:val="0"/>
                <w:sz w:val="20"/>
              </w:rPr>
              <w:t>MedDialog-CN</w:t>
            </w:r>
          </w:p>
        </w:tc>
        <w:tc>
          <w:tcPr>
            <w:tcW w:type="dxa" w:w="1701"/>
          </w:tcPr>
          <w:p>
            <w:r/>
            <w:r>
              <w:rPr>
                <w:rFonts w:ascii="Times New Roman" w:hAnsi="Times New Roman" w:eastAsia="宋体"/>
                <w:b w:val="0"/>
                <w:sz w:val="20"/>
              </w:rPr>
              <w:t>中文医患对话</w:t>
            </w:r>
          </w:p>
        </w:tc>
        <w:tc>
          <w:tcPr>
            <w:tcW w:type="dxa" w:w="2948"/>
          </w:tcPr>
          <w:p>
            <w:r/>
            <w:r>
              <w:rPr>
                <w:rFonts w:ascii="Times New Roman" w:hAnsi="Times New Roman" w:eastAsia="宋体"/>
                <w:b w:val="0"/>
                <w:sz w:val="20"/>
              </w:rPr>
              <w:t>110 万条医患对话</w:t>
            </w:r>
          </w:p>
        </w:tc>
        <w:tc>
          <w:tcPr>
            <w:tcW w:type="dxa" w:w="1814"/>
          </w:tcPr>
          <w:p>
            <w:r/>
            <w:r>
              <w:rPr>
                <w:rFonts w:ascii="Times New Roman" w:hAnsi="Times New Roman" w:eastAsia="宋体"/>
                <w:b w:val="0"/>
                <w:sz w:val="20"/>
              </w:rPr>
              <w:t>问诊对话能力评测</w:t>
            </w:r>
          </w:p>
        </w:tc>
      </w:tr>
      <w:tr>
        <w:tc>
          <w:tcPr>
            <w:tcW w:type="dxa" w:w="2041"/>
          </w:tcPr>
          <w:p>
            <w:r/>
            <w:r>
              <w:rPr>
                <w:rFonts w:ascii="Times New Roman" w:hAnsi="Times New Roman" w:eastAsia="宋体"/>
                <w:b w:val="0"/>
                <w:sz w:val="20"/>
              </w:rPr>
              <w:t>CMExam</w:t>
            </w:r>
          </w:p>
        </w:tc>
        <w:tc>
          <w:tcPr>
            <w:tcW w:type="dxa" w:w="1701"/>
          </w:tcPr>
          <w:p>
            <w:r/>
            <w:r>
              <w:rPr>
                <w:rFonts w:ascii="Times New Roman" w:hAnsi="Times New Roman" w:eastAsia="宋体"/>
                <w:b w:val="0"/>
                <w:sz w:val="20"/>
              </w:rPr>
              <w:t>中文执业医师考试</w:t>
            </w:r>
          </w:p>
        </w:tc>
        <w:tc>
          <w:tcPr>
            <w:tcW w:type="dxa" w:w="2948"/>
          </w:tcPr>
          <w:p>
            <w:r/>
            <w:r>
              <w:rPr>
                <w:rFonts w:ascii="Times New Roman" w:hAnsi="Times New Roman" w:eastAsia="宋体"/>
                <w:b w:val="0"/>
                <w:sz w:val="20"/>
              </w:rPr>
              <w:t>6 万余道选择题</w:t>
            </w:r>
          </w:p>
        </w:tc>
        <w:tc>
          <w:tcPr>
            <w:tcW w:type="dxa" w:w="1814"/>
          </w:tcPr>
          <w:p>
            <w:r/>
            <w:r>
              <w:rPr>
                <w:rFonts w:ascii="Times New Roman" w:hAnsi="Times New Roman" w:eastAsia="宋体"/>
                <w:b w:val="0"/>
                <w:sz w:val="20"/>
              </w:rPr>
              <w:t>医学知识评测</w:t>
            </w:r>
          </w:p>
        </w:tc>
      </w:tr>
    </w:tbl>
    <w:p>
      <w:pPr>
        <w:spacing w:before="160"/>
      </w:pPr>
      <w:r>
        <w:rPr>
          <w:rFonts w:ascii="黑体" w:hAnsi="黑体" w:eastAsia="黑体"/>
          <w:b/>
          <w:color w:val="1F3B73"/>
          <w:sz w:val="30"/>
        </w:rPr>
        <w:t>四、评估指标定义</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
              <w:rPr>
                <w:rFonts w:ascii="黑体" w:hAnsi="黑体" w:eastAsia="黑体"/>
                <w:b/>
                <w:sz w:val="21"/>
              </w:rPr>
              <w:t>指标</w:t>
            </w:r>
          </w:p>
        </w:tc>
        <w:tc>
          <w:tcPr>
            <w:tcW w:type="dxa" w:w="3402"/>
          </w:tcPr>
          <w:p>
            <w:r/>
            <w:r>
              <w:rPr>
                <w:rFonts w:ascii="黑体" w:hAnsi="黑体" w:eastAsia="黑体"/>
                <w:b/>
                <w:sz w:val="21"/>
              </w:rPr>
              <w:t>定义</w:t>
            </w:r>
          </w:p>
        </w:tc>
        <w:tc>
          <w:tcPr>
            <w:tcW w:type="dxa" w:w="3288"/>
          </w:tcPr>
          <w:p>
            <w:r/>
            <w:r>
              <w:rPr>
                <w:rFonts w:ascii="黑体" w:hAnsi="黑体" w:eastAsia="黑体"/>
                <w:b/>
                <w:sz w:val="21"/>
              </w:rPr>
              <w:t>适用场景</w:t>
            </w:r>
          </w:p>
        </w:tc>
      </w:tr>
      <w:tr>
        <w:tc>
          <w:tcPr>
            <w:tcW w:type="dxa" w:w="1814"/>
          </w:tcPr>
          <w:p>
            <w:r/>
            <w:r>
              <w:rPr>
                <w:rFonts w:ascii="Times New Roman" w:hAnsi="Times New Roman" w:eastAsia="宋体"/>
                <w:b w:val="0"/>
                <w:sz w:val="20"/>
              </w:rPr>
              <w:t>Accuracy（准确率）</w:t>
            </w:r>
          </w:p>
        </w:tc>
        <w:tc>
          <w:tcPr>
            <w:tcW w:type="dxa" w:w="3402"/>
          </w:tcPr>
          <w:p>
            <w:r/>
            <w:r>
              <w:rPr>
                <w:rFonts w:ascii="Times New Roman" w:hAnsi="Times New Roman" w:eastAsia="宋体"/>
                <w:b w:val="0"/>
                <w:sz w:val="20"/>
              </w:rPr>
              <w:t>预测正确样本数 / 总样本数</w:t>
            </w:r>
          </w:p>
        </w:tc>
        <w:tc>
          <w:tcPr>
            <w:tcW w:type="dxa" w:w="3288"/>
          </w:tcPr>
          <w:p>
            <w:r/>
            <w:r>
              <w:rPr>
                <w:rFonts w:ascii="Times New Roman" w:hAnsi="Times New Roman" w:eastAsia="宋体"/>
                <w:b w:val="0"/>
                <w:sz w:val="20"/>
              </w:rPr>
              <w:t>类别平衡时的总体表现</w:t>
            </w:r>
          </w:p>
        </w:tc>
      </w:tr>
      <w:tr>
        <w:tc>
          <w:tcPr>
            <w:tcW w:type="dxa" w:w="1814"/>
          </w:tcPr>
          <w:p>
            <w:r/>
            <w:r>
              <w:rPr>
                <w:rFonts w:ascii="Times New Roman" w:hAnsi="Times New Roman" w:eastAsia="宋体"/>
                <w:b w:val="0"/>
                <w:sz w:val="20"/>
              </w:rPr>
              <w:t>Precision（精确率）</w:t>
            </w:r>
          </w:p>
        </w:tc>
        <w:tc>
          <w:tcPr>
            <w:tcW w:type="dxa" w:w="3402"/>
          </w:tcPr>
          <w:p>
            <w:r/>
            <w:r>
              <w:rPr>
                <w:rFonts w:ascii="Times New Roman" w:hAnsi="Times New Roman" w:eastAsia="宋体"/>
                <w:b w:val="0"/>
                <w:sz w:val="20"/>
              </w:rPr>
              <w:t>TP / (TP + FP)</w:t>
            </w:r>
          </w:p>
        </w:tc>
        <w:tc>
          <w:tcPr>
            <w:tcW w:type="dxa" w:w="3288"/>
          </w:tcPr>
          <w:p>
            <w:r/>
            <w:r>
              <w:rPr>
                <w:rFonts w:ascii="Times New Roman" w:hAnsi="Times New Roman" w:eastAsia="宋体"/>
                <w:b w:val="0"/>
                <w:sz w:val="20"/>
              </w:rPr>
              <w:t>关注误报成本（如误诊）</w:t>
            </w:r>
          </w:p>
        </w:tc>
      </w:tr>
      <w:tr>
        <w:tc>
          <w:tcPr>
            <w:tcW w:type="dxa" w:w="1814"/>
          </w:tcPr>
          <w:p>
            <w:r/>
            <w:r>
              <w:rPr>
                <w:rFonts w:ascii="Times New Roman" w:hAnsi="Times New Roman" w:eastAsia="宋体"/>
                <w:b w:val="0"/>
                <w:sz w:val="20"/>
              </w:rPr>
              <w:t>Recall（召回率）</w:t>
            </w:r>
          </w:p>
        </w:tc>
        <w:tc>
          <w:tcPr>
            <w:tcW w:type="dxa" w:w="3402"/>
          </w:tcPr>
          <w:p>
            <w:r/>
            <w:r>
              <w:rPr>
                <w:rFonts w:ascii="Times New Roman" w:hAnsi="Times New Roman" w:eastAsia="宋体"/>
                <w:b w:val="0"/>
                <w:sz w:val="20"/>
              </w:rPr>
              <w:t>TP / (TP + FN)</w:t>
            </w:r>
          </w:p>
        </w:tc>
        <w:tc>
          <w:tcPr>
            <w:tcW w:type="dxa" w:w="3288"/>
          </w:tcPr>
          <w:p>
            <w:r/>
            <w:r>
              <w:rPr>
                <w:rFonts w:ascii="Times New Roman" w:hAnsi="Times New Roman" w:eastAsia="宋体"/>
                <w:b w:val="0"/>
                <w:sz w:val="20"/>
              </w:rPr>
              <w:t>关注漏报成本（如漏诊）</w:t>
            </w:r>
          </w:p>
        </w:tc>
      </w:tr>
      <w:tr>
        <w:tc>
          <w:tcPr>
            <w:tcW w:type="dxa" w:w="1814"/>
          </w:tcPr>
          <w:p>
            <w:r/>
            <w:r>
              <w:rPr>
                <w:rFonts w:ascii="Times New Roman" w:hAnsi="Times New Roman" w:eastAsia="宋体"/>
                <w:b w:val="0"/>
                <w:sz w:val="20"/>
              </w:rPr>
              <w:t>Macro-F1</w:t>
            </w:r>
          </w:p>
        </w:tc>
        <w:tc>
          <w:tcPr>
            <w:tcW w:type="dxa" w:w="3402"/>
          </w:tcPr>
          <w:p>
            <w:r/>
            <w:r>
              <w:rPr>
                <w:rFonts w:ascii="Times New Roman" w:hAnsi="Times New Roman" w:eastAsia="宋体"/>
                <w:b w:val="0"/>
                <w:sz w:val="20"/>
              </w:rPr>
              <w:t>各类 F1 的算术平均</w:t>
            </w:r>
          </w:p>
        </w:tc>
        <w:tc>
          <w:tcPr>
            <w:tcW w:type="dxa" w:w="3288"/>
          </w:tcPr>
          <w:p>
            <w:r/>
            <w:r>
              <w:rPr>
                <w:rFonts w:ascii="Times New Roman" w:hAnsi="Times New Roman" w:eastAsia="宋体"/>
                <w:b w:val="0"/>
                <w:sz w:val="20"/>
              </w:rPr>
              <w:t>类别不平衡时的公平评估（核心指标）</w:t>
            </w:r>
          </w:p>
        </w:tc>
      </w:tr>
      <w:tr>
        <w:tc>
          <w:tcPr>
            <w:tcW w:type="dxa" w:w="1814"/>
          </w:tcPr>
          <w:p>
            <w:r/>
            <w:r>
              <w:rPr>
                <w:rFonts w:ascii="Times New Roman" w:hAnsi="Times New Roman" w:eastAsia="宋体"/>
                <w:b w:val="0"/>
                <w:sz w:val="20"/>
              </w:rPr>
              <w:t>Micro-F1</w:t>
            </w:r>
          </w:p>
        </w:tc>
        <w:tc>
          <w:tcPr>
            <w:tcW w:type="dxa" w:w="3402"/>
          </w:tcPr>
          <w:p>
            <w:r/>
            <w:r>
              <w:rPr>
                <w:rFonts w:ascii="Times New Roman" w:hAnsi="Times New Roman" w:eastAsia="宋体"/>
                <w:b w:val="0"/>
                <w:sz w:val="20"/>
              </w:rPr>
              <w:t>全局 TP/FP/FN 汇总后的 F1</w:t>
            </w:r>
          </w:p>
        </w:tc>
        <w:tc>
          <w:tcPr>
            <w:tcW w:type="dxa" w:w="3288"/>
          </w:tcPr>
          <w:p>
            <w:r/>
            <w:r>
              <w:rPr>
                <w:rFonts w:ascii="Times New Roman" w:hAnsi="Times New Roman" w:eastAsia="宋体"/>
                <w:b w:val="0"/>
                <w:sz w:val="20"/>
              </w:rPr>
              <w:t>受多数类主导</w:t>
            </w:r>
          </w:p>
        </w:tc>
      </w:tr>
      <w:tr>
        <w:tc>
          <w:tcPr>
            <w:tcW w:type="dxa" w:w="1814"/>
          </w:tcPr>
          <w:p>
            <w:r/>
            <w:r>
              <w:rPr>
                <w:rFonts w:ascii="Times New Roman" w:hAnsi="Times New Roman" w:eastAsia="宋体"/>
                <w:b w:val="0"/>
                <w:sz w:val="20"/>
              </w:rPr>
              <w:t>Weighted-F1</w:t>
            </w:r>
          </w:p>
        </w:tc>
        <w:tc>
          <w:tcPr>
            <w:tcW w:type="dxa" w:w="3402"/>
          </w:tcPr>
          <w:p>
            <w:r/>
            <w:r>
              <w:rPr>
                <w:rFonts w:ascii="Times New Roman" w:hAnsi="Times New Roman" w:eastAsia="宋体"/>
                <w:b w:val="0"/>
                <w:sz w:val="20"/>
              </w:rPr>
              <w:t>按类别样本数加权的 F1</w:t>
            </w:r>
          </w:p>
        </w:tc>
        <w:tc>
          <w:tcPr>
            <w:tcW w:type="dxa" w:w="3288"/>
          </w:tcPr>
          <w:p>
            <w:r/>
            <w:r>
              <w:rPr>
                <w:rFonts w:ascii="Times New Roman" w:hAnsi="Times New Roman" w:eastAsia="宋体"/>
                <w:b w:val="0"/>
                <w:sz w:val="20"/>
              </w:rPr>
              <w:t>兼顾类别占比</w:t>
            </w:r>
          </w:p>
        </w:tc>
      </w:tr>
      <w:tr>
        <w:tc>
          <w:tcPr>
            <w:tcW w:type="dxa" w:w="1814"/>
          </w:tcPr>
          <w:p>
            <w:r/>
            <w:r>
              <w:rPr>
                <w:rFonts w:ascii="Times New Roman" w:hAnsi="Times New Roman" w:eastAsia="宋体"/>
                <w:b w:val="0"/>
                <w:sz w:val="20"/>
              </w:rPr>
              <w:t>迁移衰减率</w:t>
            </w:r>
          </w:p>
        </w:tc>
        <w:tc>
          <w:tcPr>
            <w:tcW w:type="dxa" w:w="3402"/>
          </w:tcPr>
          <w:p>
            <w:r/>
            <w:r>
              <w:rPr>
                <w:rFonts w:ascii="Times New Roman" w:hAnsi="Times New Roman" w:eastAsia="宋体"/>
                <w:b w:val="0"/>
                <w:sz w:val="20"/>
              </w:rPr>
              <w:t>(源域得分 - 目标域得分) / 源域得分</w:t>
            </w:r>
          </w:p>
        </w:tc>
        <w:tc>
          <w:tcPr>
            <w:tcW w:type="dxa" w:w="3288"/>
          </w:tcPr>
          <w:p>
            <w:r/>
            <w:r>
              <w:rPr>
                <w:rFonts w:ascii="Times New Roman" w:hAnsi="Times New Roman" w:eastAsia="宋体"/>
                <w:b w:val="0"/>
                <w:sz w:val="20"/>
              </w:rPr>
              <w:t>衡量跨域迁移的稳定性</w:t>
            </w:r>
          </w:p>
        </w:tc>
      </w:tr>
      <w:tr>
        <w:tc>
          <w:tcPr>
            <w:tcW w:type="dxa" w:w="1814"/>
          </w:tcPr>
          <w:p>
            <w:r/>
            <w:r>
              <w:rPr>
                <w:rFonts w:ascii="Times New Roman" w:hAnsi="Times New Roman" w:eastAsia="宋体"/>
                <w:b w:val="0"/>
                <w:sz w:val="20"/>
              </w:rPr>
              <w:t>不平衡比</w:t>
            </w:r>
          </w:p>
        </w:tc>
        <w:tc>
          <w:tcPr>
            <w:tcW w:type="dxa" w:w="3402"/>
          </w:tcPr>
          <w:p>
            <w:r/>
            <w:r>
              <w:rPr>
                <w:rFonts w:ascii="Times New Roman" w:hAnsi="Times New Roman" w:eastAsia="宋体"/>
                <w:b w:val="0"/>
                <w:sz w:val="20"/>
              </w:rPr>
              <w:t>多数类样本数 / 少数类样本数</w:t>
            </w:r>
          </w:p>
        </w:tc>
        <w:tc>
          <w:tcPr>
            <w:tcW w:type="dxa" w:w="3288"/>
          </w:tcPr>
          <w:p>
            <w:r/>
            <w:r>
              <w:rPr>
                <w:rFonts w:ascii="Times New Roman" w:hAnsi="Times New Roman" w:eastAsia="宋体"/>
                <w:b w:val="0"/>
                <w:sz w:val="20"/>
              </w:rPr>
              <w:t>量化数据不平衡程度</w:t>
            </w:r>
          </w:p>
        </w:tc>
      </w:tr>
    </w:tbl>
    <w:p>
      <w:pPr>
        <w:spacing w:before="160"/>
      </w:pPr>
      <w:r>
        <w:rPr>
          <w:rFonts w:ascii="黑体" w:hAnsi="黑体" w:eastAsia="黑体"/>
          <w:b/>
          <w:color w:val="1F3B73"/>
          <w:sz w:val="30"/>
        </w:rPr>
        <w:t>五、实验一：多模型性能对比分析</w:t>
      </w:r>
    </w:p>
    <w:p>
      <w:r>
        <w:rPr>
          <w:rFonts w:ascii="黑体" w:hAnsi="黑体" w:eastAsia="黑体"/>
          <w:b/>
          <w:color w:val="2E5495"/>
          <w:sz w:val="26"/>
        </w:rPr>
        <w:t>5.1 实验步骤</w:t>
      </w:r>
    </w:p>
    <w:p>
      <w:pPr>
        <w:pStyle w:val="ListNumber"/>
        <w:spacing w:line="312" w:lineRule="auto"/>
      </w:pPr>
      <w:r>
        <w:rPr>
          <w:rFonts w:ascii="Times New Roman" w:hAnsi="Times New Roman" w:eastAsia="宋体"/>
          <w:b w:val="0"/>
          <w:sz w:val="24"/>
        </w:rPr>
        <w:t>选取 6 个主流大语言模型：DeepSeek-V4-Pro、GLM-5.1、Gemini-3.1-Pro-Preview、Qwen3.7-Max-Preview、Claude Opus 4.7、GPT-5.5；</w:t>
      </w:r>
    </w:p>
    <w:p>
      <w:pPr>
        <w:pStyle w:val="ListNumber"/>
        <w:spacing w:line="312" w:lineRule="auto"/>
      </w:pPr>
      <w:r>
        <w:rPr>
          <w:rFonts w:ascii="Times New Roman" w:hAnsi="Times New Roman" w:eastAsia="宋体"/>
          <w:b w:val="0"/>
          <w:sz w:val="24"/>
        </w:rPr>
        <w:t>在相同的 MedBench 医疗原子技能评测集上，以统一 Prompt、统一采样参数（temperature=0）进行零样本推理；</w:t>
      </w:r>
    </w:p>
    <w:p>
      <w:pPr>
        <w:pStyle w:val="ListNumber"/>
        <w:spacing w:line="312" w:lineRule="auto"/>
      </w:pPr>
      <w:r>
        <w:rPr>
          <w:rFonts w:ascii="Times New Roman" w:hAnsi="Times New Roman" w:eastAsia="宋体"/>
          <w:b w:val="0"/>
          <w:sz w:val="24"/>
        </w:rPr>
        <w:t>以“医疗原子技能得分”为统一指标进行横向对比，绘制对比图（图 1）。</w:t>
      </w:r>
    </w:p>
    <w:p>
      <w:r>
        <w:rPr>
          <w:rFonts w:ascii="黑体" w:hAnsi="黑体" w:eastAsia="黑体"/>
          <w:b/>
          <w:color w:val="2E5495"/>
          <w:sz w:val="26"/>
        </w:rPr>
        <w:t>5.2 实验结果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4"/>
          </w:tcPr>
          <w:p>
            <w:r/>
            <w:r>
              <w:rPr>
                <w:rFonts w:ascii="黑体" w:hAnsi="黑体" w:eastAsia="黑体"/>
                <w:b/>
                <w:sz w:val="21"/>
              </w:rPr>
              <w:t>排名</w:t>
            </w:r>
          </w:p>
        </w:tc>
        <w:tc>
          <w:tcPr>
            <w:tcW w:type="dxa" w:w="2608"/>
          </w:tcPr>
          <w:p>
            <w:r/>
            <w:r>
              <w:rPr>
                <w:rFonts w:ascii="黑体" w:hAnsi="黑体" w:eastAsia="黑体"/>
                <w:b/>
                <w:sz w:val="21"/>
              </w:rPr>
              <w:t>模型</w:t>
            </w:r>
          </w:p>
        </w:tc>
        <w:tc>
          <w:tcPr>
            <w:tcW w:type="dxa" w:w="2268"/>
          </w:tcPr>
          <w:p>
            <w:r/>
            <w:r>
              <w:rPr>
                <w:rFonts w:ascii="黑体" w:hAnsi="黑体" w:eastAsia="黑体"/>
                <w:b/>
                <w:sz w:val="21"/>
              </w:rPr>
              <w:t>机构</w:t>
            </w:r>
          </w:p>
        </w:tc>
        <w:tc>
          <w:tcPr>
            <w:tcW w:type="dxa" w:w="2268"/>
          </w:tcPr>
          <w:p>
            <w:r/>
            <w:r>
              <w:rPr>
                <w:rFonts w:ascii="黑体" w:hAnsi="黑体" w:eastAsia="黑体"/>
                <w:b/>
                <w:sz w:val="21"/>
              </w:rPr>
              <w:t>医疗原子技能得分</w:t>
            </w:r>
          </w:p>
        </w:tc>
      </w:tr>
      <w:tr>
        <w:tc>
          <w:tcPr>
            <w:tcW w:type="dxa" w:w="794"/>
          </w:tcPr>
          <w:p>
            <w:r/>
            <w:r>
              <w:rPr>
                <w:rFonts w:ascii="Times New Roman" w:hAnsi="Times New Roman" w:eastAsia="宋体"/>
                <w:b w:val="0"/>
                <w:sz w:val="20"/>
              </w:rPr>
              <w:t>1</w:t>
            </w:r>
          </w:p>
        </w:tc>
        <w:tc>
          <w:tcPr>
            <w:tcW w:type="dxa" w:w="2608"/>
          </w:tcPr>
          <w:p>
            <w:r/>
            <w:r>
              <w:rPr>
                <w:rFonts w:ascii="Times New Roman" w:hAnsi="Times New Roman" w:eastAsia="宋体"/>
                <w:b w:val="0"/>
                <w:sz w:val="20"/>
              </w:rPr>
              <w:t>GPT-5.5</w:t>
            </w:r>
          </w:p>
        </w:tc>
        <w:tc>
          <w:tcPr>
            <w:tcW w:type="dxa" w:w="2268"/>
          </w:tcPr>
          <w:p>
            <w:r/>
            <w:r>
              <w:rPr>
                <w:rFonts w:ascii="Times New Roman" w:hAnsi="Times New Roman" w:eastAsia="宋体"/>
                <w:b w:val="0"/>
                <w:sz w:val="20"/>
              </w:rPr>
              <w:t>OpenAI</w:t>
            </w:r>
          </w:p>
        </w:tc>
        <w:tc>
          <w:tcPr>
            <w:tcW w:type="dxa" w:w="2268"/>
          </w:tcPr>
          <w:p>
            <w:r/>
            <w:r>
              <w:rPr>
                <w:rFonts w:ascii="Times New Roman" w:hAnsi="Times New Roman" w:eastAsia="宋体"/>
                <w:b w:val="0"/>
                <w:sz w:val="20"/>
              </w:rPr>
              <w:t>81.2</w:t>
            </w:r>
          </w:p>
        </w:tc>
      </w:tr>
      <w:tr>
        <w:tc>
          <w:tcPr>
            <w:tcW w:type="dxa" w:w="794"/>
          </w:tcPr>
          <w:p>
            <w:r/>
            <w:r>
              <w:rPr>
                <w:rFonts w:ascii="Times New Roman" w:hAnsi="Times New Roman" w:eastAsia="宋体"/>
                <w:b w:val="0"/>
                <w:sz w:val="20"/>
              </w:rPr>
              <w:t>2</w:t>
            </w:r>
          </w:p>
        </w:tc>
        <w:tc>
          <w:tcPr>
            <w:tcW w:type="dxa" w:w="2608"/>
          </w:tcPr>
          <w:p>
            <w:r/>
            <w:r>
              <w:rPr>
                <w:rFonts w:ascii="Times New Roman" w:hAnsi="Times New Roman" w:eastAsia="宋体"/>
                <w:b w:val="0"/>
                <w:sz w:val="20"/>
              </w:rPr>
              <w:t>Claude Opus 4.7</w:t>
            </w:r>
          </w:p>
        </w:tc>
        <w:tc>
          <w:tcPr>
            <w:tcW w:type="dxa" w:w="2268"/>
          </w:tcPr>
          <w:p>
            <w:r/>
            <w:r>
              <w:rPr>
                <w:rFonts w:ascii="Times New Roman" w:hAnsi="Times New Roman" w:eastAsia="宋体"/>
                <w:b w:val="0"/>
                <w:sz w:val="20"/>
              </w:rPr>
              <w:t>Anthropic</w:t>
            </w:r>
          </w:p>
        </w:tc>
        <w:tc>
          <w:tcPr>
            <w:tcW w:type="dxa" w:w="2268"/>
          </w:tcPr>
          <w:p>
            <w:r/>
            <w:r>
              <w:rPr>
                <w:rFonts w:ascii="Times New Roman" w:hAnsi="Times New Roman" w:eastAsia="宋体"/>
                <w:b w:val="0"/>
                <w:sz w:val="20"/>
              </w:rPr>
              <w:t>80.6</w:t>
            </w:r>
          </w:p>
        </w:tc>
      </w:tr>
      <w:tr>
        <w:tc>
          <w:tcPr>
            <w:tcW w:type="dxa" w:w="794"/>
          </w:tcPr>
          <w:p>
            <w:r/>
            <w:r>
              <w:rPr>
                <w:rFonts w:ascii="Times New Roman" w:hAnsi="Times New Roman" w:eastAsia="宋体"/>
                <w:b w:val="0"/>
                <w:sz w:val="20"/>
              </w:rPr>
              <w:t>3</w:t>
            </w:r>
          </w:p>
        </w:tc>
        <w:tc>
          <w:tcPr>
            <w:tcW w:type="dxa" w:w="2608"/>
          </w:tcPr>
          <w:p>
            <w:r/>
            <w:r>
              <w:rPr>
                <w:rFonts w:ascii="Times New Roman" w:hAnsi="Times New Roman" w:eastAsia="宋体"/>
                <w:b w:val="0"/>
                <w:sz w:val="20"/>
              </w:rPr>
              <w:t>Qwen3.7-Max-Preview</w:t>
            </w:r>
          </w:p>
        </w:tc>
        <w:tc>
          <w:tcPr>
            <w:tcW w:type="dxa" w:w="2268"/>
          </w:tcPr>
          <w:p>
            <w:r/>
            <w:r>
              <w:rPr>
                <w:rFonts w:ascii="Times New Roman" w:hAnsi="Times New Roman" w:eastAsia="宋体"/>
                <w:b w:val="0"/>
                <w:sz w:val="20"/>
              </w:rPr>
              <w:t>Alibaba（阿里）</w:t>
            </w:r>
          </w:p>
        </w:tc>
        <w:tc>
          <w:tcPr>
            <w:tcW w:type="dxa" w:w="2268"/>
          </w:tcPr>
          <w:p>
            <w:r/>
            <w:r>
              <w:rPr>
                <w:rFonts w:ascii="Times New Roman" w:hAnsi="Times New Roman" w:eastAsia="宋体"/>
                <w:b w:val="0"/>
                <w:sz w:val="20"/>
              </w:rPr>
              <w:t>78.1</w:t>
            </w:r>
          </w:p>
        </w:tc>
      </w:tr>
      <w:tr>
        <w:tc>
          <w:tcPr>
            <w:tcW w:type="dxa" w:w="794"/>
          </w:tcPr>
          <w:p>
            <w:r/>
            <w:r>
              <w:rPr>
                <w:rFonts w:ascii="Times New Roman" w:hAnsi="Times New Roman" w:eastAsia="宋体"/>
                <w:b w:val="0"/>
                <w:sz w:val="20"/>
              </w:rPr>
              <w:t>4</w:t>
            </w:r>
          </w:p>
        </w:tc>
        <w:tc>
          <w:tcPr>
            <w:tcW w:type="dxa" w:w="2608"/>
          </w:tcPr>
          <w:p>
            <w:r/>
            <w:r>
              <w:rPr>
                <w:rFonts w:ascii="Times New Roman" w:hAnsi="Times New Roman" w:eastAsia="宋体"/>
                <w:b w:val="0"/>
                <w:sz w:val="20"/>
              </w:rPr>
              <w:t>Gemini-3.1-Pro-Preview</w:t>
            </w:r>
          </w:p>
        </w:tc>
        <w:tc>
          <w:tcPr>
            <w:tcW w:type="dxa" w:w="2268"/>
          </w:tcPr>
          <w:p>
            <w:r/>
            <w:r>
              <w:rPr>
                <w:rFonts w:ascii="Times New Roman" w:hAnsi="Times New Roman" w:eastAsia="宋体"/>
                <w:b w:val="0"/>
                <w:sz w:val="20"/>
              </w:rPr>
              <w:t>Google</w:t>
            </w:r>
          </w:p>
        </w:tc>
        <w:tc>
          <w:tcPr>
            <w:tcW w:type="dxa" w:w="2268"/>
          </w:tcPr>
          <w:p>
            <w:r/>
            <w:r>
              <w:rPr>
                <w:rFonts w:ascii="Times New Roman" w:hAnsi="Times New Roman" w:eastAsia="宋体"/>
                <w:b w:val="0"/>
                <w:sz w:val="20"/>
              </w:rPr>
              <w:t>75.9</w:t>
            </w:r>
          </w:p>
        </w:tc>
      </w:tr>
      <w:tr>
        <w:tc>
          <w:tcPr>
            <w:tcW w:type="dxa" w:w="794"/>
          </w:tcPr>
          <w:p>
            <w:r/>
            <w:r>
              <w:rPr>
                <w:rFonts w:ascii="Times New Roman" w:hAnsi="Times New Roman" w:eastAsia="宋体"/>
                <w:b w:val="0"/>
                <w:sz w:val="20"/>
              </w:rPr>
              <w:t>5</w:t>
            </w:r>
          </w:p>
        </w:tc>
        <w:tc>
          <w:tcPr>
            <w:tcW w:type="dxa" w:w="2608"/>
          </w:tcPr>
          <w:p>
            <w:r/>
            <w:r>
              <w:rPr>
                <w:rFonts w:ascii="Times New Roman" w:hAnsi="Times New Roman" w:eastAsia="宋体"/>
                <w:b w:val="0"/>
                <w:sz w:val="20"/>
              </w:rPr>
              <w:t>GLM-5.1</w:t>
            </w:r>
          </w:p>
        </w:tc>
        <w:tc>
          <w:tcPr>
            <w:tcW w:type="dxa" w:w="2268"/>
          </w:tcPr>
          <w:p>
            <w:r/>
            <w:r>
              <w:rPr>
                <w:rFonts w:ascii="Times New Roman" w:hAnsi="Times New Roman" w:eastAsia="宋体"/>
                <w:b w:val="0"/>
                <w:sz w:val="20"/>
              </w:rPr>
              <w:t>Zhipu AI（智谱）</w:t>
            </w:r>
          </w:p>
        </w:tc>
        <w:tc>
          <w:tcPr>
            <w:tcW w:type="dxa" w:w="2268"/>
          </w:tcPr>
          <w:p>
            <w:r/>
            <w:r>
              <w:rPr>
                <w:rFonts w:ascii="Times New Roman" w:hAnsi="Times New Roman" w:eastAsia="宋体"/>
                <w:b w:val="0"/>
                <w:sz w:val="20"/>
              </w:rPr>
              <w:t>69.7</w:t>
            </w:r>
          </w:p>
        </w:tc>
      </w:tr>
      <w:tr>
        <w:tc>
          <w:tcPr>
            <w:tcW w:type="dxa" w:w="794"/>
          </w:tcPr>
          <w:p>
            <w:r/>
            <w:r>
              <w:rPr>
                <w:rFonts w:ascii="Times New Roman" w:hAnsi="Times New Roman" w:eastAsia="宋体"/>
                <w:b w:val="0"/>
                <w:sz w:val="20"/>
              </w:rPr>
              <w:t>6</w:t>
            </w:r>
          </w:p>
        </w:tc>
        <w:tc>
          <w:tcPr>
            <w:tcW w:type="dxa" w:w="2608"/>
          </w:tcPr>
          <w:p>
            <w:r/>
            <w:r>
              <w:rPr>
                <w:rFonts w:ascii="Times New Roman" w:hAnsi="Times New Roman" w:eastAsia="宋体"/>
                <w:b w:val="0"/>
                <w:sz w:val="20"/>
              </w:rPr>
              <w:t>DeepSeek-V4-Pro</w:t>
            </w:r>
          </w:p>
        </w:tc>
        <w:tc>
          <w:tcPr>
            <w:tcW w:type="dxa" w:w="2268"/>
          </w:tcPr>
          <w:p>
            <w:r/>
            <w:r>
              <w:rPr>
                <w:rFonts w:ascii="Times New Roman" w:hAnsi="Times New Roman" w:eastAsia="宋体"/>
                <w:b w:val="0"/>
                <w:sz w:val="20"/>
              </w:rPr>
              <w:t>DeepSeek AI</w:t>
            </w:r>
          </w:p>
        </w:tc>
        <w:tc>
          <w:tcPr>
            <w:tcW w:type="dxa" w:w="2268"/>
          </w:tcPr>
          <w:p>
            <w:r/>
            <w:r>
              <w:rPr>
                <w:rFonts w:ascii="Times New Roman" w:hAnsi="Times New Roman" w:eastAsia="宋体"/>
                <w:b w:val="0"/>
                <w:sz w:val="20"/>
              </w:rPr>
              <w:t>64.0</w:t>
            </w:r>
          </w:p>
        </w:tc>
      </w:tr>
    </w:tbl>
    <w:p>
      <w:pPr>
        <w:jc w:val="center"/>
      </w:pPr>
      <w:r>
        <w:drawing>
          <wp:inline xmlns:a="http://schemas.openxmlformats.org/drawingml/2006/main" xmlns:pic="http://schemas.openxmlformats.org/drawingml/2006/picture">
            <wp:extent cx="5040000" cy="2923678"/>
            <wp:docPr id="1" name="Picture 1"/>
            <wp:cNvGraphicFramePr>
              <a:graphicFrameLocks noChangeAspect="1"/>
            </wp:cNvGraphicFramePr>
            <a:graphic>
              <a:graphicData uri="http://schemas.openxmlformats.org/drawingml/2006/picture">
                <pic:pic>
                  <pic:nvPicPr>
                    <pic:cNvPr id="0" name="fig1_models.png"/>
                    <pic:cNvPicPr/>
                  </pic:nvPicPr>
                  <pic:blipFill>
                    <a:blip r:embed="rId9"/>
                    <a:stretch>
                      <a:fillRect/>
                    </a:stretch>
                  </pic:blipFill>
                  <pic:spPr>
                    <a:xfrm>
                      <a:off x="0" y="0"/>
                      <a:ext cx="5040000" cy="2923678"/>
                    </a:xfrm>
                    <a:prstGeom prst="rect"/>
                  </pic:spPr>
                </pic:pic>
              </a:graphicData>
            </a:graphic>
          </wp:inline>
        </w:drawing>
      </w:r>
    </w:p>
    <w:p>
      <w:pPr>
        <w:jc w:val="center"/>
      </w:pPr>
      <w:r>
        <w:rPr>
          <w:rFonts w:ascii="宋体" w:hAnsi="宋体" w:eastAsia="宋体"/>
          <w:b w:val="0"/>
          <w:color w:val="999999"/>
          <w:sz w:val="18"/>
        </w:rPr>
        <w:t>数据来源：MedBench 官方评测榜单（medbench.opencompass.org.cn）</w:t>
      </w:r>
    </w:p>
    <w:p>
      <w:r>
        <w:rPr>
          <w:rFonts w:ascii="黑体" w:hAnsi="黑体" w:eastAsia="黑体"/>
          <w:b/>
          <w:color w:val="2E5495"/>
          <w:sz w:val="26"/>
        </w:rPr>
        <w:t>5.3 分析讨论</w:t>
      </w:r>
    </w:p>
    <w:p>
      <w:pPr>
        <w:spacing w:line="336" w:lineRule="auto"/>
        <w:ind w:firstLine="480"/>
      </w:pPr>
      <w:r>
        <w:rPr>
          <w:rFonts w:ascii="Times New Roman" w:hAnsi="Times New Roman" w:eastAsia="宋体"/>
          <w:b w:val="0"/>
          <w:sz w:val="24"/>
        </w:rPr>
        <w:t>国产模型阵营中，Qwen 表现最强（78.1），进入第一梯队；GLM 与 DeepSeek 位列其后。需要说明的是，MedBench 医疗原子技能榜侧重“原子级临床技能操作”，与本项目聚焦的“问诊对话与病史采集”任务存在差异。本方案选用 DeepSeek 作为主力模型，主要基于其在中文医患对话的真实性、角色扮演稳定性与成本可控性上的综合优势；在原子技能要求更高的场景，可通过接入 Qwen 等更强模型实现热切换（见 src/core/config.py 的多模型注册表）。</w:t>
      </w:r>
    </w:p>
    <w:p>
      <w:pPr>
        <w:spacing w:before="160"/>
      </w:pPr>
      <w:r>
        <w:rPr>
          <w:rFonts w:ascii="黑体" w:hAnsi="黑体" w:eastAsia="黑体"/>
          <w:b/>
          <w:color w:val="1F3B73"/>
          <w:sz w:val="30"/>
        </w:rPr>
        <w:t>六、实验二：零样本迁移学习能力评估</w:t>
      </w:r>
    </w:p>
    <w:p>
      <w:r>
        <w:rPr>
          <w:rFonts w:ascii="黑体" w:hAnsi="黑体" w:eastAsia="黑体"/>
          <w:b/>
          <w:color w:val="2E5495"/>
          <w:sz w:val="26"/>
        </w:rPr>
        <w:t>6.1 实验设计</w:t>
      </w:r>
    </w:p>
    <w:p>
      <w:pPr>
        <w:spacing w:line="336" w:lineRule="auto"/>
        <w:ind w:firstLine="480"/>
      </w:pPr>
      <w:r>
        <w:rPr>
          <w:rFonts w:ascii="Times New Roman" w:hAnsi="Times New Roman" w:eastAsia="宋体"/>
          <w:b w:val="0"/>
          <w:sz w:val="24"/>
        </w:rPr>
        <w:t>零样本迁移指模型不经过任何目标域微调，直接从源任务迁移到目标任务。本实验以“医疗原子技能”为源域、“认知应答（CCR）”为目标域，量化同一模型在两类不同任务上的表现差异，并以迁移衰减率衡量迁移稳定性。</w:t>
      </w:r>
    </w:p>
    <w:p>
      <w:r>
        <w:rPr>
          <w:rFonts w:ascii="黑体" w:hAnsi="黑体" w:eastAsia="黑体"/>
          <w:b/>
          <w:color w:val="2E5495"/>
          <w:sz w:val="26"/>
        </w:rPr>
        <w:t>6.2 实验结果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608"/>
          </w:tcPr>
          <w:p>
            <w:r/>
            <w:r>
              <w:rPr>
                <w:rFonts w:ascii="黑体" w:hAnsi="黑体" w:eastAsia="黑体"/>
                <w:b/>
                <w:sz w:val="21"/>
              </w:rPr>
              <w:t>模型</w:t>
            </w:r>
          </w:p>
        </w:tc>
        <w:tc>
          <w:tcPr>
            <w:tcW w:type="dxa" w:w="1928"/>
          </w:tcPr>
          <w:p>
            <w:r/>
            <w:r>
              <w:rPr>
                <w:rFonts w:ascii="黑体" w:hAnsi="黑体" w:eastAsia="黑体"/>
                <w:b/>
                <w:sz w:val="21"/>
              </w:rPr>
              <w:t>源域：原子技能</w:t>
            </w:r>
          </w:p>
        </w:tc>
        <w:tc>
          <w:tcPr>
            <w:tcW w:type="dxa" w:w="1814"/>
          </w:tcPr>
          <w:p>
            <w:r/>
            <w:r>
              <w:rPr>
                <w:rFonts w:ascii="黑体" w:hAnsi="黑体" w:eastAsia="黑体"/>
                <w:b/>
                <w:sz w:val="21"/>
              </w:rPr>
              <w:t>目标域：CCR</w:t>
            </w:r>
          </w:p>
        </w:tc>
        <w:tc>
          <w:tcPr>
            <w:tcW w:type="dxa" w:w="1587"/>
          </w:tcPr>
          <w:p>
            <w:r/>
            <w:r>
              <w:rPr>
                <w:rFonts w:ascii="黑体" w:hAnsi="黑体" w:eastAsia="黑体"/>
                <w:b/>
                <w:sz w:val="21"/>
              </w:rPr>
              <w:t>迁移衰减率</w:t>
            </w:r>
          </w:p>
        </w:tc>
      </w:tr>
      <w:tr>
        <w:tc>
          <w:tcPr>
            <w:tcW w:type="dxa" w:w="2608"/>
          </w:tcPr>
          <w:p>
            <w:r/>
            <w:r>
              <w:rPr>
                <w:rFonts w:ascii="Times New Roman" w:hAnsi="Times New Roman" w:eastAsia="宋体"/>
                <w:b w:val="0"/>
                <w:sz w:val="20"/>
              </w:rPr>
              <w:t>GLM-5.1</w:t>
            </w:r>
          </w:p>
        </w:tc>
        <w:tc>
          <w:tcPr>
            <w:tcW w:type="dxa" w:w="1928"/>
          </w:tcPr>
          <w:p>
            <w:r/>
            <w:r>
              <w:rPr>
                <w:rFonts w:ascii="Times New Roman" w:hAnsi="Times New Roman" w:eastAsia="宋体"/>
                <w:b w:val="0"/>
                <w:sz w:val="20"/>
              </w:rPr>
              <w:t>69.7</w:t>
            </w:r>
          </w:p>
        </w:tc>
        <w:tc>
          <w:tcPr>
            <w:tcW w:type="dxa" w:w="1814"/>
          </w:tcPr>
          <w:p>
            <w:r/>
            <w:r>
              <w:rPr>
                <w:rFonts w:ascii="Times New Roman" w:hAnsi="Times New Roman" w:eastAsia="宋体"/>
                <w:b w:val="0"/>
                <w:sz w:val="20"/>
              </w:rPr>
              <w:t>67.70</w:t>
            </w:r>
          </w:p>
        </w:tc>
        <w:tc>
          <w:tcPr>
            <w:tcW w:type="dxa" w:w="1587"/>
          </w:tcPr>
          <w:p>
            <w:r/>
            <w:r>
              <w:rPr>
                <w:rFonts w:ascii="Times New Roman" w:hAnsi="Times New Roman" w:eastAsia="宋体"/>
                <w:b w:val="0"/>
                <w:sz w:val="20"/>
              </w:rPr>
              <w:t>2.9%</w:t>
            </w:r>
          </w:p>
        </w:tc>
      </w:tr>
      <w:tr>
        <w:tc>
          <w:tcPr>
            <w:tcW w:type="dxa" w:w="2608"/>
          </w:tcPr>
          <w:p>
            <w:r/>
            <w:r>
              <w:rPr>
                <w:rFonts w:ascii="Times New Roman" w:hAnsi="Times New Roman" w:eastAsia="宋体"/>
                <w:b w:val="0"/>
                <w:sz w:val="20"/>
              </w:rPr>
              <w:t>Gemini-3.1-Pro-Preview</w:t>
            </w:r>
          </w:p>
        </w:tc>
        <w:tc>
          <w:tcPr>
            <w:tcW w:type="dxa" w:w="1928"/>
          </w:tcPr>
          <w:p>
            <w:r/>
            <w:r>
              <w:rPr>
                <w:rFonts w:ascii="Times New Roman" w:hAnsi="Times New Roman" w:eastAsia="宋体"/>
                <w:b w:val="0"/>
                <w:sz w:val="20"/>
              </w:rPr>
              <w:t>75.9</w:t>
            </w:r>
          </w:p>
        </w:tc>
        <w:tc>
          <w:tcPr>
            <w:tcW w:type="dxa" w:w="1814"/>
          </w:tcPr>
          <w:p>
            <w:r/>
            <w:r>
              <w:rPr>
                <w:rFonts w:ascii="Times New Roman" w:hAnsi="Times New Roman" w:eastAsia="宋体"/>
                <w:b w:val="0"/>
                <w:sz w:val="20"/>
              </w:rPr>
              <w:t>68.61</w:t>
            </w:r>
          </w:p>
        </w:tc>
        <w:tc>
          <w:tcPr>
            <w:tcW w:type="dxa" w:w="1587"/>
          </w:tcPr>
          <w:p>
            <w:r/>
            <w:r>
              <w:rPr>
                <w:rFonts w:ascii="Times New Roman" w:hAnsi="Times New Roman" w:eastAsia="宋体"/>
                <w:b w:val="0"/>
                <w:sz w:val="20"/>
              </w:rPr>
              <w:t>9.6%</w:t>
            </w:r>
          </w:p>
        </w:tc>
      </w:tr>
      <w:tr>
        <w:tc>
          <w:tcPr>
            <w:tcW w:type="dxa" w:w="2608"/>
          </w:tcPr>
          <w:p>
            <w:r/>
            <w:r>
              <w:rPr>
                <w:rFonts w:ascii="Times New Roman" w:hAnsi="Times New Roman" w:eastAsia="宋体"/>
                <w:b w:val="0"/>
                <w:sz w:val="20"/>
              </w:rPr>
              <w:t>Claude Opus 4.7</w:t>
            </w:r>
          </w:p>
        </w:tc>
        <w:tc>
          <w:tcPr>
            <w:tcW w:type="dxa" w:w="1928"/>
          </w:tcPr>
          <w:p>
            <w:r/>
            <w:r>
              <w:rPr>
                <w:rFonts w:ascii="Times New Roman" w:hAnsi="Times New Roman" w:eastAsia="宋体"/>
                <w:b w:val="0"/>
                <w:sz w:val="20"/>
              </w:rPr>
              <w:t>80.6</w:t>
            </w:r>
          </w:p>
        </w:tc>
        <w:tc>
          <w:tcPr>
            <w:tcW w:type="dxa" w:w="1814"/>
          </w:tcPr>
          <w:p>
            <w:r/>
            <w:r>
              <w:rPr>
                <w:rFonts w:ascii="Times New Roman" w:hAnsi="Times New Roman" w:eastAsia="宋体"/>
                <w:b w:val="0"/>
                <w:sz w:val="20"/>
              </w:rPr>
              <w:t>69.16</w:t>
            </w:r>
          </w:p>
        </w:tc>
        <w:tc>
          <w:tcPr>
            <w:tcW w:type="dxa" w:w="1587"/>
          </w:tcPr>
          <w:p>
            <w:r/>
            <w:r>
              <w:rPr>
                <w:rFonts w:ascii="Times New Roman" w:hAnsi="Times New Roman" w:eastAsia="宋体"/>
                <w:b w:val="0"/>
                <w:sz w:val="20"/>
              </w:rPr>
              <w:t>14.2%</w:t>
            </w:r>
          </w:p>
        </w:tc>
      </w:tr>
      <w:tr>
        <w:tc>
          <w:tcPr>
            <w:tcW w:type="dxa" w:w="2608"/>
          </w:tcPr>
          <w:p>
            <w:r/>
            <w:r>
              <w:rPr>
                <w:rFonts w:ascii="Times New Roman" w:hAnsi="Times New Roman" w:eastAsia="宋体"/>
                <w:b w:val="0"/>
                <w:sz w:val="20"/>
              </w:rPr>
              <w:t>GPT-5.5</w:t>
            </w:r>
          </w:p>
        </w:tc>
        <w:tc>
          <w:tcPr>
            <w:tcW w:type="dxa" w:w="1928"/>
          </w:tcPr>
          <w:p>
            <w:r/>
            <w:r>
              <w:rPr>
                <w:rFonts w:ascii="Times New Roman" w:hAnsi="Times New Roman" w:eastAsia="宋体"/>
                <w:b w:val="0"/>
                <w:sz w:val="20"/>
              </w:rPr>
              <w:t>81.2</w:t>
            </w:r>
          </w:p>
        </w:tc>
        <w:tc>
          <w:tcPr>
            <w:tcW w:type="dxa" w:w="1814"/>
          </w:tcPr>
          <w:p>
            <w:r/>
            <w:r>
              <w:rPr>
                <w:rFonts w:ascii="Times New Roman" w:hAnsi="Times New Roman" w:eastAsia="宋体"/>
                <w:b w:val="0"/>
                <w:sz w:val="20"/>
              </w:rPr>
              <w:t>67.37</w:t>
            </w:r>
          </w:p>
        </w:tc>
        <w:tc>
          <w:tcPr>
            <w:tcW w:type="dxa" w:w="1587"/>
          </w:tcPr>
          <w:p>
            <w:r/>
            <w:r>
              <w:rPr>
                <w:rFonts w:ascii="Times New Roman" w:hAnsi="Times New Roman" w:eastAsia="宋体"/>
                <w:b w:val="0"/>
                <w:sz w:val="20"/>
              </w:rPr>
              <w:t>17.0%</w:t>
            </w:r>
          </w:p>
        </w:tc>
      </w:tr>
    </w:tbl>
    <w:p>
      <w:pPr>
        <w:jc w:val="center"/>
      </w:pPr>
      <w:r>
        <w:drawing>
          <wp:inline xmlns:a="http://schemas.openxmlformats.org/drawingml/2006/main" xmlns:pic="http://schemas.openxmlformats.org/drawingml/2006/picture">
            <wp:extent cx="5040000" cy="2931233"/>
            <wp:docPr id="2" name="Picture 2"/>
            <wp:cNvGraphicFramePr>
              <a:graphicFrameLocks noChangeAspect="1"/>
            </wp:cNvGraphicFramePr>
            <a:graphic>
              <a:graphicData uri="http://schemas.openxmlformats.org/drawingml/2006/picture">
                <pic:pic>
                  <pic:nvPicPr>
                    <pic:cNvPr id="0" name="fig2_migration.png"/>
                    <pic:cNvPicPr/>
                  </pic:nvPicPr>
                  <pic:blipFill>
                    <a:blip r:embed="rId10"/>
                    <a:stretch>
                      <a:fillRect/>
                    </a:stretch>
                  </pic:blipFill>
                  <pic:spPr>
                    <a:xfrm>
                      <a:off x="0" y="0"/>
                      <a:ext cx="5040000" cy="2931233"/>
                    </a:xfrm>
                    <a:prstGeom prst="rect"/>
                  </pic:spPr>
                </pic:pic>
              </a:graphicData>
            </a:graphic>
          </wp:inline>
        </w:drawing>
      </w:r>
    </w:p>
    <w:p>
      <w:pPr>
        <w:jc w:val="center"/>
      </w:pPr>
      <w:r>
        <w:rPr>
          <w:rFonts w:ascii="宋体" w:hAnsi="宋体" w:eastAsia="宋体"/>
          <w:b w:val="0"/>
          <w:color w:val="999999"/>
          <w:sz w:val="18"/>
        </w:rPr>
        <w:t>数据来源：MedBench 官方榜单与 MedBench v5 论文（arXiv:2606.24155）；CCR 为 Clinical Cognitive Responsiveness 维度</w:t>
      </w:r>
    </w:p>
    <w:p>
      <w:r>
        <w:rPr>
          <w:rFonts w:ascii="黑体" w:hAnsi="黑体" w:eastAsia="黑体"/>
          <w:b/>
          <w:color w:val="2E5495"/>
          <w:sz w:val="26"/>
        </w:rPr>
        <w:t>6.3 分析讨论</w:t>
      </w:r>
    </w:p>
    <w:p>
      <w:pPr>
        <w:spacing w:line="336" w:lineRule="auto"/>
        <w:ind w:firstLine="480"/>
      </w:pPr>
      <w:r>
        <w:rPr>
          <w:rFonts w:ascii="Times New Roman" w:hAnsi="Times New Roman" w:eastAsia="宋体"/>
          <w:b w:val="0"/>
          <w:sz w:val="24"/>
        </w:rPr>
        <w:t>结果显示：GLM-5.1 的迁移衰减率仅为 2.9%，即其在“技能操作”与“认知应答”两类任务间表现最为一致，泛化稳定性最好；而 GPT-5.5、Claude 虽在源域得分更高，但迁移到认知应答任务时衰减明显（14%—17%）。这一现象提示：闭源旗舰模型在特定任务上可能“偏科”，而部分国产模型在中文临床认知场景中具备更均衡的跨任务泛化能力。结合 CMB 论文结论（模型在 CMB-Exam 考试域表现强、CMB-Clin 临床域明显下滑），本方案在角色引擎中通过“病例事实注入 + 低温度采样”进一步约束模型行为，正是为了在临床对话这一“困难目标域”上抑制迁移衰减、保证问诊回复的稳定性。</w:t>
      </w:r>
    </w:p>
    <w:p>
      <w:pPr>
        <w:spacing w:before="160"/>
      </w:pPr>
      <w:r>
        <w:rPr>
          <w:rFonts w:ascii="黑体" w:hAnsi="黑体" w:eastAsia="黑体"/>
          <w:b/>
          <w:color w:val="1F3B73"/>
          <w:sz w:val="30"/>
        </w:rPr>
        <w:t>七、实验三：不平衡样本处理方案与效果验证</w:t>
      </w:r>
    </w:p>
    <w:p>
      <w:r>
        <w:rPr>
          <w:rFonts w:ascii="黑体" w:hAnsi="黑体" w:eastAsia="黑体"/>
          <w:b/>
          <w:color w:val="2E5495"/>
          <w:sz w:val="26"/>
        </w:rPr>
        <w:t>7.1 问题描述</w:t>
      </w:r>
    </w:p>
    <w:p>
      <w:pPr>
        <w:spacing w:line="336" w:lineRule="auto"/>
        <w:ind w:firstLine="480"/>
      </w:pPr>
      <w:r>
        <w:rPr>
          <w:rFonts w:ascii="Times New Roman" w:hAnsi="Times New Roman" w:eastAsia="宋体"/>
          <w:b w:val="0"/>
          <w:sz w:val="24"/>
        </w:rPr>
        <w:t>医学诊断数据普遍存在类别不平衡：常见病样本充足，罕见病样本稀少。若直接训练，模型会偏向多数类，导致少数类召回率极低——即“罕见病被漏诊”。本实验构造不平衡比 9:1 的二分类数据（多数类 A 180 例、少数类 B 20 例），验证四种处理策略的实际效果。</w:t>
      </w:r>
    </w:p>
    <w:p>
      <w:pPr>
        <w:jc w:val="center"/>
      </w:pPr>
      <w:r>
        <w:drawing>
          <wp:inline xmlns:a="http://schemas.openxmlformats.org/drawingml/2006/main" xmlns:pic="http://schemas.openxmlformats.org/drawingml/2006/picture">
            <wp:extent cx="3420000" cy="3568415"/>
            <wp:docPr id="3" name="Picture 3"/>
            <wp:cNvGraphicFramePr>
              <a:graphicFrameLocks noChangeAspect="1"/>
            </wp:cNvGraphicFramePr>
            <a:graphic>
              <a:graphicData uri="http://schemas.openxmlformats.org/drawingml/2006/picture">
                <pic:pic>
                  <pic:nvPicPr>
                    <pic:cNvPr id="0" name="fig4_dist.png"/>
                    <pic:cNvPicPr/>
                  </pic:nvPicPr>
                  <pic:blipFill>
                    <a:blip r:embed="rId11"/>
                    <a:stretch>
                      <a:fillRect/>
                    </a:stretch>
                  </pic:blipFill>
                  <pic:spPr>
                    <a:xfrm>
                      <a:off x="0" y="0"/>
                      <a:ext cx="3420000" cy="3568415"/>
                    </a:xfrm>
                    <a:prstGeom prst="rect"/>
                  </pic:spPr>
                </pic:pic>
              </a:graphicData>
            </a:graphic>
          </wp:inline>
        </w:drawing>
      </w:r>
    </w:p>
    <w:p>
      <w:r>
        <w:rPr>
          <w:rFonts w:ascii="黑体" w:hAnsi="黑体" w:eastAsia="黑体"/>
          <w:b/>
          <w:color w:val="2E5495"/>
          <w:sz w:val="26"/>
        </w:rPr>
        <w:t>7.2 处理方案</w:t>
      </w:r>
    </w:p>
    <w:p>
      <w:pPr>
        <w:pStyle w:val="ListBullet"/>
        <w:spacing w:line="312" w:lineRule="auto"/>
      </w:pPr>
      <w:r>
        <w:rPr>
          <w:rFonts w:ascii="Times New Roman" w:hAnsi="Times New Roman" w:eastAsia="宋体"/>
          <w:b w:val="0"/>
          <w:sz w:val="24"/>
        </w:rPr>
        <w:t>基线（不处理）：直接在不平衡数据上训练；</w:t>
      </w:r>
    </w:p>
    <w:p>
      <w:pPr>
        <w:pStyle w:val="ListBullet"/>
        <w:spacing w:line="312" w:lineRule="auto"/>
      </w:pPr>
      <w:r>
        <w:rPr>
          <w:rFonts w:ascii="Times New Roman" w:hAnsi="Times New Roman" w:eastAsia="宋体"/>
          <w:b w:val="0"/>
          <w:sz w:val="24"/>
        </w:rPr>
        <w:t>随机过采样：将少数类样本随机复制至与多数类数量一致；</w:t>
      </w:r>
    </w:p>
    <w:p>
      <w:pPr>
        <w:pStyle w:val="ListBullet"/>
        <w:spacing w:line="312" w:lineRule="auto"/>
      </w:pPr>
      <w:r>
        <w:rPr>
          <w:rFonts w:ascii="Times New Roman" w:hAnsi="Times New Roman" w:eastAsia="宋体"/>
          <w:b w:val="0"/>
          <w:sz w:val="24"/>
        </w:rPr>
        <w:t>随机欠采样：将多数类样本随机删减至与少数类数量一致；</w:t>
      </w:r>
    </w:p>
    <w:p>
      <w:pPr>
        <w:pStyle w:val="ListBullet"/>
        <w:spacing w:line="312" w:lineRule="auto"/>
      </w:pPr>
      <w:r>
        <w:rPr>
          <w:rFonts w:ascii="Times New Roman" w:hAnsi="Times New Roman" w:eastAsia="宋体"/>
          <w:b w:val="0"/>
          <w:sz w:val="24"/>
        </w:rPr>
        <w:t>类别加权：在分类器投票中给少数类更高权重（权重 = 多数类样本数 / 少数类样本数）。</w:t>
      </w:r>
    </w:p>
    <w:p>
      <w:r>
        <w:rPr>
          <w:rFonts w:ascii="黑体" w:hAnsi="黑体" w:eastAsia="黑体"/>
          <w:b/>
          <w:color w:val="2E5495"/>
          <w:sz w:val="26"/>
        </w:rPr>
        <w:t>7.3 实验步骤与结果</w:t>
      </w:r>
    </w:p>
    <w:p>
      <w:pPr>
        <w:spacing w:line="336" w:lineRule="auto"/>
        <w:ind w:firstLine="480"/>
      </w:pPr>
      <w:r>
        <w:rPr>
          <w:rFonts w:ascii="Times New Roman" w:hAnsi="Times New Roman" w:eastAsia="宋体"/>
          <w:b w:val="0"/>
          <w:sz w:val="24"/>
        </w:rPr>
        <w:t>实验采用 K 近邻分类器（K=5，距离加权），在平衡测试集（每类 50 例）上评估，以 macro-F1 与少数类 Recall 为核心指标。实验脚本为 src/eval/imbalance.py，运行“python -m eval.imbalance” 即可复现。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tcPr>
          <w:p>
            <w:r/>
            <w:r>
              <w:rPr>
                <w:rFonts w:ascii="黑体" w:hAnsi="黑体" w:eastAsia="黑体"/>
                <w:b/>
                <w:sz w:val="21"/>
              </w:rPr>
              <w:t>策略</w:t>
            </w:r>
          </w:p>
        </w:tc>
        <w:tc>
          <w:tcPr>
            <w:tcW w:type="dxa" w:w="1701"/>
          </w:tcPr>
          <w:p>
            <w:r/>
            <w:r>
              <w:rPr>
                <w:rFonts w:ascii="黑体" w:hAnsi="黑体" w:eastAsia="黑体"/>
                <w:b/>
                <w:sz w:val="21"/>
              </w:rPr>
              <w:t>Accuracy</w:t>
            </w:r>
          </w:p>
        </w:tc>
        <w:tc>
          <w:tcPr>
            <w:tcW w:type="dxa" w:w="1701"/>
          </w:tcPr>
          <w:p>
            <w:r/>
            <w:r>
              <w:rPr>
                <w:rFonts w:ascii="黑体" w:hAnsi="黑体" w:eastAsia="黑体"/>
                <w:b/>
                <w:sz w:val="21"/>
              </w:rPr>
              <w:t>Macro-F1</w:t>
            </w:r>
          </w:p>
        </w:tc>
        <w:tc>
          <w:tcPr>
            <w:tcW w:type="dxa" w:w="1701"/>
          </w:tcPr>
          <w:p>
            <w:r/>
            <w:r>
              <w:rPr>
                <w:rFonts w:ascii="黑体" w:hAnsi="黑体" w:eastAsia="黑体"/>
                <w:b/>
                <w:sz w:val="21"/>
              </w:rPr>
              <w:t>少数类 Recall</w:t>
            </w:r>
          </w:p>
        </w:tc>
      </w:tr>
      <w:tr>
        <w:tc>
          <w:tcPr>
            <w:tcW w:type="dxa" w:w="2268"/>
          </w:tcPr>
          <w:p>
            <w:r/>
            <w:r>
              <w:rPr>
                <w:rFonts w:ascii="Times New Roman" w:hAnsi="Times New Roman" w:eastAsia="宋体"/>
                <w:b w:val="0"/>
                <w:sz w:val="20"/>
              </w:rPr>
              <w:t>基线（不处理）</w:t>
            </w:r>
          </w:p>
        </w:tc>
        <w:tc>
          <w:tcPr>
            <w:tcW w:type="dxa" w:w="1701"/>
          </w:tcPr>
          <w:p>
            <w:r/>
            <w:r>
              <w:rPr>
                <w:rFonts w:ascii="Times New Roman" w:hAnsi="Times New Roman" w:eastAsia="宋体"/>
                <w:b w:val="0"/>
                <w:sz w:val="20"/>
              </w:rPr>
              <w:t>0.8700</w:t>
            </w:r>
          </w:p>
        </w:tc>
        <w:tc>
          <w:tcPr>
            <w:tcW w:type="dxa" w:w="1701"/>
          </w:tcPr>
          <w:p>
            <w:r/>
            <w:r>
              <w:rPr>
                <w:rFonts w:ascii="Times New Roman" w:hAnsi="Times New Roman" w:eastAsia="宋体"/>
                <w:b w:val="0"/>
                <w:sz w:val="20"/>
              </w:rPr>
              <w:t>0.8678</w:t>
            </w:r>
          </w:p>
        </w:tc>
        <w:tc>
          <w:tcPr>
            <w:tcW w:type="dxa" w:w="1701"/>
          </w:tcPr>
          <w:p>
            <w:r/>
            <w:r>
              <w:rPr>
                <w:rFonts w:ascii="Times New Roman" w:hAnsi="Times New Roman" w:eastAsia="宋体"/>
                <w:b w:val="0"/>
                <w:sz w:val="20"/>
              </w:rPr>
              <w:t>0.74</w:t>
            </w:r>
          </w:p>
        </w:tc>
      </w:tr>
      <w:tr>
        <w:tc>
          <w:tcPr>
            <w:tcW w:type="dxa" w:w="2268"/>
          </w:tcPr>
          <w:p>
            <w:r/>
            <w:r>
              <w:rPr>
                <w:rFonts w:ascii="Times New Roman" w:hAnsi="Times New Roman" w:eastAsia="宋体"/>
                <w:b w:val="0"/>
                <w:sz w:val="20"/>
              </w:rPr>
              <w:t>随机过采样</w:t>
            </w:r>
          </w:p>
        </w:tc>
        <w:tc>
          <w:tcPr>
            <w:tcW w:type="dxa" w:w="1701"/>
          </w:tcPr>
          <w:p>
            <w:r/>
            <w:r>
              <w:rPr>
                <w:rFonts w:ascii="Times New Roman" w:hAnsi="Times New Roman" w:eastAsia="宋体"/>
                <w:b w:val="0"/>
                <w:sz w:val="20"/>
              </w:rPr>
              <w:t>0.8800</w:t>
            </w:r>
          </w:p>
        </w:tc>
        <w:tc>
          <w:tcPr>
            <w:tcW w:type="dxa" w:w="1701"/>
          </w:tcPr>
          <w:p>
            <w:r/>
            <w:r>
              <w:rPr>
                <w:rFonts w:ascii="Times New Roman" w:hAnsi="Times New Roman" w:eastAsia="宋体"/>
                <w:b w:val="0"/>
                <w:sz w:val="20"/>
              </w:rPr>
              <w:t>0.8792</w:t>
            </w:r>
          </w:p>
        </w:tc>
        <w:tc>
          <w:tcPr>
            <w:tcW w:type="dxa" w:w="1701"/>
          </w:tcPr>
          <w:p>
            <w:r/>
            <w:r>
              <w:rPr>
                <w:rFonts w:ascii="Times New Roman" w:hAnsi="Times New Roman" w:eastAsia="宋体"/>
                <w:b w:val="0"/>
                <w:sz w:val="20"/>
              </w:rPr>
              <w:t>0.80</w:t>
            </w:r>
          </w:p>
        </w:tc>
      </w:tr>
      <w:tr>
        <w:tc>
          <w:tcPr>
            <w:tcW w:type="dxa" w:w="2268"/>
          </w:tcPr>
          <w:p>
            <w:r/>
            <w:r>
              <w:rPr>
                <w:rFonts w:ascii="Times New Roman" w:hAnsi="Times New Roman" w:eastAsia="宋体"/>
                <w:b w:val="0"/>
                <w:sz w:val="20"/>
              </w:rPr>
              <w:t>随机欠采样</w:t>
            </w:r>
          </w:p>
        </w:tc>
        <w:tc>
          <w:tcPr>
            <w:tcW w:type="dxa" w:w="1701"/>
          </w:tcPr>
          <w:p>
            <w:r/>
            <w:r>
              <w:rPr>
                <w:rFonts w:ascii="Times New Roman" w:hAnsi="Times New Roman" w:eastAsia="宋体"/>
                <w:b w:val="0"/>
                <w:sz w:val="20"/>
              </w:rPr>
              <w:t>0.9100</w:t>
            </w:r>
          </w:p>
        </w:tc>
        <w:tc>
          <w:tcPr>
            <w:tcW w:type="dxa" w:w="1701"/>
          </w:tcPr>
          <w:p>
            <w:r/>
            <w:r>
              <w:rPr>
                <w:rFonts w:ascii="Times New Roman" w:hAnsi="Times New Roman" w:eastAsia="宋体"/>
                <w:b w:val="0"/>
                <w:sz w:val="20"/>
              </w:rPr>
              <w:t>0.9096</w:t>
            </w:r>
          </w:p>
        </w:tc>
        <w:tc>
          <w:tcPr>
            <w:tcW w:type="dxa" w:w="1701"/>
          </w:tcPr>
          <w:p>
            <w:r/>
            <w:r>
              <w:rPr>
                <w:rFonts w:ascii="Times New Roman" w:hAnsi="Times New Roman" w:eastAsia="宋体"/>
                <w:b w:val="0"/>
                <w:sz w:val="20"/>
              </w:rPr>
              <w:t>0.84</w:t>
            </w:r>
          </w:p>
        </w:tc>
      </w:tr>
      <w:tr>
        <w:tc>
          <w:tcPr>
            <w:tcW w:type="dxa" w:w="2268"/>
          </w:tcPr>
          <w:p>
            <w:r/>
            <w:r>
              <w:rPr>
                <w:rFonts w:ascii="Times New Roman" w:hAnsi="Times New Roman" w:eastAsia="宋体"/>
                <w:b w:val="0"/>
                <w:sz w:val="20"/>
              </w:rPr>
              <w:t>类别加权</w:t>
            </w:r>
          </w:p>
        </w:tc>
        <w:tc>
          <w:tcPr>
            <w:tcW w:type="dxa" w:w="1701"/>
          </w:tcPr>
          <w:p>
            <w:r/>
            <w:r>
              <w:rPr>
                <w:rFonts w:ascii="Times New Roman" w:hAnsi="Times New Roman" w:eastAsia="宋体"/>
                <w:b w:val="0"/>
                <w:sz w:val="20"/>
              </w:rPr>
              <w:t>0.9000</w:t>
            </w:r>
          </w:p>
        </w:tc>
        <w:tc>
          <w:tcPr>
            <w:tcW w:type="dxa" w:w="1701"/>
          </w:tcPr>
          <w:p>
            <w:r/>
            <w:r>
              <w:rPr>
                <w:rFonts w:ascii="Times New Roman" w:hAnsi="Times New Roman" w:eastAsia="宋体"/>
                <w:b w:val="0"/>
                <w:sz w:val="20"/>
              </w:rPr>
              <w:t>0.8998</w:t>
            </w:r>
          </w:p>
        </w:tc>
        <w:tc>
          <w:tcPr>
            <w:tcW w:type="dxa" w:w="1701"/>
          </w:tcPr>
          <w:p>
            <w:r/>
            <w:r>
              <w:rPr>
                <w:rFonts w:ascii="Times New Roman" w:hAnsi="Times New Roman" w:eastAsia="宋体"/>
                <w:b w:val="0"/>
                <w:sz w:val="20"/>
              </w:rPr>
              <w:t>0.86</w:t>
            </w:r>
          </w:p>
        </w:tc>
      </w:tr>
    </w:tbl>
    <w:p>
      <w:pPr>
        <w:jc w:val="center"/>
      </w:pPr>
      <w:r>
        <w:drawing>
          <wp:inline xmlns:a="http://schemas.openxmlformats.org/drawingml/2006/main" xmlns:pic="http://schemas.openxmlformats.org/drawingml/2006/picture">
            <wp:extent cx="5040000" cy="2978824"/>
            <wp:docPr id="4" name="Picture 4"/>
            <wp:cNvGraphicFramePr>
              <a:graphicFrameLocks noChangeAspect="1"/>
            </wp:cNvGraphicFramePr>
            <a:graphic>
              <a:graphicData uri="http://schemas.openxmlformats.org/drawingml/2006/picture">
                <pic:pic>
                  <pic:nvPicPr>
                    <pic:cNvPr id="0" name="fig3_imbalance.png"/>
                    <pic:cNvPicPr/>
                  </pic:nvPicPr>
                  <pic:blipFill>
                    <a:blip r:embed="rId12"/>
                    <a:stretch>
                      <a:fillRect/>
                    </a:stretch>
                  </pic:blipFill>
                  <pic:spPr>
                    <a:xfrm>
                      <a:off x="0" y="0"/>
                      <a:ext cx="5040000" cy="2978824"/>
                    </a:xfrm>
                    <a:prstGeom prst="rect"/>
                  </pic:spPr>
                </pic:pic>
              </a:graphicData>
            </a:graphic>
          </wp:inline>
        </w:drawing>
      </w:r>
    </w:p>
    <w:p>
      <w:pPr>
        <w:jc w:val="center"/>
      </w:pPr>
      <w:r>
        <w:rPr>
          <w:rFonts w:ascii="宋体" w:hAnsi="宋体" w:eastAsia="宋体"/>
          <w:b w:val="0"/>
          <w:color w:val="999999"/>
          <w:sz w:val="18"/>
        </w:rPr>
        <w:t>数据来源：本项目自研实验脚本 src/eval/imbalance.py 真实运行结果（随机种子 42，可复现）</w:t>
      </w:r>
    </w:p>
    <w:p>
      <w:r>
        <w:rPr>
          <w:rFonts w:ascii="黑体" w:hAnsi="黑体" w:eastAsia="黑体"/>
          <w:b/>
          <w:color w:val="2E5495"/>
          <w:sz w:val="26"/>
        </w:rPr>
        <w:t>7.4 分析讨论</w:t>
      </w:r>
    </w:p>
    <w:p>
      <w:pPr>
        <w:spacing w:line="336" w:lineRule="auto"/>
        <w:ind w:firstLine="480"/>
      </w:pPr>
      <w:r>
        <w:rPr>
          <w:rFonts w:ascii="Times New Roman" w:hAnsi="Times New Roman" w:eastAsia="宋体"/>
          <w:b w:val="0"/>
          <w:sz w:val="24"/>
        </w:rPr>
        <w:t>实验结果表明：三种处理策略相较基线均有显著提升——少数类 Recall 从 0.74 提升至最高 0.86（类别加权），Macro-F1 从 0.8678 提升至最高 0.9096（随机欠采样）。其中“类别加权”在少数类召回率上表现最优（0.86），且不丢失任何样本，适合样本量有限的医学场景；“随机欠采样”虽 Macro-F1 最高，但丢弃了多数类信息，在样本稀缺时需谨慎。本方案建议在诊断类别不平衡的评分/分类任务中优先采用类别加权，并结合过采样作为补充。</w:t>
      </w:r>
    </w:p>
    <w:p>
      <w:pPr>
        <w:spacing w:before="160"/>
      </w:pPr>
      <w:r>
        <w:rPr>
          <w:rFonts w:ascii="黑体" w:hAnsi="黑体" w:eastAsia="黑体"/>
          <w:b/>
          <w:color w:val="1F3B73"/>
          <w:sz w:val="30"/>
        </w:rPr>
        <w:t>八、结果可视化汇总</w:t>
      </w:r>
    </w:p>
    <w:p>
      <w:pPr>
        <w:spacing w:line="336" w:lineRule="auto"/>
        <w:ind w:firstLine="480"/>
      </w:pPr>
      <w:r>
        <w:rPr>
          <w:rFonts w:ascii="Times New Roman" w:hAnsi="Times New Roman" w:eastAsia="宋体"/>
          <w:b w:val="0"/>
          <w:sz w:val="24"/>
        </w:rPr>
        <w:t>综合三个子实验：多模型对比显示 Qwen、GPT、Claude 处于第一梯队；零样本迁移显示 GLM 的跨任务泛化最稳定；不平衡处理显示类别加权对少数类识别提升最明显。上述结论为本方案“多模型可插拔 + 类别加权评分 + 病例事实约束”的技术路线提供了实证依据。</w:t>
      </w:r>
    </w:p>
    <w:p>
      <w:pPr>
        <w:spacing w:before="160"/>
      </w:pPr>
      <w:r>
        <w:rPr>
          <w:rFonts w:ascii="黑体" w:hAnsi="黑体" w:eastAsia="黑体"/>
          <w:b/>
          <w:color w:val="1F3B73"/>
          <w:sz w:val="30"/>
        </w:rPr>
        <w:t>九、结论</w:t>
      </w:r>
    </w:p>
    <w:p>
      <w:pPr>
        <w:pStyle w:val="ListNumber"/>
        <w:spacing w:line="312" w:lineRule="auto"/>
      </w:pPr>
      <w:r>
        <w:rPr>
          <w:rFonts w:ascii="Times New Roman" w:hAnsi="Times New Roman" w:eastAsia="宋体"/>
          <w:b w:val="0"/>
          <w:sz w:val="24"/>
        </w:rPr>
        <w:t>多模型对比：本方案支持 DeepSeek/Qwen/GLM/GPT 多模型热切换，可根据任务难度与成本灵活选型；</w:t>
      </w:r>
    </w:p>
    <w:p>
      <w:pPr>
        <w:pStyle w:val="ListNumber"/>
        <w:spacing w:line="312" w:lineRule="auto"/>
      </w:pPr>
      <w:r>
        <w:rPr>
          <w:rFonts w:ascii="Times New Roman" w:hAnsi="Times New Roman" w:eastAsia="宋体"/>
          <w:b w:val="0"/>
          <w:sz w:val="24"/>
        </w:rPr>
        <w:t>零样本迁移：模型在临床对话等困难目标域存在迁移衰减，需通过角色引擎的病例事实注入与低温度采样加以约束；</w:t>
      </w:r>
    </w:p>
    <w:p>
      <w:pPr>
        <w:pStyle w:val="ListNumber"/>
        <w:spacing w:line="312" w:lineRule="auto"/>
      </w:pPr>
      <w:r>
        <w:rPr>
          <w:rFonts w:ascii="Times New Roman" w:hAnsi="Times New Roman" w:eastAsia="宋体"/>
          <w:b w:val="0"/>
          <w:sz w:val="24"/>
        </w:rPr>
        <w:t>不平衡处理：类别加权与过采样可显著提升少数类召回率与 Macro-F1，应作为医学评分/分类任务的默认策略；</w:t>
      </w:r>
    </w:p>
    <w:p>
      <w:pPr>
        <w:pStyle w:val="ListNumber"/>
        <w:spacing w:line="312" w:lineRule="auto"/>
      </w:pPr>
      <w:r>
        <w:rPr>
          <w:rFonts w:ascii="Times New Roman" w:hAnsi="Times New Roman" w:eastAsia="宋体"/>
          <w:b w:val="0"/>
          <w:sz w:val="24"/>
        </w:rPr>
        <w:t>本方案的核心算法（角色引擎、评分引擎、评测框架）已实现并验证，源代码见 src/ 目录，实验均可复现。</w:t>
      </w:r>
    </w:p>
    <w:p>
      <w:pPr>
        <w:spacing w:before="160"/>
      </w:pPr>
      <w:r>
        <w:rPr>
          <w:rFonts w:ascii="黑体" w:hAnsi="黑体" w:eastAsia="黑体"/>
          <w:b/>
          <w:color w:val="1F3B73"/>
          <w:sz w:val="30"/>
        </w:rPr>
        <w:t>十、参考文献</w:t>
      </w:r>
    </w:p>
    <w:p>
      <w:pPr>
        <w:pStyle w:val="ListBullet"/>
        <w:spacing w:line="312" w:lineRule="auto"/>
      </w:pPr>
      <w:r>
        <w:rPr>
          <w:rFonts w:ascii="Times New Roman" w:hAnsi="Times New Roman" w:eastAsia="宋体"/>
          <w:b w:val="0"/>
          <w:sz w:val="24"/>
        </w:rPr>
        <w:t>MedBench 官方评测榜单：https://medbench.opencompass.org.cn/leaderboard</w:t>
      </w:r>
    </w:p>
    <w:p>
      <w:pPr>
        <w:pStyle w:val="ListBullet"/>
        <w:spacing w:line="312" w:lineRule="auto"/>
      </w:pPr>
      <w:r>
        <w:rPr>
          <w:rFonts w:ascii="Times New Roman" w:hAnsi="Times New Roman" w:eastAsia="宋体"/>
          <w:b w:val="0"/>
          <w:sz w:val="24"/>
        </w:rPr>
        <w:t>Ding J, et al. MedBench v5: A Dynamic, Process-Oriented, and Hallucination-Aware Benchmark. arXiv:2606.24155</w:t>
      </w:r>
    </w:p>
    <w:p>
      <w:pPr>
        <w:pStyle w:val="ListBullet"/>
        <w:spacing w:line="312" w:lineRule="auto"/>
      </w:pPr>
      <w:r>
        <w:rPr>
          <w:rFonts w:ascii="Times New Roman" w:hAnsi="Times New Roman" w:eastAsia="宋体"/>
          <w:b w:val="0"/>
          <w:sz w:val="24"/>
        </w:rPr>
        <w:t>Wang X, et al. CMB: A Comprehensive Medical Benchmark in Chinese. arXiv:2308.08833</w:t>
      </w:r>
    </w:p>
    <w:p>
      <w:pPr>
        <w:pStyle w:val="ListBullet"/>
        <w:spacing w:line="312" w:lineRule="auto"/>
      </w:pPr>
      <w:r>
        <w:rPr>
          <w:rFonts w:ascii="Times New Roman" w:hAnsi="Times New Roman" w:eastAsia="宋体"/>
          <w:b w:val="0"/>
          <w:sz w:val="24"/>
        </w:rPr>
        <w:t>Zhang M, et al. LLMEval-Med: A Real-world Clinical Benchmark for Medical LLMs. arXiv:2506.04078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