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5F00" w14:textId="53C94AF6" w:rsidR="00513177" w:rsidRDefault="00513177" w:rsidP="00513177">
      <w:pPr>
        <w:rPr>
          <w:b/>
          <w:bCs/>
        </w:rPr>
      </w:pPr>
      <w:r>
        <w:rPr>
          <w:b/>
          <w:bCs/>
        </w:rPr>
        <w:t>ANNEX A</w:t>
      </w:r>
    </w:p>
    <w:p w14:paraId="5CB2C7F7" w14:textId="7C57D4D8" w:rsidR="00513177" w:rsidRPr="00513177" w:rsidRDefault="00513177" w:rsidP="00513177">
      <w:pPr>
        <w:rPr>
          <w:b/>
          <w:bCs/>
        </w:rPr>
      </w:pPr>
      <w:r w:rsidRPr="00513177">
        <w:rPr>
          <w:b/>
          <w:bCs/>
        </w:rPr>
        <w:t>Politica di Sicurezza</w:t>
      </w:r>
    </w:p>
    <w:p w14:paraId="51AE3648" w14:textId="77777777" w:rsidR="00513177" w:rsidRPr="00513177" w:rsidRDefault="00513177" w:rsidP="00513177">
      <w:r w:rsidRPr="00513177">
        <w:rPr>
          <w:i/>
          <w:iCs/>
        </w:rPr>
        <w:t xml:space="preserve">Allegato A ai </w:t>
      </w:r>
      <w:hyperlink r:id="rId5" w:history="1">
        <w:r w:rsidRPr="00513177">
          <w:rPr>
            <w:rStyle w:val="Collegamentoipertestuale"/>
            <w:i/>
            <w:iCs/>
          </w:rPr>
          <w:t>Termini e Condizioni Generali</w:t>
        </w:r>
      </w:hyperlink>
      <w:r w:rsidRPr="00513177">
        <w:rPr>
          <w:i/>
          <w:iCs/>
        </w:rPr>
        <w:t xml:space="preserve"> — Ultimo aggiornamento: giugno 2026</w:t>
      </w:r>
    </w:p>
    <w:p w14:paraId="2365430C" w14:textId="77777777" w:rsidR="00513177" w:rsidRPr="00513177" w:rsidRDefault="00513177" w:rsidP="00513177">
      <w:pPr>
        <w:rPr>
          <w:b/>
          <w:bCs/>
        </w:rPr>
      </w:pPr>
      <w:r w:rsidRPr="00513177">
        <w:rPr>
          <w:b/>
          <w:bCs/>
        </w:rPr>
        <w:t>1. Ambito di applicazione e definizioni</w:t>
      </w:r>
    </w:p>
    <w:p w14:paraId="7EC9E37F" w14:textId="77777777" w:rsidR="00513177" w:rsidRPr="00513177" w:rsidRDefault="00513177" w:rsidP="00513177">
      <w:r w:rsidRPr="00513177">
        <w:rPr>
          <w:b/>
          <w:bCs/>
        </w:rPr>
        <w:t>1.1.</w:t>
      </w:r>
      <w:r w:rsidRPr="00513177">
        <w:t xml:space="preserve"> La presente Politica di Sicurezza costituisce parte integrante dell’Accordo stipulato tra LIDIA e l'Utente. Essa definisce le misure tecniche e organizzative adottate da LIDIA per garantire la sicurezza dei dati dell'Utente, in qualsiasi misura coinvolti nell'erogazione dei Servizi tramite la Piattaforma LIDIA Legal AI (i "</w:t>
      </w:r>
      <w:r w:rsidRPr="00513177">
        <w:rPr>
          <w:b/>
          <w:bCs/>
        </w:rPr>
        <w:t>Dati Utente</w:t>
      </w:r>
      <w:r w:rsidRPr="00513177">
        <w:t>").</w:t>
      </w:r>
    </w:p>
    <w:p w14:paraId="22296B8F" w14:textId="77777777" w:rsidR="00513177" w:rsidRPr="00513177" w:rsidRDefault="00513177" w:rsidP="00513177">
      <w:r w:rsidRPr="00513177">
        <w:rPr>
          <w:b/>
          <w:bCs/>
        </w:rPr>
        <w:t>1.2.</w:t>
      </w:r>
      <w:r w:rsidRPr="00513177">
        <w:t xml:space="preserve"> I termini con iniziale maiuscola utilizzati ma non definiti nella presente Politica di Sicurezza hanno il significato loro attribuito nella </w:t>
      </w:r>
      <w:hyperlink r:id="rId6" w:history="1">
        <w:r w:rsidRPr="00513177">
          <w:rPr>
            <w:rStyle w:val="Collegamentoipertestuale"/>
          </w:rPr>
          <w:t>Clausola 2.2 dei T&amp;CG</w:t>
        </w:r>
      </w:hyperlink>
      <w:r w:rsidRPr="00513177">
        <w:t>.</w:t>
      </w:r>
    </w:p>
    <w:p w14:paraId="2A10207F" w14:textId="77777777" w:rsidR="00513177" w:rsidRPr="00513177" w:rsidRDefault="00513177" w:rsidP="00513177">
      <w:r w:rsidRPr="00513177">
        <w:rPr>
          <w:b/>
          <w:bCs/>
        </w:rPr>
        <w:t>1.3.</w:t>
      </w:r>
      <w:r w:rsidRPr="00513177">
        <w:t xml:space="preserve"> Definizioni:</w:t>
      </w:r>
    </w:p>
    <w:p w14:paraId="47BB6FEB" w14:textId="77777777" w:rsidR="00513177" w:rsidRPr="00513177" w:rsidRDefault="00513177" w:rsidP="00513177">
      <w:r w:rsidRPr="00513177">
        <w:rPr>
          <w:b/>
          <w:bCs/>
        </w:rPr>
        <w:t>“Audit di Terze Parti"</w:t>
      </w:r>
      <w:r w:rsidRPr="00513177">
        <w:t xml:space="preserve"> come indicato alla Clausola 2.3.</w:t>
      </w:r>
    </w:p>
    <w:p w14:paraId="7CC164A8" w14:textId="77777777" w:rsidR="00513177" w:rsidRPr="00513177" w:rsidRDefault="00513177" w:rsidP="00513177">
      <w:r w:rsidRPr="00513177">
        <w:rPr>
          <w:b/>
          <w:bCs/>
        </w:rPr>
        <w:t>“Certificazioni”</w:t>
      </w:r>
      <w:r w:rsidRPr="00513177">
        <w:t xml:space="preserve"> avrà il significato di cui alla Clausola 2.4.</w:t>
      </w:r>
    </w:p>
    <w:p w14:paraId="223F7C84" w14:textId="77777777" w:rsidR="00513177" w:rsidRPr="00513177" w:rsidRDefault="00513177" w:rsidP="00513177">
      <w:r w:rsidRPr="00513177">
        <w:rPr>
          <w:b/>
          <w:bCs/>
        </w:rPr>
        <w:t>“Dati Utente"</w:t>
      </w:r>
      <w:r w:rsidRPr="00513177">
        <w:t xml:space="preserve"> avrà il significato di cui alla Clausola 1.1.</w:t>
      </w:r>
    </w:p>
    <w:p w14:paraId="7898949D" w14:textId="77777777" w:rsidR="00513177" w:rsidRPr="00513177" w:rsidRDefault="00513177" w:rsidP="00513177">
      <w:r w:rsidRPr="00513177">
        <w:rPr>
          <w:b/>
          <w:bCs/>
        </w:rPr>
        <w:t>“Revisore”</w:t>
      </w:r>
      <w:r w:rsidRPr="00513177">
        <w:t xml:space="preserve"> avrà il significato di cui alla Clausola 8.1.</w:t>
      </w:r>
    </w:p>
    <w:p w14:paraId="108A41E0" w14:textId="77777777" w:rsidR="00513177" w:rsidRPr="00513177" w:rsidRDefault="00513177" w:rsidP="00513177">
      <w:pPr>
        <w:rPr>
          <w:b/>
          <w:bCs/>
        </w:rPr>
      </w:pPr>
      <w:r w:rsidRPr="00513177">
        <w:rPr>
          <w:b/>
          <w:bCs/>
        </w:rPr>
        <w:t>2. Sistema di Gestione della Sicurezza delle Informazioni</w:t>
      </w:r>
    </w:p>
    <w:p w14:paraId="230DE526" w14:textId="77777777" w:rsidR="00513177" w:rsidRPr="00513177" w:rsidRDefault="00513177" w:rsidP="00513177">
      <w:r w:rsidRPr="00513177">
        <w:rPr>
          <w:b/>
          <w:bCs/>
        </w:rPr>
        <w:t>2.1.</w:t>
      </w:r>
      <w:r w:rsidRPr="00513177">
        <w:t xml:space="preserve"> La Piattaforma LIDIA Legal AI è ospitata ed erogata tramite Amazon Web Services ("</w:t>
      </w:r>
      <w:r w:rsidRPr="00513177">
        <w:rPr>
          <w:b/>
          <w:bCs/>
        </w:rPr>
        <w:t>AWS</w:t>
      </w:r>
      <w:r w:rsidRPr="00513177">
        <w:t>"), un'infrastruttura cloud concessa in licenza ad Amazon a LIDIA.</w:t>
      </w:r>
    </w:p>
    <w:p w14:paraId="671CB42D" w14:textId="77777777" w:rsidR="00513177" w:rsidRPr="00513177" w:rsidRDefault="00513177" w:rsidP="00513177">
      <w:r w:rsidRPr="00513177">
        <w:rPr>
          <w:b/>
          <w:bCs/>
        </w:rPr>
        <w:t>2.2.</w:t>
      </w:r>
      <w:r w:rsidRPr="00513177">
        <w:t xml:space="preserve"> Per l'erogazione dei Servizi, LIDIA si avvale del Sistema di Gestione della Sicurezza delle Informazioni ("</w:t>
      </w:r>
      <w:r w:rsidRPr="00513177">
        <w:rPr>
          <w:b/>
          <w:bCs/>
        </w:rPr>
        <w:t>SGSI</w:t>
      </w:r>
      <w:r w:rsidRPr="00513177">
        <w:t>") implementato da MESA, progettato e mantenuto in conformità alle migliori pratiche di settore al fine di garantire una solida protezione informatica e la tutela della titolarità dei dati.</w:t>
      </w:r>
    </w:p>
    <w:p w14:paraId="5339063A" w14:textId="77777777" w:rsidR="00513177" w:rsidRPr="00513177" w:rsidRDefault="00513177" w:rsidP="00513177">
      <w:r w:rsidRPr="00513177">
        <w:rPr>
          <w:b/>
          <w:bCs/>
        </w:rPr>
        <w:t>2.3.</w:t>
      </w:r>
      <w:r w:rsidRPr="00513177">
        <w:t xml:space="preserve"> Il SGSI è soggetto a valutazione continua da parte di revisori indipendenti di terze parti ("</w:t>
      </w:r>
      <w:r w:rsidRPr="00513177">
        <w:rPr>
          <w:b/>
          <w:bCs/>
        </w:rPr>
        <w:t>Audit di Terze Parti</w:t>
      </w:r>
      <w:r w:rsidRPr="00513177">
        <w:t>"). I risultati degli Audit di Terze Parti sono messi a disposizione dell'Utente secondo quanto descritto alla Clausola 7.</w:t>
      </w:r>
    </w:p>
    <w:p w14:paraId="4DB0BDC7" w14:textId="77777777" w:rsidR="00513177" w:rsidRPr="00513177" w:rsidRDefault="00513177" w:rsidP="00513177">
      <w:r w:rsidRPr="00513177">
        <w:rPr>
          <w:b/>
          <w:bCs/>
        </w:rPr>
        <w:t>2.3.1.</w:t>
      </w:r>
      <w:r w:rsidRPr="00513177">
        <w:t xml:space="preserve"> MESA è attualmente certificata secondo lo standard ISO/IEC 27001:2013 e detiene la certificazione CSA STAR Livello 1 (collettivamente, le "</w:t>
      </w:r>
      <w:r w:rsidRPr="00513177">
        <w:rPr>
          <w:b/>
          <w:bCs/>
        </w:rPr>
        <w:t>Certificazioni</w:t>
      </w:r>
      <w:r w:rsidRPr="00513177">
        <w:t>"), a testimonianza del proprio impegno nella gestione della sicurezza delle informazioni, della sicurezza cloud e della protezione dei dati personali.</w:t>
      </w:r>
    </w:p>
    <w:p w14:paraId="106D6BEA" w14:textId="77777777" w:rsidR="00513177" w:rsidRPr="00513177" w:rsidRDefault="00513177" w:rsidP="00513177">
      <w:r w:rsidRPr="00513177">
        <w:rPr>
          <w:b/>
          <w:bCs/>
        </w:rPr>
        <w:t>2.3.2.</w:t>
      </w:r>
      <w:r w:rsidRPr="00513177">
        <w:t xml:space="preserve"> MESA manterrà le Certificazioni, o standard equivalenti riconosciuti dal settore, per tutta la durata dell’Accordo. Qualora MESA decidesse di interrompere uno specifico Audit di Terze Parti di cui alla Clausola 2.3, adotterà in sostituzione un framework equivalente e riconosciuto dal settore.</w:t>
      </w:r>
    </w:p>
    <w:p w14:paraId="50D1A3B5" w14:textId="77777777" w:rsidR="00513177" w:rsidRPr="00513177" w:rsidRDefault="00513177" w:rsidP="00513177">
      <w:pPr>
        <w:rPr>
          <w:b/>
          <w:bCs/>
        </w:rPr>
      </w:pPr>
      <w:r w:rsidRPr="00513177">
        <w:rPr>
          <w:b/>
          <w:bCs/>
        </w:rPr>
        <w:t>3. Sicurezza dell’infrastruttura cloud</w:t>
      </w:r>
    </w:p>
    <w:p w14:paraId="15823D55" w14:textId="77777777" w:rsidR="00513177" w:rsidRPr="00513177" w:rsidRDefault="00513177" w:rsidP="00513177">
      <w:pPr>
        <w:rPr>
          <w:b/>
          <w:bCs/>
        </w:rPr>
      </w:pPr>
      <w:r w:rsidRPr="00513177">
        <w:rPr>
          <w:b/>
          <w:bCs/>
        </w:rPr>
        <w:lastRenderedPageBreak/>
        <w:t>3.1. Cifratura dei dati</w:t>
      </w:r>
    </w:p>
    <w:p w14:paraId="4077B2E8" w14:textId="77777777" w:rsidR="00513177" w:rsidRPr="00513177" w:rsidRDefault="00513177" w:rsidP="00513177">
      <w:r w:rsidRPr="00513177">
        <w:rPr>
          <w:b/>
          <w:bCs/>
        </w:rPr>
        <w:t>3.1.1.</w:t>
      </w:r>
      <w:r w:rsidRPr="00513177">
        <w:t xml:space="preserve"> LIDIA implementa </w:t>
      </w:r>
      <w:proofErr w:type="spellStart"/>
      <w:r w:rsidRPr="00513177">
        <w:t>MongoDB</w:t>
      </w:r>
      <w:proofErr w:type="spellEnd"/>
      <w:r w:rsidRPr="00513177">
        <w:t xml:space="preserve"> Atlas con </w:t>
      </w:r>
      <w:proofErr w:type="spellStart"/>
      <w:r w:rsidRPr="00513177">
        <w:t>Transparent</w:t>
      </w:r>
      <w:proofErr w:type="spellEnd"/>
      <w:r w:rsidRPr="00513177">
        <w:t xml:space="preserve"> Data </w:t>
      </w:r>
      <w:proofErr w:type="spellStart"/>
      <w:r w:rsidRPr="00513177">
        <w:t>Encryption</w:t>
      </w:r>
      <w:proofErr w:type="spellEnd"/>
      <w:r w:rsidRPr="00513177">
        <w:t xml:space="preserve"> (TDE) per proteggere i Dati Utente a riposo. La TDE cifra database, log e backup mediante crittografia AES-256. I dati in transito sono protetti mediante HTTPS (protocolli SSL/TLS), garantendo la cifratura end-to-end nelle comunicazioni tra server. La combinazione di TDE e HTTPS assicura una protezione completa contro l'accesso non autorizzato e l'intercettazione dei dati. Ulteriori dettagli tecnici sono disponibili sul sito web di </w:t>
      </w:r>
      <w:proofErr w:type="spellStart"/>
      <w:r w:rsidRPr="00513177">
        <w:t>MongoDB</w:t>
      </w:r>
      <w:proofErr w:type="spellEnd"/>
      <w:r w:rsidRPr="00513177">
        <w:t xml:space="preserve"> Atlas, che è disponibile </w:t>
      </w:r>
      <w:hyperlink r:id="rId7" w:history="1">
        <w:r w:rsidRPr="00513177">
          <w:rPr>
            <w:rStyle w:val="Collegamentoipertestuale"/>
          </w:rPr>
          <w:t>qui</w:t>
        </w:r>
      </w:hyperlink>
      <w:r w:rsidRPr="00513177">
        <w:t>.</w:t>
      </w:r>
    </w:p>
    <w:p w14:paraId="4B173DA1" w14:textId="77777777" w:rsidR="00513177" w:rsidRPr="00513177" w:rsidRDefault="00513177" w:rsidP="00513177">
      <w:pPr>
        <w:rPr>
          <w:b/>
          <w:bCs/>
        </w:rPr>
      </w:pPr>
      <w:r w:rsidRPr="00513177">
        <w:rPr>
          <w:b/>
          <w:bCs/>
        </w:rPr>
        <w:t>3.2. Sicurezza del servizio di piattaforma</w:t>
      </w:r>
    </w:p>
    <w:p w14:paraId="55A4310A" w14:textId="77777777" w:rsidR="00513177" w:rsidRPr="00513177" w:rsidRDefault="00513177" w:rsidP="00513177">
      <w:r w:rsidRPr="00513177">
        <w:rPr>
          <w:b/>
          <w:bCs/>
        </w:rPr>
        <w:t>3.2.1.</w:t>
      </w:r>
      <w:r w:rsidRPr="00513177">
        <w:t xml:space="preserve"> La Piattaforma LIDIA Legal AI opera su AWS Amazon </w:t>
      </w:r>
      <w:proofErr w:type="spellStart"/>
      <w:r w:rsidRPr="00513177">
        <w:t>Fargate</w:t>
      </w:r>
      <w:proofErr w:type="spellEnd"/>
      <w:r w:rsidRPr="00513177">
        <w:t xml:space="preserve"> e AWS Lambda, entrambi dotati di funzionalità di sicurezza integrate, tra cui l'isolamento di rete e il monitoraggio integrato. Tali servizi offrono un ambiente completamente gestito, scalabile e sicuro per il deployment delle applicazioni. Ulteriori dettagli tecnici sono disponibili sul sito web di AWS (</w:t>
      </w:r>
      <w:proofErr w:type="spellStart"/>
      <w:r w:rsidRPr="00513177">
        <w:rPr>
          <w:i/>
          <w:iCs/>
        </w:rPr>
        <w:t>Fargate</w:t>
      </w:r>
      <w:proofErr w:type="spellEnd"/>
      <w:r w:rsidRPr="00513177">
        <w:rPr>
          <w:i/>
          <w:iCs/>
        </w:rPr>
        <w:t xml:space="preserve"> Security </w:t>
      </w:r>
      <w:proofErr w:type="spellStart"/>
      <w:r w:rsidRPr="00513177">
        <w:rPr>
          <w:i/>
          <w:iCs/>
        </w:rPr>
        <w:t>Considerations</w:t>
      </w:r>
      <w:proofErr w:type="spellEnd"/>
      <w:r w:rsidRPr="00513177">
        <w:rPr>
          <w:i/>
          <w:iCs/>
        </w:rPr>
        <w:t xml:space="preserve"> for Amazon ECS</w:t>
      </w:r>
      <w:r w:rsidRPr="00513177">
        <w:t xml:space="preserve">), disponibile </w:t>
      </w:r>
      <w:hyperlink r:id="rId8" w:history="1">
        <w:r w:rsidRPr="00513177">
          <w:rPr>
            <w:rStyle w:val="Collegamentoipertestuale"/>
          </w:rPr>
          <w:t>qui</w:t>
        </w:r>
      </w:hyperlink>
      <w:r w:rsidRPr="00513177">
        <w:t>.</w:t>
      </w:r>
    </w:p>
    <w:p w14:paraId="16FA2786" w14:textId="77777777" w:rsidR="00513177" w:rsidRPr="00513177" w:rsidRDefault="00513177" w:rsidP="00513177">
      <w:pPr>
        <w:rPr>
          <w:b/>
          <w:bCs/>
        </w:rPr>
      </w:pPr>
      <w:r w:rsidRPr="00513177">
        <w:rPr>
          <w:b/>
          <w:bCs/>
        </w:rPr>
        <w:t>3.3. Web Application Firewall (WAF)</w:t>
      </w:r>
    </w:p>
    <w:p w14:paraId="15CAFFD2" w14:textId="77777777" w:rsidR="00513177" w:rsidRPr="00513177" w:rsidRDefault="00513177" w:rsidP="00513177">
      <w:r w:rsidRPr="00513177">
        <w:rPr>
          <w:b/>
          <w:bCs/>
        </w:rPr>
        <w:t>3.3.1.</w:t>
      </w:r>
      <w:r w:rsidRPr="00513177">
        <w:t xml:space="preserve"> LIDIA adotta il Web Application Firewall (WAF) di Amazon per proteggere la Piattaforma dalle vulnerabilità e dagli attacchi web più comuni, tra cui SQL injection e cross-site scripting (XSS). Il WAF opera come livello di protezione centralizzato per le applicazioni web della Piattaforma. Ulteriori dettagli tecnici sono disponibili sul sito web di AWS (</w:t>
      </w:r>
      <w:r w:rsidRPr="00513177">
        <w:rPr>
          <w:i/>
          <w:iCs/>
        </w:rPr>
        <w:t>Amazon Web Application Firewall</w:t>
      </w:r>
      <w:r w:rsidRPr="00513177">
        <w:t xml:space="preserve">), disponibile </w:t>
      </w:r>
      <w:hyperlink r:id="rId9" w:history="1">
        <w:r w:rsidRPr="00513177">
          <w:rPr>
            <w:rStyle w:val="Collegamentoipertestuale"/>
          </w:rPr>
          <w:t>qui</w:t>
        </w:r>
      </w:hyperlink>
      <w:r w:rsidRPr="00513177">
        <w:t>.</w:t>
      </w:r>
    </w:p>
    <w:p w14:paraId="27C4E159" w14:textId="77777777" w:rsidR="00513177" w:rsidRPr="00513177" w:rsidRDefault="00513177" w:rsidP="00513177">
      <w:pPr>
        <w:rPr>
          <w:b/>
          <w:bCs/>
        </w:rPr>
      </w:pPr>
      <w:r w:rsidRPr="00513177">
        <w:rPr>
          <w:b/>
          <w:bCs/>
        </w:rPr>
        <w:t xml:space="preserve">4. Continuità operativa e </w:t>
      </w:r>
      <w:proofErr w:type="spellStart"/>
      <w:r w:rsidRPr="00513177">
        <w:rPr>
          <w:b/>
          <w:bCs/>
        </w:rPr>
        <w:t>disaster</w:t>
      </w:r>
      <w:proofErr w:type="spellEnd"/>
      <w:r w:rsidRPr="00513177">
        <w:rPr>
          <w:b/>
          <w:bCs/>
        </w:rPr>
        <w:t xml:space="preserve"> recovery</w:t>
      </w:r>
    </w:p>
    <w:p w14:paraId="4705E6CD" w14:textId="77777777" w:rsidR="00513177" w:rsidRPr="00513177" w:rsidRDefault="00513177" w:rsidP="00513177">
      <w:pPr>
        <w:rPr>
          <w:b/>
          <w:bCs/>
        </w:rPr>
      </w:pPr>
      <w:r w:rsidRPr="00513177">
        <w:rPr>
          <w:b/>
          <w:bCs/>
        </w:rPr>
        <w:t>4.1. Servizi di backup automatico</w:t>
      </w:r>
    </w:p>
    <w:p w14:paraId="48742DA6" w14:textId="77777777" w:rsidR="00513177" w:rsidRPr="00513177" w:rsidRDefault="00513177" w:rsidP="00513177">
      <w:r w:rsidRPr="00513177">
        <w:rPr>
          <w:b/>
          <w:bCs/>
        </w:rPr>
        <w:t>4.1.1.</w:t>
      </w:r>
      <w:r w:rsidRPr="00513177">
        <w:t xml:space="preserve"> LIDIA si avvale dei servizi di backup automatico di AWS per garantire che i Dati Utente siano regolarmente salvati e ripristinabili in caso di perdita di dati. Tali servizi includono funzionalità di ripristino point-in-time e opzioni di conservazione a lungo termine. Ulteriori dettagli tecnici sono disponibili sul </w:t>
      </w:r>
      <w:hyperlink r:id="rId10" w:history="1">
        <w:r w:rsidRPr="00513177">
          <w:rPr>
            <w:rStyle w:val="Collegamentoipertestuale"/>
          </w:rPr>
          <w:t>sito web di AWS</w:t>
        </w:r>
      </w:hyperlink>
      <w:r w:rsidRPr="00513177">
        <w:t>.</w:t>
      </w:r>
    </w:p>
    <w:p w14:paraId="2C0817B7" w14:textId="77777777" w:rsidR="00513177" w:rsidRPr="00513177" w:rsidRDefault="00513177" w:rsidP="00513177">
      <w:pPr>
        <w:rPr>
          <w:b/>
          <w:bCs/>
        </w:rPr>
      </w:pPr>
      <w:r w:rsidRPr="00513177">
        <w:rPr>
          <w:b/>
          <w:bCs/>
        </w:rPr>
        <w:t>4.2. Archiviazione ridondante</w:t>
      </w:r>
    </w:p>
    <w:p w14:paraId="4D829C39" w14:textId="77777777" w:rsidR="00513177" w:rsidRPr="00513177" w:rsidRDefault="00513177" w:rsidP="00513177">
      <w:r w:rsidRPr="00513177">
        <w:rPr>
          <w:b/>
          <w:bCs/>
        </w:rPr>
        <w:t>4.2.1.</w:t>
      </w:r>
      <w:r w:rsidRPr="00513177">
        <w:t xml:space="preserve"> I Dati Utente sono archiviati mediante storage geo-ridondante o con ridondanza di zona, con replica su più ubicazioni geografiche per garantire elevata disponibilità e durabilità. Tutti i dati sono conservati all'interno dell'Unione Europea, in conformità ai requisiti del Regolamento Generale sulla Protezione dei Dati (GDPR). Ulteriori dettagli tecnici sono disponibili sul </w:t>
      </w:r>
      <w:hyperlink r:id="rId11" w:history="1">
        <w:r w:rsidRPr="00513177">
          <w:rPr>
            <w:rStyle w:val="Collegamentoipertestuale"/>
          </w:rPr>
          <w:t>sito web di AWS</w:t>
        </w:r>
      </w:hyperlink>
      <w:r w:rsidRPr="00513177">
        <w:t>.</w:t>
      </w:r>
    </w:p>
    <w:p w14:paraId="26B02142" w14:textId="77777777" w:rsidR="00513177" w:rsidRPr="00513177" w:rsidRDefault="00513177" w:rsidP="00513177">
      <w:pPr>
        <w:rPr>
          <w:b/>
          <w:bCs/>
        </w:rPr>
      </w:pPr>
      <w:r w:rsidRPr="00513177">
        <w:rPr>
          <w:b/>
          <w:bCs/>
        </w:rPr>
        <w:t xml:space="preserve">4.3. Piano di </w:t>
      </w:r>
      <w:proofErr w:type="spellStart"/>
      <w:r w:rsidRPr="00513177">
        <w:rPr>
          <w:b/>
          <w:bCs/>
        </w:rPr>
        <w:t>disaster</w:t>
      </w:r>
      <w:proofErr w:type="spellEnd"/>
      <w:r w:rsidRPr="00513177">
        <w:rPr>
          <w:b/>
          <w:bCs/>
        </w:rPr>
        <w:t xml:space="preserve"> recovery</w:t>
      </w:r>
    </w:p>
    <w:p w14:paraId="4DF89FB1" w14:textId="77777777" w:rsidR="00513177" w:rsidRPr="00513177" w:rsidRDefault="00513177" w:rsidP="00513177">
      <w:r w:rsidRPr="00513177">
        <w:rPr>
          <w:b/>
          <w:bCs/>
        </w:rPr>
        <w:t>4.3.1.</w:t>
      </w:r>
      <w:r w:rsidRPr="00513177">
        <w:t xml:space="preserve"> LIDIA mantiene un piano di </w:t>
      </w:r>
      <w:proofErr w:type="spellStart"/>
      <w:r w:rsidRPr="00513177">
        <w:rPr>
          <w:i/>
          <w:iCs/>
        </w:rPr>
        <w:t>disaster</w:t>
      </w:r>
      <w:proofErr w:type="spellEnd"/>
      <w:r w:rsidRPr="00513177">
        <w:rPr>
          <w:i/>
          <w:iCs/>
        </w:rPr>
        <w:t xml:space="preserve"> recovery</w:t>
      </w:r>
      <w:r w:rsidRPr="00513177">
        <w:t xml:space="preserve"> completo che si avvale dei servizi AWS per ridurre al minimo i tempi di inattività e la perdita di dati in caso di eventi disastrosi. Le procedure di ripristino sono soggette a test e validazione periodici per garantire la prontezza operativa.</w:t>
      </w:r>
    </w:p>
    <w:p w14:paraId="5613246A" w14:textId="77777777" w:rsidR="00513177" w:rsidRPr="00513177" w:rsidRDefault="00513177" w:rsidP="00513177">
      <w:pPr>
        <w:rPr>
          <w:b/>
          <w:bCs/>
        </w:rPr>
      </w:pPr>
      <w:r w:rsidRPr="00513177">
        <w:rPr>
          <w:b/>
          <w:bCs/>
        </w:rPr>
        <w:lastRenderedPageBreak/>
        <w:t>5. Pratiche di sviluppo sicuro</w:t>
      </w:r>
    </w:p>
    <w:p w14:paraId="3768CB8D" w14:textId="77777777" w:rsidR="00513177" w:rsidRPr="00513177" w:rsidRDefault="00513177" w:rsidP="00513177">
      <w:pPr>
        <w:rPr>
          <w:b/>
          <w:bCs/>
        </w:rPr>
      </w:pPr>
      <w:r w:rsidRPr="00513177">
        <w:rPr>
          <w:b/>
          <w:bCs/>
        </w:rPr>
        <w:t>5.1. Linee guida OWASP</w:t>
      </w:r>
    </w:p>
    <w:p w14:paraId="4A55C048" w14:textId="77777777" w:rsidR="00513177" w:rsidRPr="00513177" w:rsidRDefault="00513177" w:rsidP="00513177">
      <w:r w:rsidRPr="00513177">
        <w:rPr>
          <w:b/>
          <w:bCs/>
        </w:rPr>
        <w:t>5.1.1.</w:t>
      </w:r>
      <w:r w:rsidRPr="00513177">
        <w:t xml:space="preserve"> LIDIA e il suo Personale aderiscono alle linee guida OWASP Top </w:t>
      </w:r>
      <w:proofErr w:type="spellStart"/>
      <w:r w:rsidRPr="00513177">
        <w:t>Ten</w:t>
      </w:r>
      <w:proofErr w:type="spellEnd"/>
      <w:r w:rsidRPr="00513177">
        <w:t>, che definiscono le best practice per l'identificazione e la mitigazione dei rischi di sicurezza più comuni nelle applicazioni web.</w:t>
      </w:r>
    </w:p>
    <w:p w14:paraId="56BE5EC0" w14:textId="77777777" w:rsidR="00513177" w:rsidRPr="00513177" w:rsidRDefault="00513177" w:rsidP="00513177">
      <w:pPr>
        <w:rPr>
          <w:b/>
          <w:bCs/>
        </w:rPr>
      </w:pPr>
      <w:r w:rsidRPr="00513177">
        <w:rPr>
          <w:b/>
          <w:bCs/>
        </w:rPr>
        <w:t>5.2. Revisione del codice</w:t>
      </w:r>
    </w:p>
    <w:p w14:paraId="6045C85C" w14:textId="77777777" w:rsidR="00513177" w:rsidRPr="00513177" w:rsidRDefault="00513177" w:rsidP="00513177">
      <w:r w:rsidRPr="00513177">
        <w:rPr>
          <w:b/>
          <w:bCs/>
        </w:rPr>
        <w:t>5.2.1.</w:t>
      </w:r>
      <w:r w:rsidRPr="00513177">
        <w:t xml:space="preserve"> Vengono condotte periodicamente revisioni del codice, sia manuali che automatizzate tramite analisi statica, al fine di identificare e correggere tempestivamente eventuali vulnerabilità di sicurezza.</w:t>
      </w:r>
    </w:p>
    <w:p w14:paraId="70245EBD" w14:textId="77777777" w:rsidR="00513177" w:rsidRPr="00513177" w:rsidRDefault="00513177" w:rsidP="00513177">
      <w:pPr>
        <w:rPr>
          <w:b/>
          <w:bCs/>
        </w:rPr>
      </w:pPr>
      <w:r w:rsidRPr="00513177">
        <w:rPr>
          <w:b/>
          <w:bCs/>
        </w:rPr>
        <w:t>5.3. Valutazioni della vulnerabilità e test di profondità</w:t>
      </w:r>
    </w:p>
    <w:p w14:paraId="3E537963" w14:textId="77777777" w:rsidR="00513177" w:rsidRPr="00513177" w:rsidRDefault="00513177" w:rsidP="00513177">
      <w:r w:rsidRPr="00513177">
        <w:rPr>
          <w:b/>
          <w:bCs/>
        </w:rPr>
        <w:t>5.3.1.</w:t>
      </w:r>
      <w:r w:rsidRPr="00513177">
        <w:t xml:space="preserve"> MESA esegue annualmente valutazioni delle vulnerabilità e test di penetrazione, condotti da professionisti della sicurezza certificati, al fine di identificare e rimediare le debolezze di sicurezza dei sistemi e dell'infrastruttura di LIDIA.</w:t>
      </w:r>
    </w:p>
    <w:p w14:paraId="2364A734" w14:textId="77777777" w:rsidR="00513177" w:rsidRPr="00513177" w:rsidRDefault="00513177" w:rsidP="00513177">
      <w:pPr>
        <w:rPr>
          <w:b/>
          <w:bCs/>
        </w:rPr>
      </w:pPr>
      <w:r w:rsidRPr="00513177">
        <w:rPr>
          <w:b/>
          <w:bCs/>
        </w:rPr>
        <w:t>6. Impegno organizzativo per la sicurezza</w:t>
      </w:r>
    </w:p>
    <w:p w14:paraId="676F405E" w14:textId="77777777" w:rsidR="00513177" w:rsidRPr="00513177" w:rsidRDefault="00513177" w:rsidP="00513177">
      <w:pPr>
        <w:rPr>
          <w:b/>
          <w:bCs/>
        </w:rPr>
      </w:pPr>
      <w:r w:rsidRPr="00513177">
        <w:rPr>
          <w:b/>
          <w:bCs/>
        </w:rPr>
        <w:t>6.1. Governance della sicurezza</w:t>
      </w:r>
    </w:p>
    <w:p w14:paraId="3205451E" w14:textId="77777777" w:rsidR="00513177" w:rsidRPr="00513177" w:rsidRDefault="00513177" w:rsidP="00513177">
      <w:r w:rsidRPr="00513177">
        <w:rPr>
          <w:b/>
          <w:bCs/>
        </w:rPr>
        <w:t>6.1.1.</w:t>
      </w:r>
      <w:r w:rsidRPr="00513177">
        <w:t xml:space="preserve"> LIDIA garantisce che il SGSI sia attivamente mantenuto su base continuativa dal proprio Personale, con chiara responsabilizzazione organizzativa in materia di sicurezza delle informazioni.</w:t>
      </w:r>
    </w:p>
    <w:p w14:paraId="0F396A1E" w14:textId="77777777" w:rsidR="00513177" w:rsidRPr="00513177" w:rsidRDefault="00513177" w:rsidP="00513177">
      <w:pPr>
        <w:rPr>
          <w:b/>
          <w:bCs/>
        </w:rPr>
      </w:pPr>
      <w:r w:rsidRPr="00513177">
        <w:rPr>
          <w:b/>
          <w:bCs/>
        </w:rPr>
        <w:t>6.2. Miglioramento continuo</w:t>
      </w:r>
    </w:p>
    <w:p w14:paraId="28A8A8B0" w14:textId="77777777" w:rsidR="00513177" w:rsidRPr="00513177" w:rsidRDefault="00513177" w:rsidP="00513177">
      <w:r w:rsidRPr="00513177">
        <w:rPr>
          <w:b/>
          <w:bCs/>
        </w:rPr>
        <w:t>6.2.1.</w:t>
      </w:r>
      <w:r w:rsidRPr="00513177">
        <w:t xml:space="preserve"> LIDIA si impegna a monitorare e migliorare costantemente le proprie pratiche di sicurezza, al fine di fronteggiare le minacce emergenti, le vulnerabilità individuate e l'evoluzione degli standard di settore.</w:t>
      </w:r>
    </w:p>
    <w:p w14:paraId="695C2CB8" w14:textId="77777777" w:rsidR="00513177" w:rsidRPr="00513177" w:rsidRDefault="00513177" w:rsidP="00513177">
      <w:pPr>
        <w:rPr>
          <w:b/>
          <w:bCs/>
        </w:rPr>
      </w:pPr>
      <w:r w:rsidRPr="00513177">
        <w:rPr>
          <w:b/>
          <w:bCs/>
        </w:rPr>
        <w:t>6.3. Controllo degli accessi del Personale e formazione</w:t>
      </w:r>
    </w:p>
    <w:p w14:paraId="102C854F" w14:textId="77777777" w:rsidR="00513177" w:rsidRPr="00513177" w:rsidRDefault="00513177" w:rsidP="00513177">
      <w:r w:rsidRPr="00513177">
        <w:rPr>
          <w:b/>
          <w:bCs/>
        </w:rPr>
        <w:t>6.3.1.</w:t>
      </w:r>
      <w:r w:rsidRPr="00513177">
        <w:t xml:space="preserve"> L'accesso all'ambiente cloud da parte del Personale avviene tramite credenziali utente univoche ed è disciplinato dal principio del privilegio minimo. Ogni accesso richiede una connessione sicura, l'autenticazione a più fattori (MFA) e password conformi o superiori ai requisiti minimi di lunghezza e complessità applicabili.</w:t>
      </w:r>
    </w:p>
    <w:p w14:paraId="1702E1D9" w14:textId="77777777" w:rsidR="00513177" w:rsidRPr="00513177" w:rsidRDefault="00513177" w:rsidP="00513177">
      <w:r w:rsidRPr="00513177">
        <w:rPr>
          <w:b/>
          <w:bCs/>
        </w:rPr>
        <w:t>6.3.2.</w:t>
      </w:r>
      <w:r w:rsidRPr="00513177">
        <w:t xml:space="preserve"> Il Personale non accederà ai Dati Utente se non: (i) nella misura necessaria all'erogazione o al supporto dei Servizi; ovvero (ii) per adempiere agli obblighi previsti dalla Legge Applicabile.</w:t>
      </w:r>
    </w:p>
    <w:p w14:paraId="649EF382" w14:textId="77777777" w:rsidR="00513177" w:rsidRPr="00513177" w:rsidRDefault="00513177" w:rsidP="00513177">
      <w:r w:rsidRPr="00513177">
        <w:rPr>
          <w:b/>
          <w:bCs/>
        </w:rPr>
        <w:t>6.3.3.</w:t>
      </w:r>
      <w:r w:rsidRPr="00513177">
        <w:t xml:space="preserve"> Il Personale accederà all'ambiente cloud esclusivamente tramite dispositivi aziendali, dotati di controlli di cifratura nonché di strumenti di Endpoint </w:t>
      </w:r>
      <w:proofErr w:type="spellStart"/>
      <w:r w:rsidRPr="00513177">
        <w:t>Detection</w:t>
      </w:r>
      <w:proofErr w:type="spellEnd"/>
      <w:r w:rsidRPr="00513177">
        <w:t xml:space="preserve"> and </w:t>
      </w:r>
      <w:proofErr w:type="spellStart"/>
      <w:r w:rsidRPr="00513177">
        <w:t>Response</w:t>
      </w:r>
      <w:proofErr w:type="spellEnd"/>
      <w:r w:rsidRPr="00513177">
        <w:t xml:space="preserve"> (EDR) per il monitoraggio, il rilevamento di attività sospette e codice malevolo, e la gestione delle vulnerabilità.</w:t>
      </w:r>
    </w:p>
    <w:p w14:paraId="40F0AC7A" w14:textId="77777777" w:rsidR="00513177" w:rsidRPr="00513177" w:rsidRDefault="00513177" w:rsidP="00513177">
      <w:r w:rsidRPr="00513177">
        <w:rPr>
          <w:b/>
          <w:bCs/>
        </w:rPr>
        <w:lastRenderedPageBreak/>
        <w:t>6.3.4.</w:t>
      </w:r>
      <w:r w:rsidRPr="00513177">
        <w:t xml:space="preserve"> LIDIA mantiene programmi di formazione e sensibilizzazione alla sicurezza per tutto il Personale, erogati al momento dell'inserimento in azienda e con cadenza almeno annuale.</w:t>
      </w:r>
    </w:p>
    <w:p w14:paraId="6C158D86" w14:textId="77777777" w:rsidR="00513177" w:rsidRPr="00513177" w:rsidRDefault="00513177" w:rsidP="00513177">
      <w:pPr>
        <w:rPr>
          <w:b/>
          <w:bCs/>
        </w:rPr>
      </w:pPr>
      <w:r w:rsidRPr="00513177">
        <w:rPr>
          <w:b/>
          <w:bCs/>
        </w:rPr>
        <w:t>7. Rilevamento e risposta agli incidenti</w:t>
      </w:r>
    </w:p>
    <w:p w14:paraId="11E33948" w14:textId="77777777" w:rsidR="00513177" w:rsidRPr="00513177" w:rsidRDefault="00513177" w:rsidP="00513177">
      <w:r w:rsidRPr="00513177">
        <w:rPr>
          <w:b/>
          <w:bCs/>
        </w:rPr>
        <w:t>7.1.</w:t>
      </w:r>
      <w:r w:rsidRPr="00513177">
        <w:t xml:space="preserve"> Qualora LIDIA venga a conoscenza di una violazione della sicurezza che comporti la distruzione, la perdita, l'alterazione, la divulgazione non autorizzata o l'accesso non autorizzato ai Dati Utente (un "</w:t>
      </w:r>
      <w:r w:rsidRPr="00513177">
        <w:rPr>
          <w:b/>
          <w:bCs/>
        </w:rPr>
        <w:t>Incidente di Sicurezza</w:t>
      </w:r>
      <w:r w:rsidRPr="00513177">
        <w:t>"), LIDIA notificherà l'Utente senza ingiustificato ritardo. La notifica sarà inviata all'indirizzo e-mail indicato nel Modulo d’Ordine, ovvero secondo le modalità ritenute appropriate da LIDIA.</w:t>
      </w:r>
    </w:p>
    <w:p w14:paraId="55192C56" w14:textId="77777777" w:rsidR="00513177" w:rsidRPr="00513177" w:rsidRDefault="00513177" w:rsidP="00513177">
      <w:r w:rsidRPr="00513177">
        <w:rPr>
          <w:b/>
          <w:bCs/>
        </w:rPr>
        <w:t>7.2.</w:t>
      </w:r>
      <w:r w:rsidRPr="00513177">
        <w:t xml:space="preserve"> Non appena venga a conoscenza di un Incidente di Sicurezza, LIDIA adotterà prontamente tutte le misure ragionevoli per contenere, investigare e mitigare l'incidente. I log ritenuti rilevanti ai fini dell'Incidente di Sicurezza saranno conservati per un periodo minimo di un (1) anno.</w:t>
      </w:r>
    </w:p>
    <w:p w14:paraId="41C6CD63" w14:textId="77777777" w:rsidR="00513177" w:rsidRPr="00513177" w:rsidRDefault="00513177" w:rsidP="00513177">
      <w:r w:rsidRPr="00513177">
        <w:rPr>
          <w:b/>
          <w:bCs/>
        </w:rPr>
        <w:t>7.3.</w:t>
      </w:r>
      <w:r w:rsidRPr="00513177">
        <w:t xml:space="preserve"> LIDIA manterrà l'Utente ragionevolmente informato nel corso dell'intero processo di risposta all'Incidente, fornendo tempestive informazioni in merito a: (i) la natura e le possibili conseguenze dell'Incidente di Sicurezza; (ii) lo stato dell'indagine in corso; e (iii) un punto di contatto designato per ulteriori richieste di informazioni. Al termine dell'indagine, LIDIA comunicherà le misure adottate o proposte per mitigare o contenere l'Incidente di Sicurezza. L'Utente prende atto che, non avendo il Personale accesso al contenuto dei Dati Utente, LIDIA potrebbe non essere in grado di fornire una caratterizzazione dettagliata dei Dati Utente specificamente interessati dall'Incidente di Sicurezza. Le comunicazioni relative a un Incidente di Sicurezza non costituiscono in alcun caso ammissione di responsabilità da parte di LIDIA.</w:t>
      </w:r>
    </w:p>
    <w:p w14:paraId="02C22942" w14:textId="77777777" w:rsidR="00513177" w:rsidRPr="00513177" w:rsidRDefault="00513177" w:rsidP="00513177">
      <w:pPr>
        <w:rPr>
          <w:b/>
          <w:bCs/>
        </w:rPr>
      </w:pPr>
      <w:r w:rsidRPr="00513177">
        <w:rPr>
          <w:b/>
          <w:bCs/>
        </w:rPr>
        <w:t>8. Diritti dell’Utente e responsabilità condivise</w:t>
      </w:r>
    </w:p>
    <w:p w14:paraId="6DB577BB" w14:textId="77777777" w:rsidR="00513177" w:rsidRPr="00513177" w:rsidRDefault="00513177" w:rsidP="00513177">
      <w:r w:rsidRPr="00513177">
        <w:rPr>
          <w:b/>
          <w:bCs/>
        </w:rPr>
        <w:t>8.1.</w:t>
      </w:r>
      <w:r w:rsidRPr="00513177">
        <w:t xml:space="preserve"> L'Utente è l'unico responsabile di garantire che: (i) sia debitamente autorizzato a trasmettere ai Servizi qualsiasi Input o Dato Utente; e (ii) il proprio utilizzo della Piattaforma LIDIA Legal AI sia conforme a tutta la Legge Applicabile.</w:t>
      </w:r>
    </w:p>
    <w:p w14:paraId="65BF27F6" w14:textId="77777777" w:rsidR="00513177" w:rsidRPr="00513177" w:rsidRDefault="00513177" w:rsidP="00513177">
      <w:r w:rsidRPr="00513177">
        <w:rPr>
          <w:b/>
          <w:bCs/>
        </w:rPr>
        <w:t>8.2.</w:t>
      </w:r>
      <w:r w:rsidRPr="00513177">
        <w:t xml:space="preserve"> L'Utente è responsabile della gestione e della protezione delle proprie Credenziali di Accesso alla Piattaforma. Le credenziali devono essere mantenute strettamente riservate e non possono essere condivise con soggetti non autorizzati, in conformità a quanto previsto dall'Order Form applicabile.</w:t>
      </w:r>
    </w:p>
    <w:p w14:paraId="716CEFD7" w14:textId="77777777" w:rsidR="00513177" w:rsidRPr="00513177" w:rsidRDefault="00513177" w:rsidP="00513177">
      <w:r w:rsidRPr="00513177">
        <w:rPr>
          <w:b/>
          <w:bCs/>
        </w:rPr>
        <w:t>8.3.</w:t>
      </w:r>
      <w:r w:rsidRPr="00513177">
        <w:t xml:space="preserve"> L'Utente è tenuto a segnalare prontamente a LIDIA qualsiasi attività sospetta relativa al proprio Account Utente, inclusa, a titolo esemplificativo e non esaustivo, ogni circostanza in cui l'Utente ritenga ragionevolmente che le proprie credenziali siano state compromesse.</w:t>
      </w:r>
    </w:p>
    <w:p w14:paraId="7B3A0563" w14:textId="77777777" w:rsidR="00513177" w:rsidRPr="00513177" w:rsidRDefault="00513177" w:rsidP="00513177">
      <w:r w:rsidRPr="00513177">
        <w:rPr>
          <w:b/>
          <w:bCs/>
        </w:rPr>
        <w:t>8.4.</w:t>
      </w:r>
      <w:r w:rsidRPr="00513177">
        <w:t xml:space="preserve"> L'Utente è responsabile dell’aggiornamento e della corretta applicazione </w:t>
      </w:r>
      <w:proofErr w:type="gramStart"/>
      <w:r w:rsidRPr="00513177">
        <w:t>dei patch</w:t>
      </w:r>
      <w:proofErr w:type="gramEnd"/>
      <w:r w:rsidRPr="00513177">
        <w:t xml:space="preserve"> di sicurezza dei propri sistemi informatici utilizzati per accedere ai Servizi, ivi compresi browser e software correlati, contro le vulnerabilità note.</w:t>
      </w:r>
    </w:p>
    <w:p w14:paraId="36D91800" w14:textId="58555535" w:rsidR="00A37A27" w:rsidRDefault="00A37A27" w:rsidP="00513177"/>
    <w:p w14:paraId="0CB48183" w14:textId="77777777" w:rsidR="00513177" w:rsidRDefault="00513177" w:rsidP="00513177"/>
    <w:p w14:paraId="71BF6080" w14:textId="16A3BCEC" w:rsidR="00513177" w:rsidRDefault="00513177" w:rsidP="00513177">
      <w:pPr>
        <w:rPr>
          <w:b/>
          <w:bCs/>
        </w:rPr>
      </w:pPr>
      <w:r>
        <w:rPr>
          <w:b/>
          <w:bCs/>
        </w:rPr>
        <w:t xml:space="preserve">ANNEX </w:t>
      </w:r>
      <w:r>
        <w:rPr>
          <w:b/>
          <w:bCs/>
        </w:rPr>
        <w:t>B</w:t>
      </w:r>
    </w:p>
    <w:p w14:paraId="3C5FFEFF" w14:textId="77777777" w:rsidR="00513177" w:rsidRDefault="00513177" w:rsidP="00513177"/>
    <w:p w14:paraId="661AE815" w14:textId="77777777" w:rsidR="00513177" w:rsidRPr="00513177" w:rsidRDefault="00513177" w:rsidP="00513177">
      <w:pPr>
        <w:rPr>
          <w:b/>
          <w:bCs/>
        </w:rPr>
      </w:pPr>
      <w:r w:rsidRPr="00513177">
        <w:rPr>
          <w:b/>
          <w:bCs/>
        </w:rPr>
        <w:t>Accordo sul Livello di Servizio</w:t>
      </w:r>
    </w:p>
    <w:p w14:paraId="31465721" w14:textId="77777777" w:rsidR="00513177" w:rsidRPr="00513177" w:rsidRDefault="00513177" w:rsidP="00513177">
      <w:r w:rsidRPr="00513177">
        <w:rPr>
          <w:i/>
          <w:iCs/>
        </w:rPr>
        <w:t xml:space="preserve">Allegato B ai </w:t>
      </w:r>
      <w:hyperlink r:id="rId12" w:history="1">
        <w:r w:rsidRPr="00513177">
          <w:rPr>
            <w:rStyle w:val="Collegamentoipertestuale"/>
            <w:i/>
            <w:iCs/>
          </w:rPr>
          <w:t>Termini e Condizioni Generali</w:t>
        </w:r>
      </w:hyperlink>
      <w:r w:rsidRPr="00513177">
        <w:rPr>
          <w:i/>
          <w:iCs/>
        </w:rPr>
        <w:t xml:space="preserve"> — Ultimo aggiornamento: giugno 2026</w:t>
      </w:r>
    </w:p>
    <w:p w14:paraId="72895D3C" w14:textId="77777777" w:rsidR="00513177" w:rsidRPr="00513177" w:rsidRDefault="00513177" w:rsidP="00513177">
      <w:pPr>
        <w:rPr>
          <w:b/>
          <w:bCs/>
        </w:rPr>
      </w:pPr>
      <w:r w:rsidRPr="00513177">
        <w:rPr>
          <w:b/>
          <w:bCs/>
        </w:rPr>
        <w:t>1. Ambito di applicazione e definizioni</w:t>
      </w:r>
    </w:p>
    <w:p w14:paraId="1ACAB53E" w14:textId="77777777" w:rsidR="00513177" w:rsidRPr="00513177" w:rsidRDefault="00513177" w:rsidP="00513177">
      <w:r w:rsidRPr="00513177">
        <w:rPr>
          <w:b/>
          <w:bCs/>
        </w:rPr>
        <w:t>1.1.</w:t>
      </w:r>
      <w:r w:rsidRPr="00513177">
        <w:t xml:space="preserve"> Il presente Accordo sul Livello di Servizio (“</w:t>
      </w:r>
      <w:r w:rsidRPr="00513177">
        <w:rPr>
          <w:b/>
          <w:bCs/>
        </w:rPr>
        <w:t>SLA</w:t>
      </w:r>
      <w:r w:rsidRPr="00513177">
        <w:t>”) costituisce parte integrante dell’Accordo stipulato tra LIDIA e l'Utente.</w:t>
      </w:r>
    </w:p>
    <w:p w14:paraId="6D97DB78" w14:textId="77777777" w:rsidR="00513177" w:rsidRPr="00513177" w:rsidRDefault="00513177" w:rsidP="00513177">
      <w:r w:rsidRPr="00513177">
        <w:rPr>
          <w:b/>
          <w:bCs/>
        </w:rPr>
        <w:t>1.2.</w:t>
      </w:r>
      <w:r w:rsidRPr="00513177">
        <w:t xml:space="preserve"> Il presente SLA stabilisce gli standard di livello di servizio per la Piattaforma LIDIA Legal AI Platform, inclusi i servizi di disponibilità e assistenza forniti da LIDIA al fine di garantire la continuità dei Servizi all'Utente.</w:t>
      </w:r>
    </w:p>
    <w:p w14:paraId="75CB8386" w14:textId="77777777" w:rsidR="00513177" w:rsidRPr="00513177" w:rsidRDefault="00513177" w:rsidP="00513177">
      <w:r w:rsidRPr="00513177">
        <w:rPr>
          <w:b/>
          <w:bCs/>
        </w:rPr>
        <w:t>1.3.</w:t>
      </w:r>
      <w:r w:rsidRPr="00513177">
        <w:t xml:space="preserve"> I termini con iniziale maiuscola nel testo del presente SLA hanno il significato ad essi attribuito:</w:t>
      </w:r>
    </w:p>
    <w:p w14:paraId="1B81B27A" w14:textId="77777777" w:rsidR="00513177" w:rsidRPr="00513177" w:rsidRDefault="00513177" w:rsidP="00513177">
      <w:pPr>
        <w:numPr>
          <w:ilvl w:val="0"/>
          <w:numId w:val="17"/>
        </w:numPr>
      </w:pPr>
      <w:r w:rsidRPr="00513177">
        <w:t>nel Modulo d'Ordine; ovvero, se non definiti nel Modulo d'Ordine</w:t>
      </w:r>
    </w:p>
    <w:p w14:paraId="59A8C377" w14:textId="77777777" w:rsidR="00513177" w:rsidRPr="00513177" w:rsidRDefault="00513177" w:rsidP="00513177">
      <w:pPr>
        <w:numPr>
          <w:ilvl w:val="0"/>
          <w:numId w:val="17"/>
        </w:numPr>
      </w:pPr>
      <w:r w:rsidRPr="00513177">
        <w:t xml:space="preserve">alla </w:t>
      </w:r>
      <w:hyperlink r:id="rId13" w:history="1">
        <w:r w:rsidRPr="00513177">
          <w:rPr>
            <w:rStyle w:val="Collegamentoipertestuale"/>
          </w:rPr>
          <w:t>clausola 2.2 dei Termini e Condizioni Generali di Contratto</w:t>
        </w:r>
      </w:hyperlink>
      <w:r w:rsidRPr="00513177">
        <w:t>;</w:t>
      </w:r>
    </w:p>
    <w:p w14:paraId="3A5FA192" w14:textId="77777777" w:rsidR="00513177" w:rsidRPr="00513177" w:rsidRDefault="00513177" w:rsidP="00513177">
      <w:pPr>
        <w:numPr>
          <w:ilvl w:val="0"/>
          <w:numId w:val="17"/>
        </w:numPr>
      </w:pPr>
      <w:r w:rsidRPr="00513177">
        <w:t>alla clausola 1.4 del presente SLA</w:t>
      </w:r>
    </w:p>
    <w:p w14:paraId="01C622C1" w14:textId="77777777" w:rsidR="00513177" w:rsidRPr="00513177" w:rsidRDefault="00513177" w:rsidP="00513177">
      <w:r w:rsidRPr="00513177">
        <w:t>e sono interpretati di conseguenza.</w:t>
      </w:r>
    </w:p>
    <w:p w14:paraId="292FE8E2" w14:textId="77777777" w:rsidR="00513177" w:rsidRPr="00513177" w:rsidRDefault="00513177" w:rsidP="00513177">
      <w:r w:rsidRPr="00513177">
        <w:rPr>
          <w:b/>
          <w:bCs/>
        </w:rPr>
        <w:t>1.4.</w:t>
      </w:r>
      <w:r w:rsidRPr="00513177">
        <w:t xml:space="preserve"> Definizioni:</w:t>
      </w:r>
    </w:p>
    <w:p w14:paraId="2E05E45F" w14:textId="77777777" w:rsidR="00513177" w:rsidRPr="00513177" w:rsidRDefault="00513177" w:rsidP="00513177">
      <w:r w:rsidRPr="00513177">
        <w:rPr>
          <w:b/>
          <w:bCs/>
        </w:rPr>
        <w:t>“Impegno di Disponibilità”</w:t>
      </w:r>
      <w:r w:rsidRPr="00513177">
        <w:t xml:space="preserve"> indica il periodo, espresso in percentuale, nel corso del Periodo di Riferimento durante il quale la Piattaforma LIDIA è operativa e accessibile all'Utente. Il calcolo è effettuato secondo la formula seguente:</w:t>
      </w:r>
    </w:p>
    <w:p w14:paraId="3316D8D2" w14:textId="77777777" w:rsidR="00513177" w:rsidRPr="00513177" w:rsidRDefault="00513177" w:rsidP="00513177">
      <w:r w:rsidRPr="00513177">
        <w:t>([Numero totale di minuti nel Periodo di Riferimento] − [Totale minuti di Interruzione nel Periodo di Riferimento]) × 100 / [Numero totale di minuti nel Periodo di Riferimento].</w:t>
      </w:r>
    </w:p>
    <w:p w14:paraId="0E88AEA2" w14:textId="77777777" w:rsidR="00513177" w:rsidRPr="00513177" w:rsidRDefault="00513177" w:rsidP="00513177">
      <w:r w:rsidRPr="00513177">
        <w:t>Le eccezioni previste dal Contratto e dal presente SLA sono espressamente escluse dal calcolo dell'Impegno di Disponibilità.</w:t>
      </w:r>
    </w:p>
    <w:p w14:paraId="2CA03520" w14:textId="77777777" w:rsidR="00513177" w:rsidRPr="00513177" w:rsidRDefault="00513177" w:rsidP="00513177">
      <w:r w:rsidRPr="00513177">
        <w:rPr>
          <w:b/>
          <w:bCs/>
        </w:rPr>
        <w:t>“Incidente Segnalato”</w:t>
      </w:r>
      <w:r w:rsidRPr="00513177">
        <w:t xml:space="preserve"> avrà il significato di cui alla clausola 3.1.</w:t>
      </w:r>
    </w:p>
    <w:p w14:paraId="1922CFEA" w14:textId="77777777" w:rsidR="00513177" w:rsidRPr="00513177" w:rsidRDefault="00513177" w:rsidP="00513177">
      <w:r w:rsidRPr="00513177">
        <w:rPr>
          <w:b/>
          <w:bCs/>
        </w:rPr>
        <w:t>“Interruzione”</w:t>
      </w:r>
      <w:r w:rsidRPr="00513177">
        <w:t xml:space="preserve"> indica qualsiasi evento riconducibile al controllo ragionevole di LIDIA o dei suoi Subappaltatori che determini la generale indisponibilità della Piattaforma LIDIA per l'Utente.</w:t>
      </w:r>
    </w:p>
    <w:p w14:paraId="678EFBD4" w14:textId="77777777" w:rsidR="00513177" w:rsidRPr="00513177" w:rsidRDefault="00513177" w:rsidP="00513177">
      <w:r w:rsidRPr="00513177">
        <w:rPr>
          <w:b/>
          <w:bCs/>
        </w:rPr>
        <w:t>“Manutenzione di Emergenza”</w:t>
      </w:r>
      <w:r w:rsidRPr="00513177">
        <w:t xml:space="preserve"> avrà il significato di cui alla clausola 5.2.</w:t>
      </w:r>
    </w:p>
    <w:p w14:paraId="735FDA37" w14:textId="77777777" w:rsidR="00513177" w:rsidRPr="00513177" w:rsidRDefault="00513177" w:rsidP="00513177">
      <w:r w:rsidRPr="00513177">
        <w:rPr>
          <w:b/>
          <w:bCs/>
        </w:rPr>
        <w:t>“Periodo di Riferimento”</w:t>
      </w:r>
      <w:r w:rsidRPr="00513177">
        <w:t xml:space="preserve"> indica il periodo di 30 giorni di calendario nel corso del quale viene calcolato l'Impegno di Disponibilità. Per convenzione, il calcolo è effettuato con riferimento ai </w:t>
      </w:r>
      <w:r w:rsidRPr="00513177">
        <w:lastRenderedPageBreak/>
        <w:t>30 giorni di calendario precedenti alla data in cui l'Impegno di Disponibilità diviene rilevante ai fini del calcolo.</w:t>
      </w:r>
    </w:p>
    <w:p w14:paraId="3F4366E4" w14:textId="77777777" w:rsidR="00513177" w:rsidRPr="00513177" w:rsidRDefault="00513177" w:rsidP="00513177">
      <w:r w:rsidRPr="00513177">
        <w:rPr>
          <w:b/>
          <w:bCs/>
        </w:rPr>
        <w:t>“Tempo di Risposta”</w:t>
      </w:r>
      <w:r w:rsidRPr="00513177">
        <w:t xml:space="preserve"> indica il lasso di tempo utilizzato da LIDIA, o comunque a sua disposizione, per prendere in carico un Incidente Segnalato.</w:t>
      </w:r>
    </w:p>
    <w:p w14:paraId="17CF1CDC" w14:textId="77777777" w:rsidR="00513177" w:rsidRPr="00513177" w:rsidRDefault="00513177" w:rsidP="00513177">
      <w:r w:rsidRPr="00513177">
        <w:rPr>
          <w:b/>
          <w:bCs/>
        </w:rPr>
        <w:t>“Tempo di Risoluzione”</w:t>
      </w:r>
      <w:r w:rsidRPr="00513177">
        <w:t xml:space="preserve"> indica il lasso di tempo utilizzato da LIDIA, o comunque a sua disposizione, per risolvere un Incidente Segnalato.</w:t>
      </w:r>
    </w:p>
    <w:p w14:paraId="7F92EA33" w14:textId="77777777" w:rsidR="00513177" w:rsidRPr="00513177" w:rsidRDefault="00513177" w:rsidP="00513177">
      <w:pPr>
        <w:rPr>
          <w:b/>
          <w:bCs/>
        </w:rPr>
      </w:pPr>
      <w:r w:rsidRPr="00513177">
        <w:rPr>
          <w:b/>
          <w:bCs/>
        </w:rPr>
        <w:t>2. Disponibilità della Piattaforma LIDIA</w:t>
      </w:r>
    </w:p>
    <w:p w14:paraId="422FB544" w14:textId="77777777" w:rsidR="00513177" w:rsidRPr="00513177" w:rsidRDefault="00513177" w:rsidP="00513177">
      <w:r w:rsidRPr="00513177">
        <w:rPr>
          <w:b/>
          <w:bCs/>
        </w:rPr>
        <w:t>2.1.</w:t>
      </w:r>
      <w:r w:rsidRPr="00513177">
        <w:t xml:space="preserve"> LIDIA garantisce che la Piattaforma LIDIA Legal AI manterrà un Impegno di Disponibilità del </w:t>
      </w:r>
      <w:r w:rsidRPr="00513177">
        <w:rPr>
          <w:b/>
          <w:bCs/>
        </w:rPr>
        <w:t>99,5%</w:t>
      </w:r>
      <w:r w:rsidRPr="00513177">
        <w:t xml:space="preserve"> per Periodo di Riferimento, con esclusione delle eccezioni applicabili previste dall’Accordo.</w:t>
      </w:r>
    </w:p>
    <w:p w14:paraId="3B49CC97" w14:textId="77777777" w:rsidR="00513177" w:rsidRPr="00513177" w:rsidRDefault="00513177" w:rsidP="00513177">
      <w:r w:rsidRPr="00513177">
        <w:rPr>
          <w:b/>
          <w:bCs/>
        </w:rPr>
        <w:t>2.2.</w:t>
      </w:r>
      <w:r w:rsidRPr="00513177">
        <w:t xml:space="preserve"> Sono esclusi dal computo dell'Interruzione e dell'Impegno di Disponibilità i seguenti eventi:</w:t>
      </w:r>
    </w:p>
    <w:p w14:paraId="193AA35C" w14:textId="77777777" w:rsidR="00513177" w:rsidRPr="00513177" w:rsidRDefault="00513177" w:rsidP="00513177">
      <w:pPr>
        <w:numPr>
          <w:ilvl w:val="0"/>
          <w:numId w:val="18"/>
        </w:numPr>
      </w:pPr>
      <w:r w:rsidRPr="00513177">
        <w:t xml:space="preserve">le attività di manutenzione della Piattaforma LIDIA Legal AI </w:t>
      </w:r>
      <w:proofErr w:type="spellStart"/>
      <w:r w:rsidRPr="00513177">
        <w:t>ai</w:t>
      </w:r>
      <w:proofErr w:type="spellEnd"/>
      <w:r w:rsidRPr="00513177">
        <w:t xml:space="preserve"> sensi della Clausola 5 del presente SLA;</w:t>
      </w:r>
    </w:p>
    <w:p w14:paraId="7999C67A" w14:textId="77777777" w:rsidR="00513177" w:rsidRPr="00513177" w:rsidRDefault="00513177" w:rsidP="00513177">
      <w:pPr>
        <w:numPr>
          <w:ilvl w:val="0"/>
          <w:numId w:val="18"/>
        </w:numPr>
      </w:pPr>
      <w:r w:rsidRPr="00513177">
        <w:t xml:space="preserve">gli eventi di Forza Maggiore come definiti alla </w:t>
      </w:r>
      <w:hyperlink r:id="rId14" w:history="1">
        <w:r w:rsidRPr="00513177">
          <w:rPr>
            <w:rStyle w:val="Collegamentoipertestuale"/>
          </w:rPr>
          <w:t>Clausola 11.8 dei Termini e Condizioni Generali</w:t>
        </w:r>
      </w:hyperlink>
      <w:r w:rsidRPr="00513177">
        <w:t>;</w:t>
      </w:r>
    </w:p>
    <w:p w14:paraId="1B603028" w14:textId="77777777" w:rsidR="00513177" w:rsidRPr="00513177" w:rsidRDefault="00513177" w:rsidP="00513177">
      <w:pPr>
        <w:numPr>
          <w:ilvl w:val="0"/>
          <w:numId w:val="18"/>
        </w:numPr>
      </w:pPr>
      <w:r w:rsidRPr="00513177">
        <w:t>ogni altra circostanza elencata alla Clausola 4 del presente SLA.</w:t>
      </w:r>
    </w:p>
    <w:p w14:paraId="54242F7E" w14:textId="77777777" w:rsidR="00513177" w:rsidRPr="00513177" w:rsidRDefault="00513177" w:rsidP="00513177">
      <w:pPr>
        <w:rPr>
          <w:b/>
          <w:bCs/>
        </w:rPr>
      </w:pPr>
      <w:r w:rsidRPr="00513177">
        <w:rPr>
          <w:b/>
          <w:bCs/>
        </w:rPr>
        <w:t>3. Servizi di assistenza e manutenzione correttiva</w:t>
      </w:r>
    </w:p>
    <w:p w14:paraId="0B3EE120" w14:textId="77777777" w:rsidR="00513177" w:rsidRPr="00513177" w:rsidRDefault="00513177" w:rsidP="00513177">
      <w:r w:rsidRPr="00513177">
        <w:rPr>
          <w:b/>
          <w:bCs/>
        </w:rPr>
        <w:t>3.1.</w:t>
      </w:r>
      <w:r w:rsidRPr="00513177">
        <w:t xml:space="preserve"> Secondo le procedure stabilite nel presente SLA, LIDIA assiste l'Utente nella risoluzione di eventuali anomalie e/o incidenti dell'infrastruttura Cloud segnalati dall'Utente (l'"</w:t>
      </w:r>
      <w:r w:rsidRPr="00513177">
        <w:rPr>
          <w:b/>
          <w:bCs/>
        </w:rPr>
        <w:t>Incidente Segnalato</w:t>
      </w:r>
      <w:r w:rsidRPr="00513177">
        <w:t>"), al fine di garantire la continuità dei Servizi (l'"</w:t>
      </w:r>
      <w:r w:rsidRPr="00513177">
        <w:rPr>
          <w:b/>
          <w:bCs/>
        </w:rPr>
        <w:t>Assistenza</w:t>
      </w:r>
      <w:r w:rsidRPr="00513177">
        <w:t>").</w:t>
      </w:r>
    </w:p>
    <w:p w14:paraId="064F2EC4" w14:textId="77777777" w:rsidR="00513177" w:rsidRPr="00513177" w:rsidRDefault="00513177" w:rsidP="00513177">
      <w:pPr>
        <w:rPr>
          <w:b/>
          <w:bCs/>
        </w:rPr>
      </w:pPr>
      <w:r w:rsidRPr="00513177">
        <w:rPr>
          <w:b/>
          <w:bCs/>
        </w:rPr>
        <w:t>3.2. Orario di assistenza</w:t>
      </w:r>
    </w:p>
    <w:p w14:paraId="26C1DA24" w14:textId="77777777" w:rsidR="00513177" w:rsidRPr="00513177" w:rsidRDefault="00513177" w:rsidP="00513177">
      <w:r w:rsidRPr="00513177">
        <w:rPr>
          <w:b/>
          <w:bCs/>
        </w:rPr>
        <w:t>3.2.1.</w:t>
      </w:r>
      <w:r w:rsidRPr="00513177">
        <w:t xml:space="preserve"> L'Assistenza è disponibile dalle ore 9:00 alle 18:00, dal lunedì al venerdì, con esclusione dei giorni festivi secondo il calendario lavorativo italiano.</w:t>
      </w:r>
    </w:p>
    <w:p w14:paraId="75DA4EBF" w14:textId="77777777" w:rsidR="00513177" w:rsidRPr="00513177" w:rsidRDefault="00513177" w:rsidP="00513177">
      <w:pPr>
        <w:rPr>
          <w:b/>
          <w:bCs/>
        </w:rPr>
      </w:pPr>
      <w:r w:rsidRPr="00513177">
        <w:rPr>
          <w:b/>
          <w:bCs/>
        </w:rPr>
        <w:t>3.3. Modalità di contatto</w:t>
      </w:r>
    </w:p>
    <w:p w14:paraId="530BF404" w14:textId="77777777" w:rsidR="00513177" w:rsidRPr="00513177" w:rsidRDefault="00513177" w:rsidP="00513177">
      <w:r w:rsidRPr="00513177">
        <w:rPr>
          <w:b/>
          <w:bCs/>
        </w:rPr>
        <w:t>3.3.1.</w:t>
      </w:r>
      <w:r w:rsidRPr="00513177">
        <w:t xml:space="preserve"> L'Utente richiede l'Assistenza inviando una richiesta a LIDIA all'indirizzo e-mail indicato nel Modulo d'Ordine (la "</w:t>
      </w:r>
      <w:r w:rsidRPr="00513177">
        <w:rPr>
          <w:b/>
          <w:bCs/>
        </w:rPr>
        <w:t>Richiesta di Assistenza</w:t>
      </w:r>
      <w:r w:rsidRPr="00513177">
        <w:t>"). Ove espressamente previsto nel Modulo d'Ordine, l'Utente ha facoltà di inviare la Richiesta di Assistenza tramite il sistema di ticketing online di LIDIA.</w:t>
      </w:r>
    </w:p>
    <w:p w14:paraId="0C9D1665" w14:textId="77777777" w:rsidR="00513177" w:rsidRPr="00513177" w:rsidRDefault="00513177" w:rsidP="00513177">
      <w:pPr>
        <w:rPr>
          <w:b/>
          <w:bCs/>
        </w:rPr>
      </w:pPr>
      <w:r w:rsidRPr="00513177">
        <w:rPr>
          <w:b/>
          <w:bCs/>
        </w:rPr>
        <w:t>3.4. Richiesta di assistenza</w:t>
      </w:r>
    </w:p>
    <w:p w14:paraId="0170EB79" w14:textId="77777777" w:rsidR="00513177" w:rsidRPr="00513177" w:rsidRDefault="00513177" w:rsidP="00513177">
      <w:r w:rsidRPr="00513177">
        <w:rPr>
          <w:b/>
          <w:bCs/>
        </w:rPr>
        <w:t>3.4.1.</w:t>
      </w:r>
      <w:r w:rsidRPr="00513177">
        <w:t xml:space="preserve"> La Richiesta di Assistenza deve contenere tutte le informazioni necessarie e sufficienti a consentire a LIDIA di accettare e gestire tempestivamente ed efficacemente la richiesta stessa, incluse, a titolo esemplificativo e non esaustivo, una descrizione dettagliata del </w:t>
      </w:r>
      <w:r w:rsidRPr="00513177">
        <w:lastRenderedPageBreak/>
        <w:t>problema, eventuali messaggi di errore e l'impatto sull'operatività della Piattaforma LIDIA Legal AI.</w:t>
      </w:r>
    </w:p>
    <w:p w14:paraId="64063F12" w14:textId="77777777" w:rsidR="00513177" w:rsidRPr="00513177" w:rsidRDefault="00513177" w:rsidP="00513177">
      <w:r w:rsidRPr="00513177">
        <w:rPr>
          <w:b/>
          <w:bCs/>
        </w:rPr>
        <w:t>3.4.2.</w:t>
      </w:r>
      <w:r w:rsidRPr="00513177">
        <w:t xml:space="preserve"> Qualora la Richiesta di Assistenza risulti incompleta e priva delle informazioni necessarie, LIDIA: (i) informa l'Utente delle informazioni mancanti; e (ii) il Tempo di Risposta e il Tempo di Risoluzione decorreranno dal momento in cui la Richiesta di Assistenza è integrata e ritenuta completa da LIDIA.</w:t>
      </w:r>
    </w:p>
    <w:p w14:paraId="5EAE85A2" w14:textId="77777777" w:rsidR="00513177" w:rsidRPr="00513177" w:rsidRDefault="00513177" w:rsidP="00513177">
      <w:pPr>
        <w:rPr>
          <w:b/>
          <w:bCs/>
        </w:rPr>
      </w:pPr>
      <w:r w:rsidRPr="00513177">
        <w:rPr>
          <w:b/>
          <w:bCs/>
        </w:rPr>
        <w:t>3.5. Assegnazione della priorità</w:t>
      </w:r>
    </w:p>
    <w:p w14:paraId="684972F6" w14:textId="77777777" w:rsidR="00513177" w:rsidRPr="00513177" w:rsidRDefault="00513177" w:rsidP="00513177">
      <w:r w:rsidRPr="00513177">
        <w:rPr>
          <w:b/>
          <w:bCs/>
        </w:rPr>
        <w:t>3.5.1.</w:t>
      </w:r>
      <w:r w:rsidRPr="00513177">
        <w:t xml:space="preserve"> A seguito di una Richiesta di Assistenza, LIDIA assegna un livello di priorità all'Incidente Segnalato in base all'impatto e all'urgenza, secondo le categorie di seguito indicate e sulla base della propria esclusiva valutazione (l'"</w:t>
      </w:r>
      <w:r w:rsidRPr="00513177">
        <w:rPr>
          <w:b/>
          <w:bCs/>
        </w:rPr>
        <w:t>Assegnazione della Priorità</w:t>
      </w:r>
      <w:r w:rsidRPr="00513177">
        <w:t>"). L'Assegnazione della Priorità si basa su criteri obiettivi, con un punteggio specifico attribuito alla gravità di ciascuna anomalia segnalata dall'Utente, come indicato nella tabella seguente:</w:t>
      </w:r>
    </w:p>
    <w:tbl>
      <w:tblPr>
        <w:tblW w:w="0" w:type="auto"/>
        <w:tblCellMar>
          <w:top w:w="15" w:type="dxa"/>
          <w:left w:w="15" w:type="dxa"/>
          <w:bottom w:w="15" w:type="dxa"/>
          <w:right w:w="15" w:type="dxa"/>
        </w:tblCellMar>
        <w:tblLook w:val="04A0" w:firstRow="1" w:lastRow="0" w:firstColumn="1" w:lastColumn="0" w:noHBand="0" w:noVBand="1"/>
      </w:tblPr>
      <w:tblGrid>
        <w:gridCol w:w="5057"/>
        <w:gridCol w:w="3910"/>
        <w:gridCol w:w="665"/>
      </w:tblGrid>
      <w:tr w:rsidR="00513177" w:rsidRPr="00513177" w14:paraId="6856A479"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4CC42C6" w14:textId="77777777" w:rsidR="00513177" w:rsidRPr="00513177" w:rsidRDefault="00513177" w:rsidP="00513177">
            <w:pPr>
              <w:rPr>
                <w:b/>
                <w:bCs/>
              </w:rPr>
            </w:pPr>
            <w:r w:rsidRPr="00513177">
              <w:rPr>
                <w:b/>
                <w:bCs/>
              </w:rPr>
              <w:t>Criterio obiettivo</w:t>
            </w:r>
          </w:p>
        </w:tc>
        <w:tc>
          <w:tcPr>
            <w:tcW w:w="0" w:type="auto"/>
            <w:tcBorders>
              <w:top w:val="single" w:sz="2" w:space="0" w:color="auto"/>
              <w:left w:val="single" w:sz="2" w:space="0" w:color="auto"/>
              <w:bottom w:val="single" w:sz="2" w:space="0" w:color="auto"/>
              <w:right w:val="single" w:sz="2" w:space="0" w:color="auto"/>
            </w:tcBorders>
            <w:vAlign w:val="center"/>
            <w:hideMark/>
          </w:tcPr>
          <w:p w14:paraId="0B2A85FE" w14:textId="77777777" w:rsidR="00513177" w:rsidRPr="00513177" w:rsidRDefault="00513177" w:rsidP="00513177">
            <w:pPr>
              <w:rPr>
                <w:b/>
                <w:bCs/>
              </w:rPr>
            </w:pPr>
            <w:r w:rsidRPr="00513177">
              <w:rPr>
                <w:b/>
                <w:bCs/>
              </w:rPr>
              <w:t>Impatto sull’operatività</w:t>
            </w:r>
          </w:p>
        </w:tc>
        <w:tc>
          <w:tcPr>
            <w:tcW w:w="0" w:type="auto"/>
            <w:tcBorders>
              <w:top w:val="single" w:sz="2" w:space="0" w:color="auto"/>
              <w:left w:val="single" w:sz="2" w:space="0" w:color="auto"/>
              <w:bottom w:val="single" w:sz="2" w:space="0" w:color="auto"/>
              <w:right w:val="single" w:sz="2" w:space="0" w:color="auto"/>
            </w:tcBorders>
            <w:vAlign w:val="center"/>
            <w:hideMark/>
          </w:tcPr>
          <w:p w14:paraId="79630F80" w14:textId="77777777" w:rsidR="00513177" w:rsidRPr="00513177" w:rsidRDefault="00513177" w:rsidP="00513177">
            <w:pPr>
              <w:rPr>
                <w:b/>
                <w:bCs/>
              </w:rPr>
            </w:pPr>
            <w:r w:rsidRPr="00513177">
              <w:rPr>
                <w:b/>
                <w:bCs/>
              </w:rPr>
              <w:t>Score</w:t>
            </w:r>
          </w:p>
        </w:tc>
      </w:tr>
      <w:tr w:rsidR="00513177" w:rsidRPr="00513177" w14:paraId="0FDCDF4F" w14:textId="77777777">
        <w:tc>
          <w:tcPr>
            <w:tcW w:w="0" w:type="auto"/>
            <w:vMerge w:val="restart"/>
            <w:tcBorders>
              <w:top w:val="single" w:sz="2" w:space="0" w:color="auto"/>
              <w:left w:val="single" w:sz="2" w:space="0" w:color="auto"/>
              <w:bottom w:val="single" w:sz="2" w:space="0" w:color="auto"/>
              <w:right w:val="single" w:sz="2" w:space="0" w:color="auto"/>
            </w:tcBorders>
            <w:vAlign w:val="center"/>
            <w:hideMark/>
          </w:tcPr>
          <w:p w14:paraId="5EF0A347" w14:textId="77777777" w:rsidR="00513177" w:rsidRPr="00513177" w:rsidRDefault="00513177" w:rsidP="00513177">
            <w:pPr>
              <w:rPr>
                <w:b/>
                <w:bCs/>
              </w:rPr>
            </w:pPr>
            <w:r w:rsidRPr="00513177">
              <w:rPr>
                <w:b/>
                <w:bCs/>
              </w:rPr>
              <w:t>Account utenti coinvolti</w:t>
            </w:r>
          </w:p>
        </w:tc>
        <w:tc>
          <w:tcPr>
            <w:tcW w:w="0" w:type="auto"/>
            <w:tcBorders>
              <w:top w:val="single" w:sz="2" w:space="0" w:color="auto"/>
              <w:left w:val="single" w:sz="2" w:space="0" w:color="auto"/>
              <w:bottom w:val="single" w:sz="2" w:space="0" w:color="auto"/>
              <w:right w:val="single" w:sz="2" w:space="0" w:color="auto"/>
            </w:tcBorders>
            <w:vAlign w:val="center"/>
            <w:hideMark/>
          </w:tcPr>
          <w:p w14:paraId="50B4B528" w14:textId="77777777" w:rsidR="00513177" w:rsidRPr="00513177" w:rsidRDefault="00513177" w:rsidP="00513177">
            <w:r w:rsidRPr="00513177">
              <w:t>Meno del 5% del totale degli Account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F969B9E" w14:textId="77777777" w:rsidR="00513177" w:rsidRPr="00513177" w:rsidRDefault="00513177" w:rsidP="00513177">
            <w:r w:rsidRPr="00513177">
              <w:t>0</w:t>
            </w:r>
          </w:p>
        </w:tc>
      </w:tr>
      <w:tr w:rsidR="00513177" w:rsidRPr="00513177" w14:paraId="2DF78D39"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276F842F"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2ED889" w14:textId="77777777" w:rsidR="00513177" w:rsidRPr="00513177" w:rsidRDefault="00513177" w:rsidP="00513177">
            <w:r w:rsidRPr="00513177">
              <w:t>Tra il 5% e il 50% del totale degli Account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C35FB54" w14:textId="77777777" w:rsidR="00513177" w:rsidRPr="00513177" w:rsidRDefault="00513177" w:rsidP="00513177">
            <w:r w:rsidRPr="00513177">
              <w:t>1</w:t>
            </w:r>
          </w:p>
        </w:tc>
      </w:tr>
      <w:tr w:rsidR="00513177" w:rsidRPr="00513177" w14:paraId="256F6DB2"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0CF19708"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B3BC0C9" w14:textId="77777777" w:rsidR="00513177" w:rsidRPr="00513177" w:rsidRDefault="00513177" w:rsidP="00513177">
            <w:r w:rsidRPr="00513177">
              <w:t>Tra il 51% e il 70% del totale degli Account</w:t>
            </w:r>
          </w:p>
        </w:tc>
        <w:tc>
          <w:tcPr>
            <w:tcW w:w="0" w:type="auto"/>
            <w:tcBorders>
              <w:top w:val="single" w:sz="2" w:space="0" w:color="auto"/>
              <w:left w:val="single" w:sz="2" w:space="0" w:color="auto"/>
              <w:bottom w:val="single" w:sz="2" w:space="0" w:color="auto"/>
              <w:right w:val="single" w:sz="2" w:space="0" w:color="auto"/>
            </w:tcBorders>
            <w:vAlign w:val="center"/>
            <w:hideMark/>
          </w:tcPr>
          <w:p w14:paraId="2E5F9F4F" w14:textId="77777777" w:rsidR="00513177" w:rsidRPr="00513177" w:rsidRDefault="00513177" w:rsidP="00513177">
            <w:r w:rsidRPr="00513177">
              <w:t>2</w:t>
            </w:r>
          </w:p>
        </w:tc>
      </w:tr>
      <w:tr w:rsidR="00513177" w:rsidRPr="00513177" w14:paraId="290C8995"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3ED010E4"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F24E2C1" w14:textId="77777777" w:rsidR="00513177" w:rsidRPr="00513177" w:rsidRDefault="00513177" w:rsidP="00513177">
            <w:r w:rsidRPr="00513177">
              <w:t>Oltre il 70% del totale degli Account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BDD7B" w14:textId="77777777" w:rsidR="00513177" w:rsidRPr="00513177" w:rsidRDefault="00513177" w:rsidP="00513177">
            <w:r w:rsidRPr="00513177">
              <w:t>3</w:t>
            </w:r>
          </w:p>
        </w:tc>
      </w:tr>
      <w:tr w:rsidR="00513177" w:rsidRPr="00513177" w14:paraId="774AD9FB" w14:textId="77777777">
        <w:tc>
          <w:tcPr>
            <w:tcW w:w="0" w:type="auto"/>
            <w:vMerge w:val="restart"/>
            <w:tcBorders>
              <w:top w:val="single" w:sz="2" w:space="0" w:color="auto"/>
              <w:left w:val="single" w:sz="2" w:space="0" w:color="auto"/>
              <w:bottom w:val="single" w:sz="2" w:space="0" w:color="auto"/>
              <w:right w:val="single" w:sz="2" w:space="0" w:color="auto"/>
            </w:tcBorders>
            <w:vAlign w:val="center"/>
            <w:hideMark/>
          </w:tcPr>
          <w:p w14:paraId="6106E10F" w14:textId="77777777" w:rsidR="00513177" w:rsidRPr="00513177" w:rsidRDefault="00513177" w:rsidP="00513177">
            <w:pPr>
              <w:rPr>
                <w:b/>
                <w:bCs/>
              </w:rPr>
            </w:pPr>
            <w:r w:rsidRPr="00513177">
              <w:rPr>
                <w:b/>
                <w:bCs/>
              </w:rPr>
              <w:t>Durata dell'interruzione del Servizio al momento della Richiesta</w:t>
            </w:r>
          </w:p>
        </w:tc>
        <w:tc>
          <w:tcPr>
            <w:tcW w:w="0" w:type="auto"/>
            <w:tcBorders>
              <w:top w:val="single" w:sz="2" w:space="0" w:color="auto"/>
              <w:left w:val="single" w:sz="2" w:space="0" w:color="auto"/>
              <w:bottom w:val="single" w:sz="2" w:space="0" w:color="auto"/>
              <w:right w:val="single" w:sz="2" w:space="0" w:color="auto"/>
            </w:tcBorders>
            <w:vAlign w:val="center"/>
            <w:hideMark/>
          </w:tcPr>
          <w:p w14:paraId="5FF4E4AC" w14:textId="77777777" w:rsidR="00513177" w:rsidRPr="00513177" w:rsidRDefault="00513177" w:rsidP="00513177">
            <w:r w:rsidRPr="00513177">
              <w:t>Nessuna informazione disponibile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F58DB9" w14:textId="77777777" w:rsidR="00513177" w:rsidRPr="00513177" w:rsidRDefault="00513177" w:rsidP="00513177">
            <w:r w:rsidRPr="00513177">
              <w:t>0</w:t>
            </w:r>
          </w:p>
        </w:tc>
      </w:tr>
      <w:tr w:rsidR="00513177" w:rsidRPr="00513177" w14:paraId="14DA3321"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0D9961FB"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0508DF5" w14:textId="77777777" w:rsidR="00513177" w:rsidRPr="00513177" w:rsidRDefault="00513177" w:rsidP="00513177">
            <w:r w:rsidRPr="00513177">
              <w:t>Meno di 1 ora</w:t>
            </w:r>
          </w:p>
        </w:tc>
        <w:tc>
          <w:tcPr>
            <w:tcW w:w="0" w:type="auto"/>
            <w:tcBorders>
              <w:top w:val="single" w:sz="2" w:space="0" w:color="auto"/>
              <w:left w:val="single" w:sz="2" w:space="0" w:color="auto"/>
              <w:bottom w:val="single" w:sz="2" w:space="0" w:color="auto"/>
              <w:right w:val="single" w:sz="2" w:space="0" w:color="auto"/>
            </w:tcBorders>
            <w:vAlign w:val="center"/>
            <w:hideMark/>
          </w:tcPr>
          <w:p w14:paraId="3D62DD8D" w14:textId="77777777" w:rsidR="00513177" w:rsidRPr="00513177" w:rsidRDefault="00513177" w:rsidP="00513177">
            <w:r w:rsidRPr="00513177">
              <w:t>1</w:t>
            </w:r>
          </w:p>
        </w:tc>
      </w:tr>
      <w:tr w:rsidR="00513177" w:rsidRPr="00513177" w14:paraId="27EA2E5E"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11E848B7"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73A5226" w14:textId="77777777" w:rsidR="00513177" w:rsidRPr="00513177" w:rsidRDefault="00513177" w:rsidP="00513177">
            <w:r w:rsidRPr="00513177">
              <w:t>Da 1 a 8 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6E4217" w14:textId="77777777" w:rsidR="00513177" w:rsidRPr="00513177" w:rsidRDefault="00513177" w:rsidP="00513177">
            <w:r w:rsidRPr="00513177">
              <w:t>2</w:t>
            </w:r>
          </w:p>
        </w:tc>
      </w:tr>
      <w:tr w:rsidR="00513177" w:rsidRPr="00513177" w14:paraId="4C4A342E"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5E01A6F6"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06F0AE8" w14:textId="77777777" w:rsidR="00513177" w:rsidRPr="00513177" w:rsidRDefault="00513177" w:rsidP="00513177">
            <w:r w:rsidRPr="00513177">
              <w:t xml:space="preserve">Più di </w:t>
            </w:r>
            <w:proofErr w:type="gramStart"/>
            <w:r w:rsidRPr="00513177">
              <w:t>8</w:t>
            </w:r>
            <w:proofErr w:type="gramEnd"/>
            <w:r w:rsidRPr="00513177">
              <w:t xml:space="preserve"> ore</w:t>
            </w:r>
          </w:p>
        </w:tc>
        <w:tc>
          <w:tcPr>
            <w:tcW w:w="0" w:type="auto"/>
            <w:tcBorders>
              <w:top w:val="single" w:sz="2" w:space="0" w:color="auto"/>
              <w:left w:val="single" w:sz="2" w:space="0" w:color="auto"/>
              <w:bottom w:val="single" w:sz="2" w:space="0" w:color="auto"/>
              <w:right w:val="single" w:sz="2" w:space="0" w:color="auto"/>
            </w:tcBorders>
            <w:vAlign w:val="center"/>
            <w:hideMark/>
          </w:tcPr>
          <w:p w14:paraId="3F020A19" w14:textId="77777777" w:rsidR="00513177" w:rsidRPr="00513177" w:rsidRDefault="00513177" w:rsidP="00513177">
            <w:r w:rsidRPr="00513177">
              <w:t>3</w:t>
            </w:r>
          </w:p>
        </w:tc>
      </w:tr>
      <w:tr w:rsidR="00513177" w:rsidRPr="00513177" w14:paraId="5E33952F" w14:textId="77777777">
        <w:tc>
          <w:tcPr>
            <w:tcW w:w="0" w:type="auto"/>
            <w:vMerge w:val="restart"/>
            <w:tcBorders>
              <w:top w:val="single" w:sz="2" w:space="0" w:color="auto"/>
              <w:left w:val="single" w:sz="2" w:space="0" w:color="auto"/>
              <w:bottom w:val="single" w:sz="2" w:space="0" w:color="auto"/>
              <w:right w:val="single" w:sz="2" w:space="0" w:color="auto"/>
            </w:tcBorders>
            <w:vAlign w:val="center"/>
            <w:hideMark/>
          </w:tcPr>
          <w:p w14:paraId="55C09882" w14:textId="77777777" w:rsidR="00513177" w:rsidRPr="00513177" w:rsidRDefault="00513177" w:rsidP="00513177">
            <w:pPr>
              <w:rPr>
                <w:b/>
                <w:bCs/>
              </w:rPr>
            </w:pPr>
            <w:r w:rsidRPr="00513177">
              <w:rPr>
                <w:b/>
                <w:bCs/>
              </w:rPr>
              <w:t>Impatto sulla continuità del Servizio</w:t>
            </w:r>
          </w:p>
        </w:tc>
        <w:tc>
          <w:tcPr>
            <w:tcW w:w="0" w:type="auto"/>
            <w:tcBorders>
              <w:top w:val="single" w:sz="2" w:space="0" w:color="auto"/>
              <w:left w:val="single" w:sz="2" w:space="0" w:color="auto"/>
              <w:bottom w:val="single" w:sz="2" w:space="0" w:color="auto"/>
              <w:right w:val="single" w:sz="2" w:space="0" w:color="auto"/>
            </w:tcBorders>
            <w:vAlign w:val="center"/>
            <w:hideMark/>
          </w:tcPr>
          <w:p w14:paraId="58A79E39" w14:textId="77777777" w:rsidR="00513177" w:rsidRPr="00513177" w:rsidRDefault="00513177" w:rsidP="00513177">
            <w:r w:rsidRPr="00513177">
              <w:t>Nessun impatto</w:t>
            </w:r>
          </w:p>
        </w:tc>
        <w:tc>
          <w:tcPr>
            <w:tcW w:w="0" w:type="auto"/>
            <w:tcBorders>
              <w:top w:val="single" w:sz="2" w:space="0" w:color="auto"/>
              <w:left w:val="single" w:sz="2" w:space="0" w:color="auto"/>
              <w:bottom w:val="single" w:sz="2" w:space="0" w:color="auto"/>
              <w:right w:val="single" w:sz="2" w:space="0" w:color="auto"/>
            </w:tcBorders>
            <w:vAlign w:val="center"/>
            <w:hideMark/>
          </w:tcPr>
          <w:p w14:paraId="316DD93C" w14:textId="77777777" w:rsidR="00513177" w:rsidRPr="00513177" w:rsidRDefault="00513177" w:rsidP="00513177">
            <w:r w:rsidRPr="00513177">
              <w:t>0</w:t>
            </w:r>
          </w:p>
        </w:tc>
      </w:tr>
      <w:tr w:rsidR="00513177" w:rsidRPr="00513177" w14:paraId="66328246"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7BEF035D"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60F814" w14:textId="77777777" w:rsidR="00513177" w:rsidRPr="00513177" w:rsidRDefault="00513177" w:rsidP="00513177">
            <w:r w:rsidRPr="00513177">
              <w:t>Riduzione delle prestazioni del Servizio</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9E351" w14:textId="77777777" w:rsidR="00513177" w:rsidRPr="00513177" w:rsidRDefault="00513177" w:rsidP="00513177">
            <w:r w:rsidRPr="00513177">
              <w:t>1</w:t>
            </w:r>
          </w:p>
        </w:tc>
      </w:tr>
      <w:tr w:rsidR="00513177" w:rsidRPr="00513177" w14:paraId="44E288B2"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3ABCAE57"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379238F" w14:textId="77777777" w:rsidR="00513177" w:rsidRPr="00513177" w:rsidRDefault="00513177" w:rsidP="00513177">
            <w:r w:rsidRPr="00513177">
              <w:t>Servizio intermittente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9560AA1" w14:textId="77777777" w:rsidR="00513177" w:rsidRPr="00513177" w:rsidRDefault="00513177" w:rsidP="00513177">
            <w:r w:rsidRPr="00513177">
              <w:t>2</w:t>
            </w:r>
          </w:p>
        </w:tc>
      </w:tr>
      <w:tr w:rsidR="00513177" w:rsidRPr="00513177" w14:paraId="561F5099"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41A2F612"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3C6EF7A" w14:textId="77777777" w:rsidR="00513177" w:rsidRPr="00513177" w:rsidRDefault="00513177" w:rsidP="00513177">
            <w:r w:rsidRPr="00513177">
              <w:t>Servizio non disponibile</w:t>
            </w:r>
          </w:p>
        </w:tc>
        <w:tc>
          <w:tcPr>
            <w:tcW w:w="0" w:type="auto"/>
            <w:tcBorders>
              <w:top w:val="single" w:sz="2" w:space="0" w:color="auto"/>
              <w:left w:val="single" w:sz="2" w:space="0" w:color="auto"/>
              <w:bottom w:val="single" w:sz="2" w:space="0" w:color="auto"/>
              <w:right w:val="single" w:sz="2" w:space="0" w:color="auto"/>
            </w:tcBorders>
            <w:vAlign w:val="center"/>
            <w:hideMark/>
          </w:tcPr>
          <w:p w14:paraId="21DDD41E" w14:textId="77777777" w:rsidR="00513177" w:rsidRPr="00513177" w:rsidRDefault="00513177" w:rsidP="00513177">
            <w:r w:rsidRPr="00513177">
              <w:t>3</w:t>
            </w:r>
          </w:p>
        </w:tc>
      </w:tr>
      <w:tr w:rsidR="00513177" w:rsidRPr="00513177" w14:paraId="0A96C63A" w14:textId="77777777">
        <w:tc>
          <w:tcPr>
            <w:tcW w:w="0" w:type="auto"/>
            <w:vMerge w:val="restart"/>
            <w:tcBorders>
              <w:top w:val="single" w:sz="2" w:space="0" w:color="auto"/>
              <w:left w:val="single" w:sz="2" w:space="0" w:color="auto"/>
              <w:bottom w:val="single" w:sz="2" w:space="0" w:color="auto"/>
              <w:right w:val="single" w:sz="2" w:space="0" w:color="auto"/>
            </w:tcBorders>
            <w:vAlign w:val="center"/>
            <w:hideMark/>
          </w:tcPr>
          <w:p w14:paraId="0A63E549" w14:textId="77777777" w:rsidR="00513177" w:rsidRPr="00513177" w:rsidRDefault="00513177" w:rsidP="00513177">
            <w:pPr>
              <w:rPr>
                <w:b/>
                <w:bCs/>
              </w:rPr>
            </w:pPr>
            <w:r w:rsidRPr="00513177">
              <w:rPr>
                <w:b/>
                <w:bCs/>
              </w:rPr>
              <w:t>Impatto</w:t>
            </w:r>
          </w:p>
        </w:tc>
        <w:tc>
          <w:tcPr>
            <w:tcW w:w="0" w:type="auto"/>
            <w:tcBorders>
              <w:top w:val="single" w:sz="2" w:space="0" w:color="auto"/>
              <w:left w:val="single" w:sz="2" w:space="0" w:color="auto"/>
              <w:bottom w:val="single" w:sz="2" w:space="0" w:color="auto"/>
              <w:right w:val="single" w:sz="2" w:space="0" w:color="auto"/>
            </w:tcBorders>
            <w:vAlign w:val="center"/>
            <w:hideMark/>
          </w:tcPr>
          <w:p w14:paraId="355FE3FB" w14:textId="77777777" w:rsidR="00513177" w:rsidRPr="00513177" w:rsidRDefault="00513177" w:rsidP="00513177">
            <w:r w:rsidRPr="00513177">
              <w:t>Minimo</w:t>
            </w:r>
          </w:p>
        </w:tc>
        <w:tc>
          <w:tcPr>
            <w:tcW w:w="0" w:type="auto"/>
            <w:tcBorders>
              <w:top w:val="single" w:sz="2" w:space="0" w:color="auto"/>
              <w:left w:val="single" w:sz="2" w:space="0" w:color="auto"/>
              <w:bottom w:val="single" w:sz="2" w:space="0" w:color="auto"/>
              <w:right w:val="single" w:sz="2" w:space="0" w:color="auto"/>
            </w:tcBorders>
            <w:vAlign w:val="center"/>
            <w:hideMark/>
          </w:tcPr>
          <w:p w14:paraId="3AB9F272" w14:textId="77777777" w:rsidR="00513177" w:rsidRPr="00513177" w:rsidRDefault="00513177" w:rsidP="00513177">
            <w:r w:rsidRPr="00513177">
              <w:t>0</w:t>
            </w:r>
          </w:p>
        </w:tc>
      </w:tr>
      <w:tr w:rsidR="00513177" w:rsidRPr="00513177" w14:paraId="43EF2430"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553F4522"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74C0DAD" w14:textId="77777777" w:rsidR="00513177" w:rsidRPr="00513177" w:rsidRDefault="00513177" w:rsidP="00513177">
            <w:r w:rsidRPr="00513177">
              <w:t>Medio</w:t>
            </w:r>
          </w:p>
        </w:tc>
        <w:tc>
          <w:tcPr>
            <w:tcW w:w="0" w:type="auto"/>
            <w:tcBorders>
              <w:top w:val="single" w:sz="2" w:space="0" w:color="auto"/>
              <w:left w:val="single" w:sz="2" w:space="0" w:color="auto"/>
              <w:bottom w:val="single" w:sz="2" w:space="0" w:color="auto"/>
              <w:right w:val="single" w:sz="2" w:space="0" w:color="auto"/>
            </w:tcBorders>
            <w:vAlign w:val="center"/>
            <w:hideMark/>
          </w:tcPr>
          <w:p w14:paraId="3BB5AE5E" w14:textId="77777777" w:rsidR="00513177" w:rsidRPr="00513177" w:rsidRDefault="00513177" w:rsidP="00513177">
            <w:r w:rsidRPr="00513177">
              <w:t>1</w:t>
            </w:r>
          </w:p>
        </w:tc>
      </w:tr>
      <w:tr w:rsidR="00513177" w:rsidRPr="00513177" w14:paraId="25E6EC65"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484C2FB0"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CE3C25" w14:textId="77777777" w:rsidR="00513177" w:rsidRPr="00513177" w:rsidRDefault="00513177" w:rsidP="00513177">
            <w:r w:rsidRPr="00513177">
              <w:t>Elevato (es. danno reputazionale)</w:t>
            </w:r>
          </w:p>
        </w:tc>
        <w:tc>
          <w:tcPr>
            <w:tcW w:w="0" w:type="auto"/>
            <w:tcBorders>
              <w:top w:val="single" w:sz="2" w:space="0" w:color="auto"/>
              <w:left w:val="single" w:sz="2" w:space="0" w:color="auto"/>
              <w:bottom w:val="single" w:sz="2" w:space="0" w:color="auto"/>
              <w:right w:val="single" w:sz="2" w:space="0" w:color="auto"/>
            </w:tcBorders>
            <w:vAlign w:val="center"/>
            <w:hideMark/>
          </w:tcPr>
          <w:p w14:paraId="5BE61CAC" w14:textId="77777777" w:rsidR="00513177" w:rsidRPr="00513177" w:rsidRDefault="00513177" w:rsidP="00513177">
            <w:r w:rsidRPr="00513177">
              <w:t>2</w:t>
            </w:r>
          </w:p>
        </w:tc>
      </w:tr>
      <w:tr w:rsidR="00513177" w:rsidRPr="00513177" w14:paraId="7EBE9563" w14:textId="77777777">
        <w:tc>
          <w:tcPr>
            <w:tcW w:w="0" w:type="auto"/>
            <w:vMerge/>
            <w:tcBorders>
              <w:top w:val="single" w:sz="2" w:space="0" w:color="auto"/>
              <w:left w:val="single" w:sz="2" w:space="0" w:color="auto"/>
              <w:bottom w:val="single" w:sz="2" w:space="0" w:color="auto"/>
              <w:right w:val="single" w:sz="2" w:space="0" w:color="auto"/>
            </w:tcBorders>
            <w:vAlign w:val="center"/>
            <w:hideMark/>
          </w:tcPr>
          <w:p w14:paraId="2707A679" w14:textId="77777777" w:rsidR="00513177" w:rsidRPr="00513177" w:rsidRDefault="00513177" w:rsidP="00513177">
            <w:pPr>
              <w:rPr>
                <w:b/>
                <w:bCs/>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B8A4A3E" w14:textId="77777777" w:rsidR="00513177" w:rsidRPr="00513177" w:rsidRDefault="00513177" w:rsidP="00513177">
            <w:r w:rsidRPr="00513177">
              <w:t>Critico (potenziale impatto sulla sicurezza dei dati)</w:t>
            </w:r>
          </w:p>
        </w:tc>
        <w:tc>
          <w:tcPr>
            <w:tcW w:w="0" w:type="auto"/>
            <w:tcBorders>
              <w:top w:val="single" w:sz="2" w:space="0" w:color="auto"/>
              <w:left w:val="single" w:sz="2" w:space="0" w:color="auto"/>
              <w:bottom w:val="single" w:sz="2" w:space="0" w:color="auto"/>
              <w:right w:val="single" w:sz="2" w:space="0" w:color="auto"/>
            </w:tcBorders>
            <w:vAlign w:val="center"/>
            <w:hideMark/>
          </w:tcPr>
          <w:p w14:paraId="334F2802" w14:textId="77777777" w:rsidR="00513177" w:rsidRPr="00513177" w:rsidRDefault="00513177" w:rsidP="00513177">
            <w:r w:rsidRPr="00513177">
              <w:t>4</w:t>
            </w:r>
          </w:p>
        </w:tc>
      </w:tr>
    </w:tbl>
    <w:p w14:paraId="7075EDCC" w14:textId="77777777" w:rsidR="00513177" w:rsidRPr="00513177" w:rsidRDefault="00513177" w:rsidP="00513177">
      <w:r w:rsidRPr="00513177">
        <w:rPr>
          <w:b/>
          <w:bCs/>
        </w:rPr>
        <w:t>3.5.2.</w:t>
      </w:r>
      <w:r w:rsidRPr="00513177">
        <w:t xml:space="preserve"> I punteggi sono sommati e, in base al valore totale, la Richiesta di Assistenza è classificata come segue:</w:t>
      </w:r>
    </w:p>
    <w:tbl>
      <w:tblPr>
        <w:tblW w:w="0" w:type="auto"/>
        <w:tblCellMar>
          <w:top w:w="15" w:type="dxa"/>
          <w:left w:w="15" w:type="dxa"/>
          <w:bottom w:w="15" w:type="dxa"/>
          <w:right w:w="15" w:type="dxa"/>
        </w:tblCellMar>
        <w:tblLook w:val="04A0" w:firstRow="1" w:lastRow="0" w:firstColumn="1" w:lastColumn="0" w:noHBand="0" w:noVBand="1"/>
      </w:tblPr>
      <w:tblGrid>
        <w:gridCol w:w="1116"/>
        <w:gridCol w:w="2000"/>
      </w:tblGrid>
      <w:tr w:rsidR="00513177" w:rsidRPr="00513177" w14:paraId="2E5231D3"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730AE9B" w14:textId="77777777" w:rsidR="00513177" w:rsidRPr="00513177" w:rsidRDefault="00513177" w:rsidP="00513177">
            <w:pPr>
              <w:rPr>
                <w:b/>
                <w:bCs/>
              </w:rPr>
            </w:pPr>
            <w:r w:rsidRPr="00513177">
              <w:rPr>
                <w:b/>
                <w:bCs/>
              </w:rPr>
              <w:t>Punteggio</w:t>
            </w:r>
          </w:p>
        </w:tc>
        <w:tc>
          <w:tcPr>
            <w:tcW w:w="0" w:type="auto"/>
            <w:tcBorders>
              <w:top w:val="single" w:sz="2" w:space="0" w:color="auto"/>
              <w:left w:val="single" w:sz="2" w:space="0" w:color="auto"/>
              <w:bottom w:val="single" w:sz="2" w:space="0" w:color="auto"/>
              <w:right w:val="single" w:sz="2" w:space="0" w:color="auto"/>
            </w:tcBorders>
            <w:vAlign w:val="center"/>
            <w:hideMark/>
          </w:tcPr>
          <w:p w14:paraId="21A7681F" w14:textId="77777777" w:rsidR="00513177" w:rsidRPr="00513177" w:rsidRDefault="00513177" w:rsidP="00513177">
            <w:pPr>
              <w:rPr>
                <w:b/>
                <w:bCs/>
              </w:rPr>
            </w:pPr>
            <w:r w:rsidRPr="00513177">
              <w:rPr>
                <w:b/>
                <w:bCs/>
              </w:rPr>
              <w:t>Priorità assegnata</w:t>
            </w:r>
          </w:p>
        </w:tc>
      </w:tr>
      <w:tr w:rsidR="00513177" w:rsidRPr="00513177" w14:paraId="2F19F586"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224E26D9" w14:textId="77777777" w:rsidR="00513177" w:rsidRPr="00513177" w:rsidRDefault="00513177" w:rsidP="00513177">
            <w:r w:rsidRPr="00513177">
              <w:t>0–3</w:t>
            </w:r>
          </w:p>
        </w:tc>
        <w:tc>
          <w:tcPr>
            <w:tcW w:w="0" w:type="auto"/>
            <w:tcBorders>
              <w:top w:val="single" w:sz="2" w:space="0" w:color="auto"/>
              <w:left w:val="single" w:sz="2" w:space="0" w:color="auto"/>
              <w:bottom w:val="single" w:sz="2" w:space="0" w:color="auto"/>
              <w:right w:val="single" w:sz="2" w:space="0" w:color="auto"/>
            </w:tcBorders>
            <w:vAlign w:val="center"/>
            <w:hideMark/>
          </w:tcPr>
          <w:p w14:paraId="2B351957" w14:textId="77777777" w:rsidR="00513177" w:rsidRPr="00513177" w:rsidRDefault="00513177" w:rsidP="00513177">
            <w:r w:rsidRPr="00513177">
              <w:t>Bassa</w:t>
            </w:r>
          </w:p>
        </w:tc>
      </w:tr>
      <w:tr w:rsidR="00513177" w:rsidRPr="00513177" w14:paraId="291DEDEC"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1ECE422" w14:textId="77777777" w:rsidR="00513177" w:rsidRPr="00513177" w:rsidRDefault="00513177" w:rsidP="00513177">
            <w:r w:rsidRPr="00513177">
              <w:t>4–5</w:t>
            </w:r>
          </w:p>
        </w:tc>
        <w:tc>
          <w:tcPr>
            <w:tcW w:w="0" w:type="auto"/>
            <w:tcBorders>
              <w:top w:val="single" w:sz="2" w:space="0" w:color="auto"/>
              <w:left w:val="single" w:sz="2" w:space="0" w:color="auto"/>
              <w:bottom w:val="single" w:sz="2" w:space="0" w:color="auto"/>
              <w:right w:val="single" w:sz="2" w:space="0" w:color="auto"/>
            </w:tcBorders>
            <w:vAlign w:val="center"/>
            <w:hideMark/>
          </w:tcPr>
          <w:p w14:paraId="47F8A6A5" w14:textId="77777777" w:rsidR="00513177" w:rsidRPr="00513177" w:rsidRDefault="00513177" w:rsidP="00513177">
            <w:r w:rsidRPr="00513177">
              <w:t>Media</w:t>
            </w:r>
          </w:p>
        </w:tc>
      </w:tr>
      <w:tr w:rsidR="00513177" w:rsidRPr="00513177" w14:paraId="0A49A56F"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7C3D3260" w14:textId="77777777" w:rsidR="00513177" w:rsidRPr="00513177" w:rsidRDefault="00513177" w:rsidP="00513177">
            <w:r w:rsidRPr="00513177">
              <w:t>6–7</w:t>
            </w:r>
          </w:p>
        </w:tc>
        <w:tc>
          <w:tcPr>
            <w:tcW w:w="0" w:type="auto"/>
            <w:tcBorders>
              <w:top w:val="single" w:sz="2" w:space="0" w:color="auto"/>
              <w:left w:val="single" w:sz="2" w:space="0" w:color="auto"/>
              <w:bottom w:val="single" w:sz="2" w:space="0" w:color="auto"/>
              <w:right w:val="single" w:sz="2" w:space="0" w:color="auto"/>
            </w:tcBorders>
            <w:vAlign w:val="center"/>
            <w:hideMark/>
          </w:tcPr>
          <w:p w14:paraId="52C27D31" w14:textId="77777777" w:rsidR="00513177" w:rsidRPr="00513177" w:rsidRDefault="00513177" w:rsidP="00513177">
            <w:r w:rsidRPr="00513177">
              <w:t>Alta</w:t>
            </w:r>
          </w:p>
        </w:tc>
      </w:tr>
      <w:tr w:rsidR="00513177" w:rsidRPr="00513177" w14:paraId="0A867E01"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465C44A1" w14:textId="77777777" w:rsidR="00513177" w:rsidRPr="00513177" w:rsidRDefault="00513177" w:rsidP="00513177">
            <w:r w:rsidRPr="00513177">
              <w:t>8+</w:t>
            </w:r>
          </w:p>
        </w:tc>
        <w:tc>
          <w:tcPr>
            <w:tcW w:w="0" w:type="auto"/>
            <w:tcBorders>
              <w:top w:val="single" w:sz="2" w:space="0" w:color="auto"/>
              <w:left w:val="single" w:sz="2" w:space="0" w:color="auto"/>
              <w:bottom w:val="single" w:sz="2" w:space="0" w:color="auto"/>
              <w:right w:val="single" w:sz="2" w:space="0" w:color="auto"/>
            </w:tcBorders>
            <w:vAlign w:val="center"/>
            <w:hideMark/>
          </w:tcPr>
          <w:p w14:paraId="5CC19BE5" w14:textId="77777777" w:rsidR="00513177" w:rsidRPr="00513177" w:rsidRDefault="00513177" w:rsidP="00513177">
            <w:r w:rsidRPr="00513177">
              <w:t>Critica</w:t>
            </w:r>
          </w:p>
        </w:tc>
      </w:tr>
    </w:tbl>
    <w:p w14:paraId="649CAFB9" w14:textId="77777777" w:rsidR="00513177" w:rsidRPr="00513177" w:rsidRDefault="00513177" w:rsidP="00513177">
      <w:pPr>
        <w:rPr>
          <w:b/>
          <w:bCs/>
        </w:rPr>
      </w:pPr>
      <w:r w:rsidRPr="00513177">
        <w:rPr>
          <w:b/>
          <w:bCs/>
        </w:rPr>
        <w:t>3.6. Tempo di risposta</w:t>
      </w:r>
    </w:p>
    <w:p w14:paraId="6A0E315C" w14:textId="77777777" w:rsidR="00513177" w:rsidRPr="00513177" w:rsidRDefault="00513177" w:rsidP="00513177">
      <w:r w:rsidRPr="00513177">
        <w:rPr>
          <w:b/>
          <w:bCs/>
        </w:rPr>
        <w:t>3.6.1.</w:t>
      </w:r>
      <w:r w:rsidRPr="00513177">
        <w:t xml:space="preserve"> LIDIA garantisce i seguenti Tempi di Risposta in base all'Assegnazione della Priorità:</w:t>
      </w:r>
    </w:p>
    <w:p w14:paraId="3D887881" w14:textId="77777777" w:rsidR="00513177" w:rsidRPr="00513177" w:rsidRDefault="00513177" w:rsidP="00513177">
      <w:pPr>
        <w:numPr>
          <w:ilvl w:val="0"/>
          <w:numId w:val="19"/>
        </w:numPr>
      </w:pPr>
      <w:r w:rsidRPr="00513177">
        <w:t>Problemi di priorità Bassa — entro 40 ore lavorative</w:t>
      </w:r>
    </w:p>
    <w:p w14:paraId="3783BDC9" w14:textId="77777777" w:rsidR="00513177" w:rsidRPr="00513177" w:rsidRDefault="00513177" w:rsidP="00513177">
      <w:pPr>
        <w:numPr>
          <w:ilvl w:val="0"/>
          <w:numId w:val="19"/>
        </w:numPr>
      </w:pPr>
      <w:r w:rsidRPr="00513177">
        <w:t>Problemi di priorità Media — entro 12 ore lavorative</w:t>
      </w:r>
    </w:p>
    <w:p w14:paraId="5414A874" w14:textId="77777777" w:rsidR="00513177" w:rsidRPr="00513177" w:rsidRDefault="00513177" w:rsidP="00513177">
      <w:pPr>
        <w:numPr>
          <w:ilvl w:val="0"/>
          <w:numId w:val="19"/>
        </w:numPr>
      </w:pPr>
      <w:r w:rsidRPr="00513177">
        <w:t xml:space="preserve">Problemi di priorità Alta — entro </w:t>
      </w:r>
      <w:proofErr w:type="gramStart"/>
      <w:r w:rsidRPr="00513177">
        <w:t>4</w:t>
      </w:r>
      <w:proofErr w:type="gramEnd"/>
      <w:r w:rsidRPr="00513177">
        <w:t xml:space="preserve"> ore lavorative</w:t>
      </w:r>
    </w:p>
    <w:p w14:paraId="378F3B37" w14:textId="77777777" w:rsidR="00513177" w:rsidRPr="00513177" w:rsidRDefault="00513177" w:rsidP="00513177">
      <w:pPr>
        <w:numPr>
          <w:ilvl w:val="0"/>
          <w:numId w:val="19"/>
        </w:numPr>
      </w:pPr>
      <w:r w:rsidRPr="00513177">
        <w:t>Problemi di priorità Critica — entro 1 ora lavorativa</w:t>
      </w:r>
    </w:p>
    <w:p w14:paraId="0CDF74FD" w14:textId="77777777" w:rsidR="00513177" w:rsidRPr="00513177" w:rsidRDefault="00513177" w:rsidP="00513177">
      <w:pPr>
        <w:rPr>
          <w:b/>
          <w:bCs/>
        </w:rPr>
      </w:pPr>
      <w:r w:rsidRPr="00513177">
        <w:rPr>
          <w:b/>
          <w:bCs/>
        </w:rPr>
        <w:t>3.7. Tempo di risoluzione</w:t>
      </w:r>
    </w:p>
    <w:p w14:paraId="7397D6BD" w14:textId="77777777" w:rsidR="00513177" w:rsidRPr="00513177" w:rsidRDefault="00513177" w:rsidP="00513177">
      <w:r w:rsidRPr="00513177">
        <w:rPr>
          <w:b/>
          <w:bCs/>
        </w:rPr>
        <w:t>3.7.1.</w:t>
      </w:r>
      <w:r w:rsidRPr="00513177">
        <w:t xml:space="preserve"> Nell'ambito del Tempo di Risposta, LIDIA si impegna a informare l'Utente, attraverso lo stesso strumento di segnalazione previsto dalla Clausola 3.3 del presente SLA, in merito a: (i) la presa in carico dell'Incidente Segnalato; e (ii) il Tempo di Risoluzione stimato.</w:t>
      </w:r>
    </w:p>
    <w:p w14:paraId="2315FFC8" w14:textId="77777777" w:rsidR="00513177" w:rsidRPr="00513177" w:rsidRDefault="00513177" w:rsidP="00513177">
      <w:pPr>
        <w:rPr>
          <w:b/>
          <w:bCs/>
        </w:rPr>
      </w:pPr>
      <w:r w:rsidRPr="00513177">
        <w:rPr>
          <w:b/>
          <w:bCs/>
        </w:rPr>
        <w:t>4. Limitazioni al servizio di assistenza</w:t>
      </w:r>
    </w:p>
    <w:p w14:paraId="1E025D85" w14:textId="77777777" w:rsidR="00513177" w:rsidRPr="00513177" w:rsidRDefault="00513177" w:rsidP="00513177">
      <w:r w:rsidRPr="00513177">
        <w:rPr>
          <w:b/>
          <w:bCs/>
        </w:rPr>
        <w:t>4.1.</w:t>
      </w:r>
      <w:r w:rsidRPr="00513177">
        <w:t xml:space="preserve"> L'Utente non ha diritto ad alcun Servizio di Assistenza nei seguenti casi:</w:t>
      </w:r>
    </w:p>
    <w:p w14:paraId="5BCA8431" w14:textId="77777777" w:rsidR="00513177" w:rsidRPr="00513177" w:rsidRDefault="00513177" w:rsidP="00513177">
      <w:pPr>
        <w:numPr>
          <w:ilvl w:val="0"/>
          <w:numId w:val="20"/>
        </w:numPr>
      </w:pPr>
      <w:r w:rsidRPr="00513177">
        <w:t>impossibilità dell'Utente di connettersi a Internet;</w:t>
      </w:r>
    </w:p>
    <w:p w14:paraId="033E3395" w14:textId="77777777" w:rsidR="00513177" w:rsidRPr="00513177" w:rsidRDefault="00513177" w:rsidP="00513177">
      <w:pPr>
        <w:numPr>
          <w:ilvl w:val="0"/>
          <w:numId w:val="20"/>
        </w:numPr>
      </w:pPr>
      <w:r w:rsidRPr="00513177">
        <w:t>mancato utilizzo da parte dell'Utente della Piattaforma LIDIA Legal AI in conformità all’Accordo;</w:t>
      </w:r>
    </w:p>
    <w:p w14:paraId="044D7E33" w14:textId="77777777" w:rsidR="00513177" w:rsidRPr="00513177" w:rsidRDefault="00513177" w:rsidP="00513177">
      <w:pPr>
        <w:numPr>
          <w:ilvl w:val="0"/>
          <w:numId w:val="20"/>
        </w:numPr>
      </w:pPr>
      <w:r w:rsidRPr="00513177">
        <w:t xml:space="preserve">eventi di Forza Maggiore come definiti alla </w:t>
      </w:r>
      <w:hyperlink r:id="rId15" w:history="1">
        <w:r w:rsidRPr="00513177">
          <w:rPr>
            <w:rStyle w:val="Collegamentoipertestuale"/>
          </w:rPr>
          <w:t>clausola 11.8 dei Termini e Condizioni Generali</w:t>
        </w:r>
      </w:hyperlink>
      <w:r w:rsidRPr="00513177">
        <w:t>;</w:t>
      </w:r>
    </w:p>
    <w:p w14:paraId="2BEF1E4F" w14:textId="77777777" w:rsidR="00513177" w:rsidRPr="00513177" w:rsidRDefault="00513177" w:rsidP="00513177">
      <w:pPr>
        <w:numPr>
          <w:ilvl w:val="0"/>
          <w:numId w:val="20"/>
        </w:numPr>
      </w:pPr>
      <w:r w:rsidRPr="00513177">
        <w:t>utilizzo della Piattaforma LIDIA Legal AI per finalità diverse da quelle espressamente previste dall’Accordo.</w:t>
      </w:r>
    </w:p>
    <w:p w14:paraId="0F6A7484" w14:textId="77777777" w:rsidR="00513177" w:rsidRPr="00513177" w:rsidRDefault="00513177" w:rsidP="00513177">
      <w:pPr>
        <w:rPr>
          <w:b/>
          <w:bCs/>
        </w:rPr>
      </w:pPr>
      <w:r w:rsidRPr="00513177">
        <w:rPr>
          <w:b/>
          <w:bCs/>
        </w:rPr>
        <w:t>5. Manutenzione</w:t>
      </w:r>
    </w:p>
    <w:p w14:paraId="02049C8C" w14:textId="77777777" w:rsidR="00513177" w:rsidRPr="00513177" w:rsidRDefault="00513177" w:rsidP="00513177">
      <w:pPr>
        <w:rPr>
          <w:b/>
          <w:bCs/>
        </w:rPr>
      </w:pPr>
      <w:r w:rsidRPr="00513177">
        <w:rPr>
          <w:b/>
          <w:bCs/>
        </w:rPr>
        <w:lastRenderedPageBreak/>
        <w:t>5.1. Manutenzione programmata</w:t>
      </w:r>
    </w:p>
    <w:p w14:paraId="05F6659E" w14:textId="77777777" w:rsidR="00513177" w:rsidRPr="00513177" w:rsidRDefault="00513177" w:rsidP="00513177">
      <w:r w:rsidRPr="00513177">
        <w:rPr>
          <w:b/>
          <w:bCs/>
        </w:rPr>
        <w:t>5.1.1.</w:t>
      </w:r>
      <w:r w:rsidRPr="00513177">
        <w:t xml:space="preserve"> LIDIA ha facoltà di sospendere l'accesso alla Piattaforma LIDIA Legal AI per effettuare interventi di manutenzione da svolgersi nelle fasce orarie a bassa operatività, con un preavviso di almeno 48 ore all'Utente (la “</w:t>
      </w:r>
      <w:r w:rsidRPr="00513177">
        <w:rPr>
          <w:b/>
          <w:bCs/>
        </w:rPr>
        <w:t>Manutenzione Programmata</w:t>
      </w:r>
      <w:r w:rsidRPr="00513177">
        <w:t>”).</w:t>
      </w:r>
    </w:p>
    <w:p w14:paraId="58A50374" w14:textId="77777777" w:rsidR="00513177" w:rsidRPr="00513177" w:rsidRDefault="00513177" w:rsidP="00513177">
      <w:r w:rsidRPr="00513177">
        <w:rPr>
          <w:b/>
          <w:bCs/>
        </w:rPr>
        <w:t>5.1.2.</w:t>
      </w:r>
      <w:r w:rsidRPr="00513177">
        <w:t xml:space="preserve"> Le Interruzioni della Piattaforma LIDIA Legal AI durante la Manutenzione Programmata non sono computate ai fini del calcolo dell'Impegno di Disponibilità.</w:t>
      </w:r>
    </w:p>
    <w:p w14:paraId="4D824FEF" w14:textId="77777777" w:rsidR="00513177" w:rsidRPr="00513177" w:rsidRDefault="00513177" w:rsidP="00513177">
      <w:pPr>
        <w:rPr>
          <w:b/>
          <w:bCs/>
        </w:rPr>
      </w:pPr>
      <w:r w:rsidRPr="00513177">
        <w:rPr>
          <w:b/>
          <w:bCs/>
        </w:rPr>
        <w:t>5.2. Manutenzione di emergenza</w:t>
      </w:r>
    </w:p>
    <w:p w14:paraId="1B41721F" w14:textId="77777777" w:rsidR="00513177" w:rsidRPr="00513177" w:rsidRDefault="00513177" w:rsidP="00513177">
      <w:r w:rsidRPr="00513177">
        <w:rPr>
          <w:b/>
          <w:bCs/>
        </w:rPr>
        <w:t>5.2.1.</w:t>
      </w:r>
      <w:r w:rsidRPr="00513177">
        <w:t xml:space="preserve"> Per “</w:t>
      </w:r>
      <w:r w:rsidRPr="00513177">
        <w:rPr>
          <w:b/>
          <w:bCs/>
        </w:rPr>
        <w:t>Manutenzione di Emergenza</w:t>
      </w:r>
      <w:r w:rsidRPr="00513177">
        <w:t>” si intendono gli interventi di riparazione o aggiornamento non pianificati e immediati, necessari per far fronte a problemi critici o vulnerabilità della Piattaforma LIDIA Legal AI derivanti da circostanze impreviste che potrebbero causare gravi interruzioni del servizio, perdita di dati, violazioni della sicurezza o significativo degrado delle prestazioni della Piattaforma LIDIA Legal AI. Tale manutenzione è indispensabile per preservare l'integrità, la sicurezza e la disponibilità della Piattaforma e per prevenire guasti sistemici più estesi.</w:t>
      </w:r>
    </w:p>
    <w:p w14:paraId="38C3D120" w14:textId="77777777" w:rsidR="00513177" w:rsidRPr="00513177" w:rsidRDefault="00513177" w:rsidP="00513177">
      <w:r w:rsidRPr="00513177">
        <w:rPr>
          <w:b/>
          <w:bCs/>
        </w:rPr>
        <w:t>5.2.2.</w:t>
      </w:r>
      <w:r w:rsidRPr="00513177">
        <w:t xml:space="preserve"> In caso di Manutenzione di Emergenza, LIDIA provvede a:</w:t>
      </w:r>
    </w:p>
    <w:p w14:paraId="4B3A8580" w14:textId="77777777" w:rsidR="00513177" w:rsidRPr="00513177" w:rsidRDefault="00513177" w:rsidP="00513177">
      <w:pPr>
        <w:numPr>
          <w:ilvl w:val="0"/>
          <w:numId w:val="21"/>
        </w:numPr>
      </w:pPr>
      <w:r w:rsidRPr="00513177">
        <w:t>notificare immediatamente all'Utente la Manutenzione di Emergenza, indicando: (i) una breve descrizione del problema e del suo potenziale impatto; (ii) l'orario di inizio previsto e la durata stimata della manutenzione; (iii) le interruzioni o degradazioni del Servizio attese durante il periodo di manutenzione;</w:t>
      </w:r>
    </w:p>
    <w:p w14:paraId="1F206747" w14:textId="77777777" w:rsidR="00513177" w:rsidRPr="00513177" w:rsidRDefault="00513177" w:rsidP="00513177">
      <w:pPr>
        <w:numPr>
          <w:ilvl w:val="0"/>
          <w:numId w:val="21"/>
        </w:numPr>
      </w:pPr>
      <w:r w:rsidRPr="00513177">
        <w:t>adoperarsi ragionevolmente per completare la Manutenzione di Emergenza nel più breve tempo ragionevolmente praticabile nelle circostanze date, al fine di ridurre al minimo l'impatto sull'operatività della Piattaforma LIDIA Legal AI.</w:t>
      </w:r>
    </w:p>
    <w:p w14:paraId="3926D839" w14:textId="77777777" w:rsidR="00513177" w:rsidRPr="00513177" w:rsidRDefault="00513177" w:rsidP="00513177">
      <w:r w:rsidRPr="00513177">
        <w:rPr>
          <w:b/>
          <w:bCs/>
        </w:rPr>
        <w:t>5.2.3.</w:t>
      </w:r>
      <w:r w:rsidRPr="00513177">
        <w:t xml:space="preserve"> L'Utente riconosce che la Manutenzione di Emergenza è essenziale per preservare la sicurezza del servizio e che eventuali disagi o Interruzioni verificatisi durante tale manutenzione sono necessari per la protezione della Piattaforma LIDIA Legal AI e dei suoi Utenti. Pertanto, l'Utente conviene che le Interruzioni dovute alla Manutenzione di Emergenza sono escluse dal calcolo dell'Impegno di Disponibilità e non costituiscono inadempimento del presente SLA.</w:t>
      </w:r>
    </w:p>
    <w:p w14:paraId="2241DCD9" w14:textId="77777777" w:rsidR="00513177" w:rsidRPr="00513177" w:rsidRDefault="00513177" w:rsidP="00513177">
      <w:pPr>
        <w:rPr>
          <w:b/>
          <w:bCs/>
        </w:rPr>
      </w:pPr>
      <w:r w:rsidRPr="00513177">
        <w:rPr>
          <w:b/>
          <w:bCs/>
        </w:rPr>
        <w:t>6. Sicurezza</w:t>
      </w:r>
    </w:p>
    <w:p w14:paraId="53C23803" w14:textId="77777777" w:rsidR="00513177" w:rsidRPr="00513177" w:rsidRDefault="00513177" w:rsidP="00513177">
      <w:r w:rsidRPr="00513177">
        <w:rPr>
          <w:b/>
          <w:bCs/>
        </w:rPr>
        <w:t>6.1.</w:t>
      </w:r>
      <w:r w:rsidRPr="00513177">
        <w:t xml:space="preserve"> Ulteriori disposizioni in materia di (i) politiche e procedure di sicurezza e (ii) procedure di trattamento dei dati sono contenute nella </w:t>
      </w:r>
      <w:hyperlink r:id="rId16" w:history="1">
        <w:r w:rsidRPr="00513177">
          <w:rPr>
            <w:rStyle w:val="Collegamentoipertestuale"/>
          </w:rPr>
          <w:t>Politica di Sicurezza</w:t>
        </w:r>
      </w:hyperlink>
      <w:r w:rsidRPr="00513177">
        <w:t xml:space="preserve"> e nell’</w:t>
      </w:r>
      <w:hyperlink r:id="rId17" w:history="1">
        <w:r w:rsidRPr="00513177">
          <w:rPr>
            <w:rStyle w:val="Collegamentoipertestuale"/>
          </w:rPr>
          <w:t>Accordo sul Trattamento dei Dati</w:t>
        </w:r>
      </w:hyperlink>
      <w:r w:rsidRPr="00513177">
        <w:t>, che costituiscono parte integrante dell’Accordo.</w:t>
      </w:r>
    </w:p>
    <w:p w14:paraId="5A2F69A3" w14:textId="77777777" w:rsidR="00513177" w:rsidRPr="00513177" w:rsidRDefault="00513177" w:rsidP="00513177"/>
    <w:sectPr w:rsidR="00513177" w:rsidRPr="0051317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B75"/>
    <w:multiLevelType w:val="hybridMultilevel"/>
    <w:tmpl w:val="4F4A5D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43C21DB"/>
    <w:multiLevelType w:val="multilevel"/>
    <w:tmpl w:val="054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64A90"/>
    <w:multiLevelType w:val="hybridMultilevel"/>
    <w:tmpl w:val="FDEC03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7016AB5"/>
    <w:multiLevelType w:val="hybridMultilevel"/>
    <w:tmpl w:val="BACA84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287D93"/>
    <w:multiLevelType w:val="hybridMultilevel"/>
    <w:tmpl w:val="7ADE392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EA136B9"/>
    <w:multiLevelType w:val="multilevel"/>
    <w:tmpl w:val="26CE037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1D051AB"/>
    <w:multiLevelType w:val="hybridMultilevel"/>
    <w:tmpl w:val="FBC6977A"/>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F309E4"/>
    <w:multiLevelType w:val="hybridMultilevel"/>
    <w:tmpl w:val="84E02BF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B9A6C82"/>
    <w:multiLevelType w:val="hybridMultilevel"/>
    <w:tmpl w:val="C5389B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22D1FF8"/>
    <w:multiLevelType w:val="multilevel"/>
    <w:tmpl w:val="3D2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6105F"/>
    <w:multiLevelType w:val="hybridMultilevel"/>
    <w:tmpl w:val="85C68736"/>
    <w:lvl w:ilvl="0" w:tplc="9698BA46">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2882A09"/>
    <w:multiLevelType w:val="multilevel"/>
    <w:tmpl w:val="CDF496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71D757F"/>
    <w:multiLevelType w:val="hybridMultilevel"/>
    <w:tmpl w:val="9A36A5C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7B47CC0"/>
    <w:multiLevelType w:val="multilevel"/>
    <w:tmpl w:val="5B565C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BF05DFF"/>
    <w:multiLevelType w:val="multilevel"/>
    <w:tmpl w:val="ACA249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617E6760"/>
    <w:multiLevelType w:val="hybridMultilevel"/>
    <w:tmpl w:val="CDE458C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272739C"/>
    <w:multiLevelType w:val="multilevel"/>
    <w:tmpl w:val="D97A9B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63C14184"/>
    <w:multiLevelType w:val="multilevel"/>
    <w:tmpl w:val="433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2634D8"/>
    <w:multiLevelType w:val="hybridMultilevel"/>
    <w:tmpl w:val="953CB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61272EA"/>
    <w:multiLevelType w:val="hybridMultilevel"/>
    <w:tmpl w:val="B854FB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B9F4F26"/>
    <w:multiLevelType w:val="hybridMultilevel"/>
    <w:tmpl w:val="F5A67610"/>
    <w:lvl w:ilvl="0" w:tplc="00D8C682">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14666982">
    <w:abstractNumId w:val="3"/>
  </w:num>
  <w:num w:numId="2" w16cid:durableId="1335644646">
    <w:abstractNumId w:val="8"/>
  </w:num>
  <w:num w:numId="3" w16cid:durableId="768887778">
    <w:abstractNumId w:val="18"/>
  </w:num>
  <w:num w:numId="4" w16cid:durableId="1540431180">
    <w:abstractNumId w:val="7"/>
  </w:num>
  <w:num w:numId="5" w16cid:durableId="169222539">
    <w:abstractNumId w:val="20"/>
  </w:num>
  <w:num w:numId="6" w16cid:durableId="251472953">
    <w:abstractNumId w:val="10"/>
  </w:num>
  <w:num w:numId="7" w16cid:durableId="1058473683">
    <w:abstractNumId w:val="6"/>
  </w:num>
  <w:num w:numId="8" w16cid:durableId="1652901052">
    <w:abstractNumId w:val="17"/>
  </w:num>
  <w:num w:numId="9" w16cid:durableId="1925796833">
    <w:abstractNumId w:val="1"/>
  </w:num>
  <w:num w:numId="10" w16cid:durableId="1501579333">
    <w:abstractNumId w:val="9"/>
  </w:num>
  <w:num w:numId="11" w16cid:durableId="360013168">
    <w:abstractNumId w:val="15"/>
  </w:num>
  <w:num w:numId="12" w16cid:durableId="1334802493">
    <w:abstractNumId w:val="2"/>
  </w:num>
  <w:num w:numId="13" w16cid:durableId="851265066">
    <w:abstractNumId w:val="0"/>
  </w:num>
  <w:num w:numId="14" w16cid:durableId="1978795034">
    <w:abstractNumId w:val="19"/>
  </w:num>
  <w:num w:numId="15" w16cid:durableId="242682635">
    <w:abstractNumId w:val="12"/>
  </w:num>
  <w:num w:numId="16" w16cid:durableId="411925663">
    <w:abstractNumId w:val="4"/>
  </w:num>
  <w:num w:numId="17" w16cid:durableId="809789475">
    <w:abstractNumId w:val="5"/>
  </w:num>
  <w:num w:numId="18" w16cid:durableId="2135251385">
    <w:abstractNumId w:val="11"/>
  </w:num>
  <w:num w:numId="19" w16cid:durableId="363487874">
    <w:abstractNumId w:val="13"/>
  </w:num>
  <w:num w:numId="20" w16cid:durableId="49422903">
    <w:abstractNumId w:val="14"/>
  </w:num>
  <w:num w:numId="21" w16cid:durableId="15775204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72"/>
    <w:rsid w:val="000C3672"/>
    <w:rsid w:val="00160624"/>
    <w:rsid w:val="00392C6E"/>
    <w:rsid w:val="00513177"/>
    <w:rsid w:val="00531CA4"/>
    <w:rsid w:val="00543A9F"/>
    <w:rsid w:val="00691570"/>
    <w:rsid w:val="006C23A5"/>
    <w:rsid w:val="009307AA"/>
    <w:rsid w:val="00A37A27"/>
    <w:rsid w:val="00CC68A0"/>
    <w:rsid w:val="00D17638"/>
    <w:rsid w:val="00D57410"/>
    <w:rsid w:val="00D71D93"/>
    <w:rsid w:val="00E466A5"/>
    <w:rsid w:val="00EB7F0A"/>
    <w:rsid w:val="00F22A6D"/>
    <w:rsid w:val="00F46B25"/>
    <w:rsid w:val="00FA1B72"/>
    <w:rsid w:val="00FB64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7B07"/>
  <w15:chartTrackingRefBased/>
  <w15:docId w15:val="{D43CC578-640C-4A82-A05D-CBB4C794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3177"/>
  </w:style>
  <w:style w:type="paragraph" w:styleId="Titolo1">
    <w:name w:val="heading 1"/>
    <w:basedOn w:val="Normale"/>
    <w:next w:val="Normale"/>
    <w:link w:val="Titolo1Carattere"/>
    <w:uiPriority w:val="9"/>
    <w:qFormat/>
    <w:rsid w:val="000C3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C3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C367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C367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C367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C367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C367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C367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C367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C367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C367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C367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C367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C367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C367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C367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C367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C3672"/>
    <w:rPr>
      <w:rFonts w:eastAsiaTheme="majorEastAsia" w:cstheme="majorBidi"/>
      <w:color w:val="272727" w:themeColor="text1" w:themeTint="D8"/>
    </w:rPr>
  </w:style>
  <w:style w:type="paragraph" w:styleId="Titolo">
    <w:name w:val="Title"/>
    <w:basedOn w:val="Normale"/>
    <w:next w:val="Normale"/>
    <w:link w:val="TitoloCarattere"/>
    <w:uiPriority w:val="10"/>
    <w:qFormat/>
    <w:rsid w:val="000C3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C367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C367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C367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C367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C3672"/>
    <w:rPr>
      <w:i/>
      <w:iCs/>
      <w:color w:val="404040" w:themeColor="text1" w:themeTint="BF"/>
    </w:rPr>
  </w:style>
  <w:style w:type="paragraph" w:styleId="Paragrafoelenco">
    <w:name w:val="List Paragraph"/>
    <w:basedOn w:val="Normale"/>
    <w:uiPriority w:val="34"/>
    <w:qFormat/>
    <w:rsid w:val="000C3672"/>
    <w:pPr>
      <w:ind w:left="720"/>
      <w:contextualSpacing/>
    </w:pPr>
  </w:style>
  <w:style w:type="character" w:styleId="Enfasiintensa">
    <w:name w:val="Intense Emphasis"/>
    <w:basedOn w:val="Carpredefinitoparagrafo"/>
    <w:uiPriority w:val="21"/>
    <w:qFormat/>
    <w:rsid w:val="000C3672"/>
    <w:rPr>
      <w:i/>
      <w:iCs/>
      <w:color w:val="0F4761" w:themeColor="accent1" w:themeShade="BF"/>
    </w:rPr>
  </w:style>
  <w:style w:type="paragraph" w:styleId="Citazioneintensa">
    <w:name w:val="Intense Quote"/>
    <w:basedOn w:val="Normale"/>
    <w:next w:val="Normale"/>
    <w:link w:val="CitazioneintensaCarattere"/>
    <w:uiPriority w:val="30"/>
    <w:qFormat/>
    <w:rsid w:val="000C3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C3672"/>
    <w:rPr>
      <w:i/>
      <w:iCs/>
      <w:color w:val="0F4761" w:themeColor="accent1" w:themeShade="BF"/>
    </w:rPr>
  </w:style>
  <w:style w:type="character" w:styleId="Riferimentointenso">
    <w:name w:val="Intense Reference"/>
    <w:basedOn w:val="Carpredefinitoparagrafo"/>
    <w:uiPriority w:val="32"/>
    <w:qFormat/>
    <w:rsid w:val="000C3672"/>
    <w:rPr>
      <w:b/>
      <w:bCs/>
      <w:smallCaps/>
      <w:color w:val="0F4761" w:themeColor="accent1" w:themeShade="BF"/>
      <w:spacing w:val="5"/>
    </w:rPr>
  </w:style>
  <w:style w:type="paragraph" w:styleId="NormaleWeb">
    <w:name w:val="Normal (Web)"/>
    <w:basedOn w:val="Normale"/>
    <w:uiPriority w:val="99"/>
    <w:semiHidden/>
    <w:unhideWhenUsed/>
    <w:rsid w:val="000C3672"/>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customStyle="1" w:styleId="wp-block-paragraph">
    <w:name w:val="wp-block-paragraph"/>
    <w:basedOn w:val="Normale"/>
    <w:rsid w:val="00D17638"/>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17638"/>
    <w:rPr>
      <w:b/>
      <w:bCs/>
    </w:rPr>
  </w:style>
  <w:style w:type="character" w:styleId="Collegamentoipertestuale">
    <w:name w:val="Hyperlink"/>
    <w:basedOn w:val="Carpredefinitoparagrafo"/>
    <w:uiPriority w:val="99"/>
    <w:unhideWhenUsed/>
    <w:rsid w:val="00513177"/>
    <w:rPr>
      <w:color w:val="467886" w:themeColor="hyperlink"/>
      <w:u w:val="single"/>
    </w:rPr>
  </w:style>
  <w:style w:type="character" w:styleId="Menzionenonrisolta">
    <w:name w:val="Unresolved Mention"/>
    <w:basedOn w:val="Carpredefinitoparagrafo"/>
    <w:uiPriority w:val="99"/>
    <w:semiHidden/>
    <w:unhideWhenUsed/>
    <w:rsid w:val="00513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ECS/latest/developerguide/fargate-security-considerations.html" TargetMode="External"/><Relationship Id="rId13" Type="http://schemas.openxmlformats.org/officeDocument/2006/relationships/hyperlink" Target="https://www.lidiatech.ai/it/gtc"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docs/atlas/architecture/current/data-encryption/" TargetMode="External"/><Relationship Id="rId12" Type="http://schemas.openxmlformats.org/officeDocument/2006/relationships/hyperlink" Target="https://www.lidiatech.ai/it/gtc" TargetMode="External"/><Relationship Id="rId17" Type="http://schemas.openxmlformats.org/officeDocument/2006/relationships/hyperlink" Target="https://www.lidiatech.ai/it/dpa" TargetMode="External"/><Relationship Id="rId2" Type="http://schemas.openxmlformats.org/officeDocument/2006/relationships/styles" Target="styles.xml"/><Relationship Id="rId16" Type="http://schemas.openxmlformats.org/officeDocument/2006/relationships/hyperlink" Target="https://www.lidiatech.ai/it/annex-a" TargetMode="External"/><Relationship Id="rId1" Type="http://schemas.openxmlformats.org/officeDocument/2006/relationships/numbering" Target="numbering.xml"/><Relationship Id="rId6" Type="http://schemas.openxmlformats.org/officeDocument/2006/relationships/hyperlink" Target="https://www.lidiatech.ai/it/gtc" TargetMode="External"/><Relationship Id="rId11" Type="http://schemas.openxmlformats.org/officeDocument/2006/relationships/hyperlink" Target="https://aws.amazon.com/about-aws/global-infrastructure/regions_az/" TargetMode="External"/><Relationship Id="rId5" Type="http://schemas.openxmlformats.org/officeDocument/2006/relationships/hyperlink" Target="https://www.lidiatech.ai/it/gtc" TargetMode="External"/><Relationship Id="rId15" Type="http://schemas.openxmlformats.org/officeDocument/2006/relationships/hyperlink" Target="https://www.lidiatech.ai/it/gtc" TargetMode="External"/><Relationship Id="rId10" Type="http://schemas.openxmlformats.org/officeDocument/2006/relationships/hyperlink" Target="https://aws.amazon.com/backu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waf/" TargetMode="External"/><Relationship Id="rId14" Type="http://schemas.openxmlformats.org/officeDocument/2006/relationships/hyperlink" Target="https://www.lidiatech.ai/it/gtc"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1417</TotalTime>
  <Pages>9</Pages>
  <Words>3022</Words>
  <Characters>17231</Characters>
  <Application>Microsoft Office Word</Application>
  <DocSecurity>0</DocSecurity>
  <Lines>143</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Gerosa</dc:creator>
  <cp:keywords/>
  <dc:description/>
  <cp:lastModifiedBy>Gianluca Gerosa</cp:lastModifiedBy>
  <cp:revision>1</cp:revision>
  <dcterms:created xsi:type="dcterms:W3CDTF">2026-09-23T15:19:00Z</dcterms:created>
  <dcterms:modified xsi:type="dcterms:W3CDTF">2026-09-24T15:02:00Z</dcterms:modified>
</cp:coreProperties>
</file>