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8"/>
          <w:szCs w:val="38"/>
        </w:rPr>
        <w:t xml:space="preserve">AMC洁净室稳态模拟软件</w:t>
      </w:r>
    </w:p>
    <w:p>
      <w:pPr>
        <w:spacing w:before="12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8"/>
          <w:szCs w:val="38"/>
        </w:rPr>
        <w:t xml:space="preserve">接口定义文档</w:t>
      </w:r>
    </w:p>
    <w:p>
      <w:pPr>
        <w:pBdr>
          <w:bottom w:val="single" w:color="1F4E79" w:sz="8" w:space="8"/>
        </w:pBdr>
        <w:spacing w:after="700" w:before="220"/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RESTful API 契约 · 全体成员统一共用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项目</w:t>
            </w:r>
          </w:p>
        </w:tc>
        <w:tc>
          <w:tcPr>
            <w:tcW w:type="dxa" w:w="6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软件名称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诺迪达空气智慧平台 · AMC-Simulation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文档性质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统一约束文件，前后端及各成员共用同一API契约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接口风格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RESTful，请求/响应均为 JSON（UTF-8）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技术栈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Spring Boot 后端；Vue3 前端调用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需求依据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《功能需求规格说明书 V2.0（交流确认版）》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编制单位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成都理工大学计算机与网络安全学院曾维老师团队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日期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2026年8月</w:t>
            </w:r>
          </w:p>
        </w:tc>
      </w:tr>
    </w:tbl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1. 通用约定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1.1 基础规范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项目</w:t>
            </w:r>
          </w:p>
        </w:tc>
        <w:tc>
          <w:tcPr>
            <w:tcW w:type="dxa" w:w="69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约定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Base URL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/api（内网部署，具体域名部署时确定）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请求格式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Content-Type: application/json；GET用查询参数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响应格式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统一JSON信封（见1.2）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字符编码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UTF-8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鉴权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登录返回Token，后续请求Header携带 Authorization: Bearer &lt;token&gt;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时间格式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yyyy-MM-dd HH:mm:ss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浓度数值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number，保留至6位小数</w:t>
            </w:r>
          </w:p>
        </w:tc>
      </w:tr>
      <w:tr>
        <w:tc>
          <w:tcPr>
            <w:tcW w:type="dxa" w:w="2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命名风格</w:t>
            </w:r>
          </w:p>
        </w:tc>
        <w:tc>
          <w:tcPr>
            <w:tcW w:type="dxa" w:w="69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URL用小写复数资源名，JSON字段用camelCase</w:t>
            </w:r>
          </w:p>
        </w:tc>
      </w:tr>
    </w:tbl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1.2 统一响应信封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所有接口返回统一结构，成员不得各自定义响应格式：</w:t>
      </w:r>
    </w:p>
    <w:p>
      <w:pPr>
        <w:shd w:fill="F2F2F2" w:color="auto" w:val="clear"/>
        <w:spacing w:after="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"code": 0,           // 0=成功，非0=错误码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"message": "success",// 提示信息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"data": { ... }      // 业务数据，失败时可为 null</w:t>
      </w:r>
    </w:p>
    <w:p>
      <w:pPr>
        <w:shd w:fill="F2F2F2" w:color="auto" w:val="clear"/>
        <w:spacing w:after="8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1.3 通用状态码</w:t>
      </w:r>
    </w:p>
    <w:tbl>
      <w:tblPr>
        <w:tblW w:type="dxa" w:w="96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1600"/>
        <w:gridCol w:w="8060"/>
      </w:tblGrid>
      <w:tr>
        <w:trPr>
          <w:tblHeader/>
        </w:trPr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80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含义</w:t>
            </w:r>
          </w:p>
        </w:tc>
      </w:tr>
    </w:tbl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code</w:t>
            </w:r>
          </w:p>
        </w:tc>
        <w:tc>
          <w:tcPr>
            <w:tcW w:type="dxa" w:w="77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含义</w:t>
            </w:r>
          </w:p>
        </w:tc>
      </w:tr>
      <w:tr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0</w:t>
            </w:r>
          </w:p>
        </w:tc>
        <w:tc>
          <w:tcPr>
            <w:tcW w:type="dxa" w:w="77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成功</w:t>
            </w:r>
          </w:p>
        </w:tc>
      </w:tr>
      <w:tr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1001</w:t>
            </w:r>
          </w:p>
        </w:tc>
        <w:tc>
          <w:tcPr>
            <w:tcW w:type="dxa" w:w="77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参数错误/校验失败（如 α+β≠1、效率超范围）</w:t>
            </w:r>
          </w:p>
        </w:tc>
      </w:tr>
      <w:tr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1002</w:t>
            </w:r>
          </w:p>
        </w:tc>
        <w:tc>
          <w:tcPr>
            <w:tcW w:type="dxa" w:w="77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未登录或Token失效</w:t>
            </w:r>
          </w:p>
        </w:tc>
      </w:tr>
      <w:tr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1003</w:t>
            </w:r>
          </w:p>
        </w:tc>
        <w:tc>
          <w:tcPr>
            <w:tcW w:type="dxa" w:w="77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无权限</w:t>
            </w:r>
          </w:p>
        </w:tc>
      </w:tr>
      <w:tr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1004</w:t>
            </w:r>
          </w:p>
        </w:tc>
        <w:tc>
          <w:tcPr>
            <w:tcW w:type="dxa" w:w="77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资源不存在</w:t>
            </w:r>
          </w:p>
        </w:tc>
      </w:tr>
      <w:tr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2001</w:t>
            </w:r>
          </w:p>
        </w:tc>
        <w:tc>
          <w:tcPr>
            <w:tcW w:type="dxa" w:w="77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计算未收敛</w:t>
            </w:r>
          </w:p>
        </w:tc>
      </w:tr>
      <w:tr>
        <w:tc>
          <w:tcPr>
            <w:tcW w:type="dxa" w:w="1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5000</w:t>
            </w:r>
          </w:p>
        </w:tc>
        <w:tc>
          <w:tcPr>
            <w:tcW w:type="dxa" w:w="77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服务器内部错误</w:t>
            </w:r>
          </w:p>
        </w:tc>
      </w:tr>
    </w:tbl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2. 接口分组总览</w:t>
      </w:r>
    </w:p>
    <w:tbl>
      <w:tblPr>
        <w:tblW w:type="dxa" w:w="936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分组</w:t>
            </w:r>
          </w:p>
        </w:tc>
        <w:tc>
          <w:tcPr>
            <w:tcW w:type="dxa" w:w="340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路径前缀</w:t>
            </w:r>
          </w:p>
        </w:tc>
        <w:tc>
          <w:tcPr>
            <w:tcW w:type="dxa" w:w="3360"/>
            <w:shd w:fill="DCE6F1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b/>
                <w:bCs/>
                <w:sz w:val="17"/>
                <w:szCs w:val="17"/>
              </w:rPr>
              <w:t xml:space="preserve">对应功能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认证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/api/auth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登录、登出（F01）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用户/权限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/api/users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用户管理（F01）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客户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/api/customers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客户管理（F02）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项目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/api/projects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项目管理（F02）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洁净室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/api/cleanrooms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洁净室管理（F02）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方案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/api/schemes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方案增删改查、复制（F03）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计算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/api/schemes/{id}/calc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稳态计算+达标判断（F04–F11）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方案对比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/api/schemes/compare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多方案对比（F12）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污染物库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/api/pollutants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污染物资料（F14）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标准库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/api/standards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标准值维护（F11）</w:t>
            </w:r>
          </w:p>
        </w:tc>
      </w:tr>
      <w:tr>
        <w:tc>
          <w:tcPr>
            <w:tcW w:type="dxa" w:w="26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报告</w:t>
            </w:r>
          </w:p>
        </w:tc>
        <w:tc>
          <w:tcPr>
            <w:tcW w:type="dxa" w:w="34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/api/schemes/{id}/report</w:t>
            </w:r>
          </w:p>
        </w:tc>
        <w:tc>
          <w:tcPr>
            <w:tcW w:type="dxa" w:w="336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 w:before="15" w:line="260"/>
            </w:pPr>
            <w:r>
              <w:rPr>
                <w:rFonts w:ascii="微软雅黑" w:cs="微软雅黑" w:eastAsia="微软雅黑" w:hAnsi="微软雅黑"/>
                <w:sz w:val="17"/>
                <w:szCs w:val="17"/>
              </w:rPr>
              <w:t xml:space="preserve">Excel/PDF报告（F15–F16）</w:t>
            </w:r>
          </w:p>
        </w:tc>
      </w:tr>
    </w:tbl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3. 核心接口定义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以下列出核心接口。CRUD类接口给出代表示例，成员按同一风格实现其余；计算与对比接口为重点，给出完整请求/响应。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3.1 认证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/api/auth/login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登录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请求：</w:t>
      </w:r>
    </w:p>
    <w:p>
      <w:pPr>
        <w:shd w:fill="F2F2F2" w:color="auto" w:val="clear"/>
        <w:spacing w:after="8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 "username": "engineer01", "password": "******" }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响应 data：</w:t>
      </w:r>
    </w:p>
    <w:p>
      <w:pPr>
        <w:shd w:fill="F2F2F2" w:color="auto" w:val="clear"/>
        <w:spacing w:after="8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 "token": "eyJhbGci...", "userId": 12, "realName": "张工", "role": "engineer" }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/api/auth/logout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登出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3.2 客户 / 项目 / 洁净室（CRUD 示例）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四类资源遵循统一CRUD风格，此处以项目为例，客户、洁净室同构。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/api/projects?customerId={id}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按客户查项目列表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/api/projects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新建项目</w:t>
      </w:r>
    </w:p>
    <w:p>
      <w:pPr>
        <w:shd w:fill="F2F2F2" w:color="auto" w:val="clear"/>
        <w:spacing w:after="8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 "customerId": 3, "name": "XX半导体FAB项目", "location": "上海" }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/api/projects/{id}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项目详情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PUT </w:t>
      </w:r>
      <w:r>
        <w:rPr>
          <w:rFonts w:ascii="Consolas" w:cs="Consolas" w:eastAsia="Consolas" w:hAnsi="Consolas"/>
          <w:b/>
          <w:bCs/>
          <w:color w:val="BF9000"/>
          <w:sz w:val="18"/>
          <w:szCs w:val="18"/>
        </w:rPr>
        <w:t xml:space="preserve">  /api/projects/{id}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编辑项目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DELETE </w:t>
      </w:r>
      <w:r>
        <w:rPr>
          <w:rFonts w:ascii="Consolas" w:cs="Consolas" w:eastAsia="Consolas" w:hAnsi="Consolas"/>
          <w:b/>
          <w:bCs/>
          <w:color w:val="C00000"/>
          <w:sz w:val="18"/>
          <w:szCs w:val="18"/>
        </w:rPr>
        <w:t xml:space="preserve">  /api/projects/{id}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删除项目（二次确认，逻辑删除）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3.3 方案管理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/api/cleanrooms/{id}/schemes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按洁净室查方案列表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/api/schemes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新建方案（含输入参数与达标标准）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请求：</w:t>
      </w:r>
    </w:p>
    <w:p>
      <w:pPr>
        <w:shd w:fill="F2F2F2" w:color="auto" w:val="clear"/>
        <w:spacing w:after="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"cleanroomId": 5,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"name": "方案A-基础",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"concUnit": "ppb",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"molarMassM": 46.07,      // 用户手输，供单位换算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"stdSource": "manual",     // industry / enterprise / manual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"stdPollutantId": null,    // 选库时填污染物id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"targetValue": 5.0,        // manual手输目标值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"input": {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"c0": 20, "g": 10,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"etaMau": 0.9, "covMau": 1.0,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"etaCeil": 0.9, "covCeil": 1.0,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"etaAru": 0.9, "covAru": 0.0,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"alpha": 0.2, "beta": 0.8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2F2F2" w:color="auto" w:val="clear"/>
        <w:spacing w:after="8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E36C0A" w:sz="14" w:space="8"/>
        </w:pBdr>
        <w:shd w:fill="FDE9D9" w:color="auto" w:val="clear"/>
        <w:spacing w:after="90" w:before="90" w:line="300"/>
        <w:ind w:left="215"/>
      </w:pPr>
      <w:r>
        <w:rPr>
          <w:rFonts w:ascii="微软雅黑" w:cs="微软雅黑" w:eastAsia="微软雅黑" w:hAnsi="微软雅黑"/>
          <w:b/>
          <w:bCs/>
          <w:sz w:val="19"/>
          <w:szCs w:val="19"/>
        </w:rPr>
        <w:t xml:space="preserve">校验：</w:t>
      </w:r>
      <w:r>
        <w:rPr>
          <w:rFonts w:ascii="微软雅黑" w:cs="微软雅黑" w:eastAsia="微软雅黑" w:hAnsi="微软雅黑"/>
          <w:sz w:val="19"/>
          <w:szCs w:val="19"/>
        </w:rPr>
        <w:t xml:space="preserve">后端必须校验 alpha+beta=1（否则返回1001）、各效率/覆盖率∈[0,1]、c0/g≥0；前端也应做同步校验。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/api/schemes/{id}/copy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复制方案（version+1，便于生成对比方案）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PUT </w:t>
      </w:r>
      <w:r>
        <w:rPr>
          <w:rFonts w:ascii="Consolas" w:cs="Consolas" w:eastAsia="Consolas" w:hAnsi="Consolas"/>
          <w:b/>
          <w:bCs/>
          <w:color w:val="BF9000"/>
          <w:sz w:val="18"/>
          <w:szCs w:val="18"/>
        </w:rPr>
        <w:t xml:space="preserve">  /api/schemes/{id}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编辑方案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DELETE </w:t>
      </w:r>
      <w:r>
        <w:rPr>
          <w:rFonts w:ascii="Consolas" w:cs="Consolas" w:eastAsia="Consolas" w:hAnsi="Consolas"/>
          <w:b/>
          <w:bCs/>
          <w:color w:val="C00000"/>
          <w:sz w:val="18"/>
          <w:szCs w:val="18"/>
        </w:rPr>
        <w:t xml:space="preserve">  /api/schemes/{id}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删除方案</w:t>
      </w:r>
    </w:p>
    <w:p>
      <w:pPr>
        <w:pageBreakBefore/>
      </w:pP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3.4 稳态计算 + 达标判断（核心接口）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/api/schemes/{id}/calc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执行稳态迭代计算并判定达标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说明：后端读取方案输入，执行不动点迭代（ε=1×10⁻⁶，最大200次），输出各节点、稳态Cr、迭代过程与达标结论。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响应 data：</w:t>
      </w:r>
    </w:p>
    <w:p>
      <w:pPr>
        <w:shd w:fill="F2F2F2" w:color="auto" w:val="clear"/>
        <w:spacing w:after="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"converged": true,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"iterCount": 30,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"algoVersion": "v1.0",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"nodes": {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"c0": 20.0,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"c1": 2.0,          // Cout1，MAU下游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"cReturn": 1.646,   // Cout3，ARU下游回风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"cmix": 1.717,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"cout2": 0.515,     // Ceiling本体出口(不含cov，Excel口径)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"cr": 1.6458        // 稳态室内浓度(最终结果)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"unit": "ppb",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"conclusion": "pass", // pass/fail/no_standard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"targetValue": 5.0,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"iterations": [        // 迭代过程，供折叠展示与动画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{ "iterNo": 1, "crOld": 20, "c1": 2, "cReturn": 20, "cmix": 5.6, "crNew": 1.68 },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{ "iterNo": 2, "crOld": 1.68, "...": "..." }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hd w:fill="F2F2F2" w:color="auto" w:val="clear"/>
        <w:spacing w:after="8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left w:val="single" w:color="375623" w:sz="14" w:space="8"/>
        </w:pBdr>
        <w:shd w:fill="E2EFDA" w:color="auto" w:val="clear"/>
        <w:spacing w:after="90" w:before="90" w:line="300"/>
        <w:ind w:left="215"/>
      </w:pPr>
      <w:r>
        <w:rPr>
          <w:rFonts w:ascii="微软雅黑" w:cs="微软雅黑" w:eastAsia="微软雅黑" w:hAnsi="微软雅黑"/>
          <w:b/>
          <w:bCs/>
          <w:sz w:val="19"/>
          <w:szCs w:val="19"/>
        </w:rPr>
        <w:t xml:space="preserve">达标三态：</w:t>
      </w:r>
      <w:r>
        <w:rPr>
          <w:rFonts w:ascii="微软雅黑" w:cs="微软雅黑" w:eastAsia="微软雅黑" w:hAnsi="微软雅黑"/>
          <w:sz w:val="19"/>
          <w:szCs w:val="19"/>
        </w:rPr>
        <w:t xml:space="preserve">conclusion 取值 pass（Cr≤目标，前端绿色✓）/ fail（Cr&gt;目标，红色✗）/ no_standard（未设标准，灰色）。前端按此三态着色。若计算不收敛，返回 code=2001。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/api/schemes/{id}/result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查询方案最近一次计算结果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3.5 方案对比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/api/schemes/compare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多方案对比（最多3个）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请求：</w:t>
      </w:r>
    </w:p>
    <w:p>
      <w:pPr>
        <w:shd w:fill="F2F2F2" w:color="auto" w:val="clear"/>
        <w:spacing w:after="8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 "schemeIds": [11, 12, 13] }   // 最多3个，超过返回1001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响应 data：并列返回各方案输入摘要、各节点结果、Cr与达标结论，供对比表与柱状图渲染。</w:t>
      </w:r>
    </w:p>
    <w:p>
      <w:pPr>
        <w:shd w:fill="F2F2F2" w:color="auto" w:val="clear"/>
        <w:spacing w:after="0" w:before="8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"schemes": [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{ "schemeId": 11, "name": "方案A",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  "input": {...}, "nodes": {...},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  "cr": 1.6458, "conclusion": "pass" },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  { "schemeId": 12, "name": "方案B", "...": "..." }</w:t>
      </w:r>
    </w:p>
    <w:p>
      <w:pPr>
        <w:shd w:fill="F2F2F2" w:color="auto" w:val="clear"/>
        <w:spacing w:after="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  ]</w:t>
      </w:r>
    </w:p>
    <w:p>
      <w:pPr>
        <w:shd w:fill="F2F2F2" w:color="auto" w:val="clear"/>
        <w:spacing w:after="80" w:before="0" w:line="258"/>
        <w:ind w:left="144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3.6 污染物资料库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/api/pollutants?keyword={kw}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按名称/CAS检索（展示用，不参与计算）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/api/pollutants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新增（管理员）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PUT </w:t>
      </w:r>
      <w:r>
        <w:rPr>
          <w:rFonts w:ascii="Consolas" w:cs="Consolas" w:eastAsia="Consolas" w:hAnsi="Consolas"/>
          <w:b/>
          <w:bCs/>
          <w:color w:val="BF9000"/>
          <w:sz w:val="18"/>
          <w:szCs w:val="18"/>
        </w:rPr>
        <w:t xml:space="preserve">  /api/pollutants/{id}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编辑（管理员）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3.7 标准库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/api/standards?pollutantId={id}&amp;sourceType={t}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查某污染物的标准值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POST </w:t>
      </w:r>
      <w:r>
        <w:rPr>
          <w:rFonts w:ascii="Consolas" w:cs="Consolas" w:eastAsia="Consolas" w:hAnsi="Consolas"/>
          <w:b/>
          <w:bCs/>
          <w:color w:val="1F4E79"/>
          <w:sz w:val="18"/>
          <w:szCs w:val="18"/>
        </w:rPr>
        <w:t xml:space="preserve">  /api/standards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新增标准（管理员，数据企业后填）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PUT </w:t>
      </w:r>
      <w:r>
        <w:rPr>
          <w:rFonts w:ascii="Consolas" w:cs="Consolas" w:eastAsia="Consolas" w:hAnsi="Consolas"/>
          <w:b/>
          <w:bCs/>
          <w:color w:val="BF9000"/>
          <w:sz w:val="18"/>
          <w:szCs w:val="18"/>
        </w:rPr>
        <w:t xml:space="preserve">  /api/standards/{id}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编辑标准</w:t>
      </w:r>
    </w:p>
    <w:p>
      <w:pPr>
        <w:pStyle w:val="Heading2"/>
        <w:spacing w:after="110" w:before="200"/>
      </w:pPr>
      <w:r>
        <w:rPr>
          <w:rFonts w:ascii="微软雅黑" w:cs="微软雅黑" w:eastAsia="微软雅黑" w:hAnsi="微软雅黑"/>
          <w:b/>
          <w:bCs/>
          <w:color w:val="1F4E79"/>
          <w:sz w:val="23"/>
          <w:szCs w:val="23"/>
        </w:rPr>
        <w:t xml:space="preserve">3.8 报告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/api/schemes/{id}/report?type=excel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导出Excel报告</w:t>
      </w:r>
    </w:p>
    <w:p>
      <w:pPr>
        <w:shd w:fill="EEEEEE" w:color="auto" w:val="clear"/>
        <w:spacing w:after="60" w:before="140" w:line="30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GET </w:t>
      </w:r>
      <w:r>
        <w:rPr>
          <w:rFonts w:ascii="Consolas" w:cs="Consolas" w:eastAsia="Consolas" w:hAnsi="Consolas"/>
          <w:b/>
          <w:bCs/>
          <w:color w:val="375623"/>
          <w:sz w:val="18"/>
          <w:szCs w:val="18"/>
        </w:rPr>
        <w:t xml:space="preserve">  /api/schemes/{id}/report?type=pdf</w:t>
      </w:r>
      <w:r>
        <w:rPr>
          <w:rFonts w:ascii="微软雅黑" w:cs="微软雅黑" w:eastAsia="微软雅黑" w:hAnsi="微软雅黑"/>
          <w:color w:val="595959"/>
          <w:sz w:val="18"/>
          <w:szCs w:val="18"/>
        </w:rPr>
        <w:t xml:space="preserve">　导出PDF报告（含气流路径静态示意图）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响应：返回文件流（application/octet-stream）或文件下载URL；报告不含动画。</w:t>
      </w:r>
    </w:p>
    <w:p>
      <w:pPr>
        <w:pageBreakBefore/>
      </w:pP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4. 前端调用与演示动画数据</w:t>
      </w:r>
    </w:p>
    <w:p>
      <w:pPr>
        <w:spacing w:after="60" w:before="6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2D方案效果演示动画不单独设接口，其数据来源为 /api/schemes/{id}/calc 返回的 nodes 与 iterations：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动画各节点浓度直接取 nodes 中的 c0/c1/cmix/cout2/cr/cReturn，保证与计算结果一致；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粒子密度按节点浓度归一化映射，变化方向须与真实数值一致；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浓度单位取 unit 字段，跟随方案；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3方案对比演示时分别调用各方案结果，前端并排渲染；</w:t>
      </w:r>
    </w:p>
    <w:p>
      <w:pPr>
        <w:pStyle w:val="ListParagraph"/>
        <w:numPr>
          <w:ilvl w:val="0"/>
          <w:numId w:val="2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动画为纯前端渲染，不回传后端、不进报告。</w:t>
      </w:r>
    </w:p>
    <w:p>
      <w:pPr>
        <w:pStyle w:val="Heading1"/>
        <w:spacing w:after="110" w:before="30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5. 给开发成员的统一要求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URL路径、请求/响应字段名必须与本文档一致，前后端据此并行开发、最终可对接；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统一使用1.2响应信封与1.3状态码，不得各自定义；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计算接口返回的节点字段名（c0/c1/cReturn/cmix/cout2/cr）为动画、报告、对比的共同数据源，务必统一；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所有写操作需鉴权；删除类为二次确认+逻辑删除；</w:t>
      </w:r>
    </w:p>
    <w:p>
      <w:pPr>
        <w:pStyle w:val="ListParagraph"/>
        <w:numPr>
          <w:ilvl w:val="0"/>
          <w:numId w:val="3"/>
        </w:numPr>
        <w:spacing w:after="35" w:before="35" w:line="300"/>
      </w:pPr>
      <w:r>
        <w:rPr>
          <w:rFonts w:ascii="微软雅黑" w:cs="微软雅黑" w:eastAsia="微软雅黑" w:hAnsi="微软雅黑"/>
          <w:sz w:val="20"/>
          <w:szCs w:val="20"/>
        </w:rPr>
        <w:t xml:space="preserve">接口如需调整，须经负责人确认并同步更新本文档，通知全员。</w:t>
      </w:r>
    </w:p>
    <w:p>
      <w:pPr>
        <w:pBdr>
          <w:left w:val="single" w:color="375623" w:sz="14" w:space="8"/>
        </w:pBdr>
        <w:shd w:fill="E2EFDA" w:color="auto" w:val="clear"/>
        <w:spacing w:after="90" w:before="90" w:line="300"/>
        <w:ind w:left="215"/>
      </w:pPr>
      <w:r>
        <w:rPr>
          <w:rFonts w:ascii="微软雅黑" w:cs="微软雅黑" w:eastAsia="微软雅黑" w:hAnsi="微软雅黑"/>
          <w:b/>
          <w:bCs/>
          <w:sz w:val="19"/>
          <w:szCs w:val="19"/>
        </w:rPr>
        <w:t xml:space="preserve">与数据库文档配套：</w:t>
      </w:r>
      <w:r>
        <w:rPr>
          <w:rFonts w:ascii="微软雅黑" w:cs="微软雅黑" w:eastAsia="微软雅黑" w:hAnsi="微软雅黑"/>
          <w:sz w:val="19"/>
          <w:szCs w:val="19"/>
        </w:rPr>
        <w:t xml:space="preserve">本接口文档的字段命名与《数据库设计说明》保持一一对应（数据库snake_case ↔ JSON camelCase，如 c_return ↔ cReturn）。两份文档共同构成「统一约束」，是4名成员独立开发、最终择优组合的契约基础。</w:t>
      </w:r>
    </w:p>
    <w:sectPr>
      <w:footerReference w:type="default" r:id="rId7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08080"/>
        <w:sz w:val="16"/>
        <w:szCs w:val="16"/>
      </w:rPr>
      <w:t xml:space="preserve">AMC洁净室稳态模拟软件 接口定义文档　第 </w:t>
    </w:r>
    <w:r>
      <w:rPr>
        <w:rFonts w:ascii="微软雅黑" w:cs="微软雅黑" w:eastAsia="微软雅黑" w:hAnsi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2026-09-01T03:18:25.019Z</dcterms:created>
  <dcterms:modified xsi:type="dcterms:W3CDTF">2026-09-01T03:18:25.019Z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