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40"/>
      </w:pPr>
      <w:r>
        <w:rPr>
          <w:rFonts w:ascii="Microsoft YaHei" w:hAnsi="Microsoft YaHei" w:eastAsia="Microsoft YaHei"/>
          <w:b/>
          <w:color w:val="2E74B5"/>
          <w:sz w:val="20"/>
        </w:rPr>
        <w:t>PRODUCT REQUIREMENTS DOCUMENT</w:t>
      </w:r>
    </w:p>
    <w:p>
      <w:pPr>
        <w:pStyle w:val="Title"/>
        <w:jc w:val="left"/>
      </w:pPr>
      <w:r>
        <w:rPr>
          <w:rFonts w:ascii="Microsoft YaHei" w:hAnsi="Microsoft YaHei" w:eastAsia="Microsoft YaHei"/>
          <w:b/>
          <w:color w:val="0B2545"/>
          <w:sz w:val="56"/>
        </w:rPr>
        <w:t>AMC洁净室稳态模拟软件</w:t>
      </w:r>
    </w:p>
    <w:p>
      <w:pPr>
        <w:pStyle w:val="Subtitle"/>
      </w:pPr>
      <w:r>
        <w:rPr>
          <w:rFonts w:ascii="Microsoft YaHei" w:hAnsi="Microsoft YaHei" w:eastAsia="Microsoft YaHei"/>
          <w:b/>
          <w:color w:val="1F4D78"/>
          <w:sz w:val="30"/>
        </w:rPr>
        <w:t>产品需求文档（PRD）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产品名称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诺迪达空气智慧平台 · AMC-Simulation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文档版本</w:t>
            </w:r>
          </w:p>
        </w:tc>
        <w:tc>
          <w:tcPr>
            <w:tcW w:type="dxa" w:w="74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V1.0（需求整合评审稿）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委托企业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诺迪达（上海）环境技术有限公司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开发单位</w:t>
            </w:r>
          </w:p>
        </w:tc>
        <w:tc>
          <w:tcPr>
            <w:tcW w:type="dxa" w:w="74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成都理工大学计算机与网络安全学院曾维老师团队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编制日期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2026年9月2日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一期周期</w:t>
            </w:r>
          </w:p>
        </w:tc>
        <w:tc>
          <w:tcPr>
            <w:tcW w:type="dxa" w:w="74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合同生效之日起10个月内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文档状态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待客户评审 / 待关键事项确认</w:t>
            </w:r>
          </w:p>
        </w:tc>
      </w:tr>
    </w:tbl>
    <w:p>
      <w:pPr>
        <w:spacing w:after="0" w:before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E8EEF5"/>
          <w:left w:val="single" w:sz="4" w:color="E8EEF5"/>
          <w:bottom w:val="single" w:sz="4" w:color="E8EEF5"/>
          <w:right w:val="single" w:sz="4" w:color="E8EEF5"/>
          <w:insideH w:val="single" w:sz="4" w:color="E8EEF5"/>
          <w:insideV w:val="single" w:sz="4" w:color="E8EEF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 xml:space="preserve">产品目标  </w:t>
            </w:r>
            <w:r>
              <w:rPr>
                <w:rFonts w:ascii="Microsoft YaHei" w:hAnsi="Microsoft YaHei" w:eastAsia="Microsoft YaHei"/>
                <w:color w:val="222222"/>
                <w:sz w:val="20"/>
              </w:rPr>
              <w:t>将企业现有 CleanAMC Excel 稳态模型产品化，形成可追溯、可比较、可导出、可在内网部署的工程应用。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FFF4CC"/>
          <w:left w:val="single" w:sz="4" w:color="FFF4CC"/>
          <w:bottom w:val="single" w:sz="4" w:color="FFF4CC"/>
          <w:right w:val="single" w:sz="4" w:color="FFF4CC"/>
          <w:insideH w:val="single" w:sz="4" w:color="FFF4CC"/>
          <w:insideV w:val="single" w:sz="4" w:color="FFF4CC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CC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 xml:space="preserve">需求基线  </w:t>
            </w:r>
            <w:r>
              <w:rPr>
                <w:rFonts w:ascii="Microsoft YaHei" w:hAnsi="Microsoft YaHei" w:eastAsia="Microsoft YaHei"/>
                <w:color w:val="222222"/>
                <w:sz w:val="20"/>
              </w:rPr>
              <w:t>V1.2需求确认清单优先；其后依次参考实施方案、接口定义、数据库设计、两轮信息回执、Excel模型与界面示意图。未一致事项列入第15章待确认清单。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文档目录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1. 文档目的与需求基线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2. 产品背景与目标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3. 用户与权限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4. 产品范围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5. 核心业务流程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6. 信息架构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7. 功能需求（F01-F19）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8. 稳态计算模型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9. 数据与数据库需求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10. 接口与集成需求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11. 非功能需求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12. 数据初始化与迁移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13. 验收标准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14. 版本计划与里程碑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15. 待确认事项与风险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附录A. 需求追踪矩阵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附录B. 术语与资料来源</w:t>
      </w:r>
    </w:p>
    <w:p>
      <w:pPr>
        <w:pStyle w:val="Heading1"/>
        <w:keepNext/>
      </w:pPr>
      <w:r>
        <w:t>1. 文档目的与需求基线</w:t>
      </w:r>
    </w:p>
    <w:p>
      <w:pPr>
        <w:keepLines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本文档定义AMC洁净室稳态模拟软件一期的产品目标、范围、用户、业务流程、功能、算法、数据、接口、非功能要求和验收标准，作为客户评审、研发设计、测试验收和变更管理的统一依据。</w:t>
      </w:r>
    </w:p>
    <w:p>
      <w:pPr>
        <w:pStyle w:val="Heading2"/>
        <w:keepNext/>
      </w:pPr>
      <w:r>
        <w:t>1.1 版本记录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200"/>
        <w:gridCol w:w="1900"/>
        <w:gridCol w:w="1500"/>
        <w:gridCol w:w="4760"/>
      </w:tblGrid>
      <w:tr>
        <w:trPr>
          <w:cantSplit/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版本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日期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V1.0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2026-09-02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评审稿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整合客户资料并形成一期产品需求基线</w:t>
            </w:r>
          </w:p>
        </w:tc>
      </w:tr>
    </w:tbl>
    <w:p>
      <w:pPr>
        <w:spacing w:after="0" w:before="0"/>
      </w:pPr>
    </w:p>
    <w:p>
      <w:pPr>
        <w:pStyle w:val="Heading2"/>
        <w:keepNext/>
      </w:pPr>
      <w:r>
        <w:t>1.2 需求优先级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双方书面签署或确认的需求冻结结论。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《AMC需求确认问题清单 V1.2》中的企业确认结果。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本PRD经客户评审后的修订结论。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实施方案、接口定义、数据库设计及早期信息采集回执。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Excel样例与界面示意图，用于算法和交互佐证。</w:t>
      </w:r>
    </w:p>
    <w:p>
      <w:pPr>
        <w:pStyle w:val="Heading2"/>
        <w:keepNext/>
      </w:pPr>
      <w:r>
        <w:t>1.3 变更原则</w:t>
      </w:r>
    </w:p>
    <w:p>
      <w:pPr>
        <w:keepLines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需求冻结后，新增功能、算法口径变化、报告模板适配、部署形态变化或第三方接口接入，均应记录变更原因、影响范围、工期与费用，经双方书面确认后实施。</w:t>
      </w:r>
    </w:p>
    <w:p>
      <w:pPr>
        <w:pStyle w:val="Heading1"/>
        <w:keepNext/>
      </w:pPr>
      <w:r>
        <w:t>2. 产品背景与目标</w:t>
      </w:r>
    </w:p>
    <w:p>
      <w:pPr>
        <w:pStyle w:val="Heading2"/>
        <w:keepNext/>
      </w:pPr>
      <w:r>
        <w:t>2.1 背景</w:t>
      </w:r>
    </w:p>
    <w:p>
      <w:pPr>
        <w:keepLines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企业当前以Excel公式进行AMC洁净室稳态估算。现有方式不利于项目归档、权限控制、方案复用、结果追溯和标准化报告，需要转化为统一的软件产品。模型属于经验推导，尚未完成现场或实验有效性验证，因此一期重点是准确软件化和流程产品化。</w:t>
      </w:r>
    </w:p>
    <w:p>
      <w:pPr>
        <w:pStyle w:val="Heading2"/>
        <w:keepNext/>
      </w:pPr>
      <w:r>
        <w:t>2.2 一期目标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完整复现确认版Excel模型，核心结果满足相对误差不高于1×10^-6。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建立客户—项目—洁净室—方案—计算结果的业务档案链。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支持参数校验、单位换算、稳态计算、节点展示、达标判断和方案对比。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建立污染物资料库与标准库，支持管理员维护和Excel批量导入。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形成Excel/PDF专业报告、计算历史和审计留痕。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以Web形态支持企业内网服务器或单机本地部署，并预留与过滤器软件共享基础平台的能力。</w:t>
      </w:r>
    </w:p>
    <w:p>
      <w:pPr>
        <w:pStyle w:val="Heading2"/>
        <w:keepNext/>
      </w:pPr>
      <w:r>
        <w:t>2.3 成功指标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300"/>
        <w:gridCol w:w="7060"/>
      </w:tblGrid>
      <w:tr>
        <w:trPr>
          <w:cantSplit/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一期判定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计算一致性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3-5组经客户确认的基准案例全部通过；相对误差≤1×10^-6。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功能完整性</w:t>
            </w:r>
          </w:p>
        </w:tc>
        <w:tc>
          <w:tcPr>
            <w:tcW w:type="dxa" w:w="70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F01-F19中纳入一期的P0/P1需求全部通过验收。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可追溯性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每次计算保存输入、换算参数、算法版本、结果、标准值快照和操作者。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可用性</w:t>
            </w:r>
          </w:p>
        </w:tc>
        <w:tc>
          <w:tcPr>
            <w:tcW w:type="dxa" w:w="70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工程师可在一个连续流程内完成建档、建方案、计算、比较和报告导出。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可维护性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管理员可维护用户、污染物、标准、系统计算参数及导入模板。</w:t>
            </w:r>
          </w:p>
        </w:tc>
      </w:tr>
    </w:tbl>
    <w:p>
      <w:pPr>
        <w:spacing w:after="0" w:before="0"/>
      </w:pPr>
    </w:p>
    <w:p>
      <w:pPr>
        <w:pStyle w:val="Heading2"/>
        <w:keepNext/>
      </w:pPr>
      <w:r>
        <w:t>2.4 非目标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不负责验证或担保企业经验模型对现场实测的工程有效性。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不包含动态模拟、房间体积、ACH、风量守恒、温湿度影响等扩展模型。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不包含多污染物同时计算和批量参数计算。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不包含自动生成优化建议。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不包含过滤器寿命预测、AI训练、现场PLC/BMS数据接入。</w:t>
      </w:r>
    </w:p>
    <w:p>
      <w:pPr>
        <w:pStyle w:val="Heading1"/>
        <w:keepNext/>
      </w:pPr>
      <w:r>
        <w:t>3. 用户与权限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600"/>
        <w:gridCol w:w="1500"/>
        <w:gridCol w:w="6260"/>
      </w:tblGrid>
      <w:tr>
        <w:trPr>
          <w:cantSplit/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定位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核心权限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系统管理员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全局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用户与角色、污染物库、标准库、系统参数、导入模板、备份/导出、操作日志。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工程师</w:t>
            </w:r>
          </w:p>
        </w:tc>
        <w:tc>
          <w:tcPr>
            <w:tcW w:type="dxa" w:w="15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业务操作</w:t>
            </w:r>
          </w:p>
        </w:tc>
        <w:tc>
          <w:tcPr>
            <w:tcW w:type="dxa" w:w="6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维护授权客户/项目/洁净室/方案，执行计算、对比并导出报告。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销售工程师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方案支持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创建和查看授权项目方案、执行演示、导出客户报告；基础库只读。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管理人员</w:t>
            </w:r>
          </w:p>
        </w:tc>
        <w:tc>
          <w:tcPr>
            <w:tcW w:type="dxa" w:w="15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管理查看</w:t>
            </w:r>
          </w:p>
        </w:tc>
        <w:tc>
          <w:tcPr>
            <w:tcW w:type="dxa" w:w="6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查看汇总、项目历史、方案结果和报告；默认不修改计算基础库。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客户用户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受限查看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查看被授权项目、方案结果和报告；默认不可修改全局数据。</w:t>
            </w:r>
          </w:p>
        </w:tc>
      </w:tr>
    </w:tbl>
    <w:p>
      <w:pPr>
        <w:spacing w:after="0" w:before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E8EEF5"/>
          <w:left w:val="single" w:sz="4" w:color="E8EEF5"/>
          <w:bottom w:val="single" w:sz="4" w:color="E8EEF5"/>
          <w:right w:val="single" w:sz="4" w:color="E8EEF5"/>
          <w:insideH w:val="single" w:sz="4" w:color="E8EEF5"/>
          <w:insideV w:val="single" w:sz="4" w:color="E8EEF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 xml:space="preserve">权限原则  </w:t>
            </w:r>
            <w:r>
              <w:rPr>
                <w:rFonts w:ascii="Microsoft YaHei" w:hAnsi="Microsoft YaHei" w:eastAsia="Microsoft YaHei"/>
                <w:color w:val="222222"/>
                <w:sz w:val="20"/>
              </w:rPr>
              <w:t>采用最小权限和数据范围授权。所有写操作必须鉴权；删除采用二次确认和逻辑删除；关键修改写入操作日志。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产品范围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800"/>
        <w:gridCol w:w="5860"/>
        <w:gridCol w:w="170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范围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阶段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基础平台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账号登录、角色权限、客户/项目/洁净室档案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一期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方案工作台</w:t>
            </w:r>
          </w:p>
        </w:tc>
        <w:tc>
          <w:tcPr>
            <w:tcW w:type="dxa" w:w="58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新建、编辑、复制、保存、删除、版本管理</w:t>
            </w:r>
          </w:p>
        </w:tc>
        <w:tc>
          <w:tcPr>
            <w:tcW w:type="dxa" w:w="1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一期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计算核心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参数录入、校验、换算、稳态迭代、结果与达标判断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一期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结果表达</w:t>
            </w:r>
          </w:p>
        </w:tc>
        <w:tc>
          <w:tcPr>
            <w:tcW w:type="dxa" w:w="58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节点结果、迭代过程、二维气流演示、方案对比</w:t>
            </w:r>
          </w:p>
        </w:tc>
        <w:tc>
          <w:tcPr>
            <w:tcW w:type="dxa" w:w="1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一期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基础数据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污染物库、标准库、Excel导入、管理员维护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一期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报告与追溯</w:t>
            </w:r>
          </w:p>
        </w:tc>
        <w:tc>
          <w:tcPr>
            <w:tcW w:type="dxa" w:w="58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Excel/PDF报告、历史记录、算法/输入/标准快照</w:t>
            </w:r>
          </w:p>
        </w:tc>
        <w:tc>
          <w:tcPr>
            <w:tcW w:type="dxa" w:w="1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一期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运维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内网或单机Web部署、备份导出、审计日志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一期/待部署确认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扩展</w:t>
            </w:r>
          </w:p>
        </w:tc>
        <w:tc>
          <w:tcPr>
            <w:tcW w:type="dxa" w:w="58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动态模拟、多污染物、批量计算、优化建议、现场数据接入</w:t>
            </w:r>
          </w:p>
        </w:tc>
        <w:tc>
          <w:tcPr>
            <w:tcW w:type="dxa" w:w="1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二期</w:t>
            </w:r>
          </w:p>
        </w:tc>
      </w:tr>
    </w:tbl>
    <w:p>
      <w:pPr>
        <w:spacing w:after="0" w:before="0"/>
      </w:pPr>
    </w:p>
    <w:p>
      <w:pPr>
        <w:pStyle w:val="Heading1"/>
        <w:keepNext/>
      </w:pPr>
      <w:r>
        <w:t>5. 核心业务流程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用户登录，系统根据角色加载菜单和数据范围。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选择或新建客户、项目与洁净室。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新建方案；选择污染物、浓度显示单位与达标标准来源。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录入C0、G、三级过滤效率/覆盖率及α、β；系统同步校验并换算内部单位。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执行稳态计算；后端保存输入快照、算法版本、每步迭代和结果。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查看各节点浓度、稳态Cr、收敛状态、达标三态和二维演示。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复制方案调整参数，最多选择5个方案进行对比。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导出Excel或PDF报告；后续从历史记录中复查和再次导出。</w:t>
      </w:r>
    </w:p>
    <w:p>
      <w:pPr>
        <w:pStyle w:val="Heading1"/>
        <w:keepNext/>
      </w:pPr>
      <w:r>
        <w:t>6. 信息架构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一级导航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主要内容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首页/工作台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最近项目、最近计算、待处理异常、快捷新建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客户与项目</w:t>
            </w:r>
          </w:p>
        </w:tc>
        <w:tc>
          <w:tcPr>
            <w:tcW w:type="dxa" w:w="71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客户、项目、洁净室三级档案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方案中心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方案列表、方案编辑、计算、结果、复制、对比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资料中心</w:t>
            </w:r>
          </w:p>
        </w:tc>
        <w:tc>
          <w:tcPr>
            <w:tcW w:type="dxa" w:w="71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污染物资料库、标准库、Excel导入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报告中心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报告生成记录、下载与再次生成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系统管理</w:t>
            </w:r>
          </w:p>
        </w:tc>
        <w:tc>
          <w:tcPr>
            <w:tcW w:type="dxa" w:w="71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用户、角色、系统参数、审计日志、数据导出/备份</w:t>
            </w:r>
          </w:p>
        </w:tc>
      </w:tr>
    </w:tbl>
    <w:p>
      <w:pPr>
        <w:spacing w:after="0" w:before="0"/>
      </w:pPr>
    </w:p>
    <w:p>
      <w:pPr>
        <w:pStyle w:val="Heading1"/>
        <w:keepNext/>
      </w:pPr>
      <w:r>
        <w:t>7. 功能需求（F01-F19）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700"/>
        <w:gridCol w:w="1700"/>
        <w:gridCol w:w="6060"/>
        <w:gridCol w:w="900"/>
      </w:tblGrid>
      <w:tr>
        <w:trPr>
          <w:cantSplit/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需求摘要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F01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账号与权限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登录/登出、Token鉴权、五类角色、数据范围、禁用账号。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F02</w:t>
            </w:r>
          </w:p>
        </w:tc>
        <w:tc>
          <w:tcPr>
            <w:tcW w:type="dxa" w:w="1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客户/项目/洁净室</w:t>
            </w:r>
          </w:p>
        </w:tc>
        <w:tc>
          <w:tcPr>
            <w:tcW w:type="dxa" w:w="60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三级档案CRUD、检索、逻辑删除、授权访问。</w:t>
            </w:r>
          </w:p>
        </w:tc>
        <w:tc>
          <w:tcPr>
            <w:tcW w:type="dxa" w:w="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F03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方案管理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新建、保存、编辑、复制、版本号、逻辑删除。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F04</w:t>
            </w:r>
          </w:p>
        </w:tc>
        <w:tc>
          <w:tcPr>
            <w:tcW w:type="dxa" w:w="1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基础参数录入</w:t>
            </w:r>
          </w:p>
        </w:tc>
        <w:tc>
          <w:tcPr>
            <w:tcW w:type="dxa" w:w="60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C0、G及污染物选择；C0/G为非负浓度。</w:t>
            </w:r>
          </w:p>
        </w:tc>
        <w:tc>
          <w:tcPr>
            <w:tcW w:type="dxa" w:w="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F05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单位换算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ppb与μg/m³显示切换；内部统一μg/m³。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F06</w:t>
            </w:r>
          </w:p>
        </w:tc>
        <w:tc>
          <w:tcPr>
            <w:tcW w:type="dxa" w:w="1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过滤参数</w:t>
            </w:r>
          </w:p>
        </w:tc>
        <w:tc>
          <w:tcPr>
            <w:tcW w:type="dxa" w:w="60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MAU/Ceiling/ARU效率与覆盖率，界面0-100%，后台0-1。</w:t>
            </w:r>
          </w:p>
        </w:tc>
        <w:tc>
          <w:tcPr>
            <w:tcW w:type="dxa" w:w="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F07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风比与校验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α/β输入联动、强制和为1、范围和异常校验。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F08</w:t>
            </w:r>
          </w:p>
        </w:tc>
        <w:tc>
          <w:tcPr>
            <w:tcW w:type="dxa" w:w="1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稳态计算引擎</w:t>
            </w:r>
          </w:p>
        </w:tc>
        <w:tc>
          <w:tcPr>
            <w:tcW w:type="dxa" w:w="60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按确认公式迭代，ε=1×10^-6、最多200次、异常工况检测。</w:t>
            </w:r>
          </w:p>
        </w:tc>
        <w:tc>
          <w:tcPr>
            <w:tcW w:type="dxa" w:w="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F09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结果展示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输出各节点、Cr、单位、收敛次数和可折叠迭代明细。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F10</w:t>
            </w:r>
          </w:p>
        </w:tc>
        <w:tc>
          <w:tcPr>
            <w:tcW w:type="dxa" w:w="1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达标判断</w:t>
            </w:r>
          </w:p>
        </w:tc>
        <w:tc>
          <w:tcPr>
            <w:tcW w:type="dxa" w:w="60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pass/fail/no_standard三态；显示阈值和来源。</w:t>
            </w:r>
          </w:p>
        </w:tc>
        <w:tc>
          <w:tcPr>
            <w:tcW w:type="dxa" w:w="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F11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标准库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企业/行业/客户标准、优先级、启停、手工覆盖及导入。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F12</w:t>
            </w:r>
          </w:p>
        </w:tc>
        <w:tc>
          <w:tcPr>
            <w:tcW w:type="dxa" w:w="1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方案对比</w:t>
            </w:r>
          </w:p>
        </w:tc>
        <w:tc>
          <w:tcPr>
            <w:tcW w:type="dxa" w:w="60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最多5个同洁净室方案；参数、节点、Cr、达标结论及图表。</w:t>
            </w:r>
          </w:p>
        </w:tc>
        <w:tc>
          <w:tcPr>
            <w:tcW w:type="dxa" w:w="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F13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二维演示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按真实节点值映射气流路径与粒子密度；仅用于表达，不参与计算。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F14</w:t>
            </w:r>
          </w:p>
        </w:tc>
        <w:tc>
          <w:tcPr>
            <w:tcW w:type="dxa" w:w="1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污染物库</w:t>
            </w:r>
          </w:p>
        </w:tc>
        <w:tc>
          <w:tcPr>
            <w:tcW w:type="dxa" w:w="60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中文/英文名、式、CAS、沸点、摩尔质量；名称/CAS检索。</w:t>
            </w:r>
          </w:p>
        </w:tc>
        <w:tc>
          <w:tcPr>
            <w:tcW w:type="dxa" w:w="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F15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Excel报告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导出项目、参数、节点结果、结论、版本和生成信息。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F16</w:t>
            </w:r>
          </w:p>
        </w:tc>
        <w:tc>
          <w:tcPr>
            <w:tcW w:type="dxa" w:w="1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PDF报告</w:t>
            </w:r>
          </w:p>
        </w:tc>
        <w:tc>
          <w:tcPr>
            <w:tcW w:type="dxa" w:w="60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专业通用样式，含静态气流示意图，不含动画。</w:t>
            </w:r>
          </w:p>
        </w:tc>
        <w:tc>
          <w:tcPr>
            <w:tcW w:type="dxa" w:w="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F17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历史记录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按项目/洁净室/方案/时间/操作者查询，结果不可被方案修改覆盖。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F18</w:t>
            </w:r>
          </w:p>
        </w:tc>
        <w:tc>
          <w:tcPr>
            <w:tcW w:type="dxa" w:w="1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数据导出/备份</w:t>
            </w:r>
          </w:p>
        </w:tc>
        <w:tc>
          <w:tcPr>
            <w:tcW w:type="dxa" w:w="60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管理员执行导出并记录；恢复操作需授权和审计。</w:t>
            </w:r>
          </w:p>
        </w:tc>
        <w:tc>
          <w:tcPr>
            <w:tcW w:type="dxa" w:w="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P1/待确认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F19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部署交付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Web部署、配置说明、初始化、内网/单机部署包、源码与使用说明。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P0</w:t>
            </w:r>
          </w:p>
        </w:tc>
      </w:tr>
    </w:tbl>
    <w:p>
      <w:pPr>
        <w:spacing w:after="0" w:before="0"/>
      </w:pPr>
    </w:p>
    <w:p>
      <w:pPr>
        <w:pStyle w:val="Heading2"/>
        <w:keepNext/>
      </w:pPr>
      <w:r>
        <w:t>7.1 关键交互规则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效率、覆盖率和风比在界面以百分比输入；保存和计算前转为0-1小数。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输入α时自动计算β=1-α，反向亦然；禁止提交α+β不等于1的数据。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C0、G允许0；上限暂按1,000,000 ppb等值范围，超常规值显示警告但不直接禁止。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没有标准库数据时必须允许手工输入目标值，并将结论标记为有标准后的pass/fail；未输入目标值则为no_standard。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污染物用于资料、单位换算和标准匹配；C0/G本身由用户输入，不由污染物库自动生成。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二维演示读取与计算结果完全相同的节点数据，不独立计算、不修改结果、不写回后端。</w:t>
      </w:r>
    </w:p>
    <w:p>
      <w:pPr>
        <w:pStyle w:val="Heading2"/>
        <w:keepNext/>
      </w:pPr>
      <w:r>
        <w:t>7.2 报告最低内容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软件名称、企业Logo预留位、客户/项目/洁净室/方案信息。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污染物、原始输入值、单位、换算后的内部值和换算参数。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过滤效率、覆盖率、α、β及算法版本。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C0、C1/Cout1、C_return/Cout3、Cmix、Cout2、Cr及最终稳态浓度。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目标值、标准来源、达标结论、计算时间和操作者。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PDF包含气流路径静态示意图；对比报告包含方案参数和结果图表。</w:t>
      </w:r>
    </w:p>
    <w:p>
      <w:pPr>
        <w:pStyle w:val="Heading1"/>
        <w:keepNext/>
      </w:pPr>
      <w:r>
        <w:t>8. 稳态计算模型</w:t>
      </w:r>
    </w:p>
    <w:p>
      <w:pPr>
        <w:pStyle w:val="Heading2"/>
        <w:keepNext/>
      </w:pPr>
      <w:r>
        <w:t>8.1 输入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50"/>
        <w:gridCol w:w="3300"/>
        <w:gridCol w:w="2050"/>
        <w:gridCol w:w="2260"/>
      </w:tblGrid>
      <w:tr>
        <w:trPr>
          <w:cantSplit/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符号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含义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输入单位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校验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C0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室外空气污染物浓度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ppb或μg/m³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≥0</w:t>
            </w:r>
          </w:p>
        </w:tc>
      </w:tr>
      <w:tr>
        <w:trPr>
          <w:cantSplit/>
        </w:trPr>
        <w:tc>
          <w:tcPr>
            <w:tcW w:type="dxa" w:w="17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G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室内污染物折算浓度</w:t>
            </w:r>
          </w:p>
        </w:tc>
        <w:tc>
          <w:tcPr>
            <w:tcW w:type="dxa" w:w="20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ppb或μg/m³</w:t>
            </w:r>
          </w:p>
        </w:tc>
        <w:tc>
          <w:tcPr>
            <w:tcW w:type="dxa" w:w="2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≥0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η_MAU / cov_MAU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MAU效率/覆盖率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%（界面）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0-100%</w:t>
            </w:r>
          </w:p>
        </w:tc>
      </w:tr>
      <w:tr>
        <w:trPr>
          <w:cantSplit/>
        </w:trPr>
        <w:tc>
          <w:tcPr>
            <w:tcW w:type="dxa" w:w="17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η_ceil / cov_ceil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Ceiling效率/覆盖率</w:t>
            </w:r>
          </w:p>
        </w:tc>
        <w:tc>
          <w:tcPr>
            <w:tcW w:type="dxa" w:w="20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%（界面）</w:t>
            </w:r>
          </w:p>
        </w:tc>
        <w:tc>
          <w:tcPr>
            <w:tcW w:type="dxa" w:w="2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0-100%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η_ARU / cov_ARU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ARU效率/覆盖率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%（界面）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0-100%</w:t>
            </w:r>
          </w:p>
        </w:tc>
      </w:tr>
      <w:tr>
        <w:trPr>
          <w:cantSplit/>
        </w:trPr>
        <w:tc>
          <w:tcPr>
            <w:tcW w:type="dxa" w:w="17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α / β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新风比/回风比</w:t>
            </w:r>
          </w:p>
        </w:tc>
        <w:tc>
          <w:tcPr>
            <w:tcW w:type="dxa" w:w="20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%（界面）</w:t>
            </w:r>
          </w:p>
        </w:tc>
        <w:tc>
          <w:tcPr>
            <w:tcW w:type="dxa" w:w="2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0-100%，α+β=1</w:t>
            </w:r>
          </w:p>
        </w:tc>
      </w:tr>
    </w:tbl>
    <w:p>
      <w:pPr>
        <w:spacing w:after="0" w:before="0"/>
      </w:pPr>
    </w:p>
    <w:p>
      <w:pPr>
        <w:pStyle w:val="Heading2"/>
        <w:keepNext/>
      </w:pPr>
      <w:r>
        <w:t>8.2 计算公式</w:t>
      </w:r>
    </w:p>
    <w:p>
      <w:pPr>
        <w:pStyle w:val="CodeBlock"/>
      </w:pPr>
      <w:r>
        <w:rPr>
          <w:rFonts w:ascii="Consolas" w:hAnsi="Consolas" w:eastAsia="Consolas"/>
          <w:color w:val="0B2545"/>
          <w:sz w:val="18"/>
        </w:rPr>
        <w:t>C1 = C0 × (1 - η_MAU × cov_MAU)</w:t>
      </w:r>
    </w:p>
    <w:p>
      <w:pPr>
        <w:pStyle w:val="CodeBlock"/>
      </w:pPr>
      <w:r>
        <w:rPr>
          <w:rFonts w:ascii="Consolas" w:hAnsi="Consolas" w:eastAsia="Consolas"/>
          <w:color w:val="0B2545"/>
          <w:sz w:val="18"/>
        </w:rPr>
        <w:t>C_return = Cr_old × (1 - η_ARU × cov_ARU)</w:t>
      </w:r>
    </w:p>
    <w:p>
      <w:pPr>
        <w:pStyle w:val="CodeBlock"/>
      </w:pPr>
      <w:r>
        <w:rPr>
          <w:rFonts w:ascii="Consolas" w:hAnsi="Consolas" w:eastAsia="Consolas"/>
          <w:color w:val="0B2545"/>
          <w:sz w:val="18"/>
        </w:rPr>
        <w:t>Cmix = α × C1 + β × C_return</w:t>
      </w:r>
    </w:p>
    <w:p>
      <w:pPr>
        <w:pStyle w:val="CodeBlock"/>
      </w:pPr>
      <w:r>
        <w:rPr>
          <w:rFonts w:ascii="Consolas" w:hAnsi="Consolas" w:eastAsia="Consolas"/>
          <w:color w:val="0B2545"/>
          <w:sz w:val="18"/>
        </w:rPr>
        <w:t>Cout2 = Cmix × (1 - η_ceil)    [过滤器本体出口，不含覆盖率]</w:t>
      </w:r>
    </w:p>
    <w:p>
      <w:pPr>
        <w:pStyle w:val="CodeBlock"/>
      </w:pPr>
      <w:r>
        <w:rPr>
          <w:rFonts w:ascii="Consolas" w:hAnsi="Consolas" w:eastAsia="Consolas"/>
          <w:color w:val="0B2545"/>
          <w:sz w:val="18"/>
        </w:rPr>
        <w:t>Cr_new = Cmix × (1 - η_ceil × cov_ceil) + α × G</w:t>
      </w:r>
    </w:p>
    <w:p>
      <w:pPr>
        <w:keepLines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初值按企业Excel口径取C0。每轮令Cr_old=上一轮Cr_new，直到|Cr_new-Cr_old|达到收敛阈值或迭代次数达到上限。默认ε=1×10^-6、最大200次，二者由管理员配置并保存配置快照。</w:t>
      </w:r>
    </w:p>
    <w:p>
      <w:pPr>
        <w:pStyle w:val="Heading2"/>
        <w:keepNext/>
      </w:pPr>
      <w:r>
        <w:t>8.3 单位换算</w:t>
      </w:r>
    </w:p>
    <w:p>
      <w:pPr>
        <w:keepLines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内部计算统一使用μg/m³。换算公式：C(μg/m³)=C(ppb)×M(g/mol)÷Vm(L/mol)。一期Vm默认24.04 L/mol，并允许管理员配置；每次计算必须保存M与Vm快照。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FFF4CC"/>
          <w:left w:val="single" w:sz="4" w:color="FFF4CC"/>
          <w:bottom w:val="single" w:sz="4" w:color="FFF4CC"/>
          <w:right w:val="single" w:sz="4" w:color="FFF4CC"/>
          <w:insideH w:val="single" w:sz="4" w:color="FFF4CC"/>
          <w:insideV w:val="single" w:sz="4" w:color="FFF4CC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CC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 xml:space="preserve">数据说明  </w:t>
            </w:r>
            <w:r>
              <w:rPr>
                <w:rFonts w:ascii="Microsoft YaHei" w:hAnsi="Microsoft YaHei" w:eastAsia="Microsoft YaHei"/>
                <w:color w:val="222222"/>
                <w:sz w:val="20"/>
              </w:rPr>
              <w:t>现有污染物表尾注把24.04 L/mol写为25℃、1 atm，与需求确认中的约20℃描述不一致。PRD保留客户已选择的数值24.04，但参比温度文字必须在发布前确认。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8.4 收敛与异常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后端必须复验所有输入约束，不能只依赖前端校验。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若200次内未达到阈值，返回计算未收敛，不生成pass/fail结论。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当迭代映射不具收缩性或出现无唯一稳态解的退化工况时，返回明确异常，不得把数值未变化误判为有效收敛。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计算过程使用足够精度的数值类型；数据库展示精度不得反向限制计算精度。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验收比较保留完整计算精度，不以界面四舍五入后的6位小数进行比较。</w:t>
      </w:r>
    </w:p>
    <w:p>
      <w:pPr>
        <w:pStyle w:val="Heading1"/>
        <w:keepNext/>
      </w:pPr>
      <w:r>
        <w:t>9. 数据与数据库需求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800"/>
        <w:gridCol w:w="3600"/>
        <w:gridCol w:w="39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域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主要实体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平台基础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sys_user、角色/权限、customer、project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与过滤器应用共享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AMC档案</w:t>
            </w:r>
          </w:p>
        </w:tc>
        <w:tc>
          <w:tcPr>
            <w:tcW w:type="dxa" w:w="36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cleanroom、scheme、scheme_input</w:t>
            </w:r>
          </w:p>
        </w:tc>
        <w:tc>
          <w:tcPr>
            <w:tcW w:type="dxa" w:w="39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保存方案与当前输入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计算追溯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calc_result、calc_input_snapshot、calc_iter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每次计算独立留痕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基础数据</w:t>
            </w:r>
          </w:p>
        </w:tc>
        <w:tc>
          <w:tcPr>
            <w:tcW w:type="dxa" w:w="36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pollutant、std_library、import_record</w:t>
            </w:r>
          </w:p>
        </w:tc>
        <w:tc>
          <w:tcPr>
            <w:tcW w:type="dxa" w:w="39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污染物与标准维护/导入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报告审计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report_record、operation_log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记录生成、修改和关键操作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运维</w:t>
            </w:r>
          </w:p>
        </w:tc>
        <w:tc>
          <w:tcPr>
            <w:tcW w:type="dxa" w:w="36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backup_record / export_record</w:t>
            </w:r>
          </w:p>
        </w:tc>
        <w:tc>
          <w:tcPr>
            <w:tcW w:type="dxa" w:w="39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按最终备份责任确定</w:t>
            </w:r>
          </w:p>
        </w:tc>
      </w:tr>
    </w:tbl>
    <w:p>
      <w:pPr>
        <w:spacing w:after="0" w:before="0"/>
      </w:pPr>
    </w:p>
    <w:p>
      <w:pPr>
        <w:pStyle w:val="Heading2"/>
        <w:keepNext/>
      </w:pPr>
      <w:r>
        <w:t>9.1 强制数据规则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业务主键统一使用BIGINT；时间使用统一时区并记录created_at/updated_at。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客户、项目、洁净室、方案采用逻辑删除；被历史计算引用的数据不得物理删除。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scheme.std_pollutant_id在手工标准模式下必须允许为空。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标准库须支持industry、enterprise、customer三类来源，并记录适用客户/范围、优先级、生效状态和版本。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calc_result必须关联不可变输入快照，保存单位、摩尔质量、摩尔体积常数、阈值、算法版本和标准值快照。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报告记录应关联具体calc_result，而不是仅关联可能继续变化的scheme。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CAS号按文本保存并建立唯一性/别名治理规则，不允许Excel日期格式进入正式库。</w:t>
      </w:r>
    </w:p>
    <w:p>
      <w:pPr>
        <w:pStyle w:val="Heading1"/>
        <w:keepNext/>
      </w:pPr>
      <w:r>
        <w:t>10. 接口与集成需求</w:t>
      </w:r>
    </w:p>
    <w:p>
      <w:pPr>
        <w:keepLines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接口采用RESTful + JSON（UTF-8），Base URL为/api。JSON字段使用camelCase，数据库字段使用snake_case。除登录外的写操作均需Bearer Token鉴权。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550"/>
        <w:gridCol w:w="3350"/>
        <w:gridCol w:w="4460"/>
      </w:tblGrid>
      <w:tr>
        <w:trPr>
          <w:cantSplit/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分组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路径建议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认证/用户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/api/auth、/api/users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登录、登出、用户和权限</w:t>
            </w:r>
          </w:p>
        </w:tc>
      </w:tr>
      <w:tr>
        <w:trPr>
          <w:cantSplit/>
        </w:trPr>
        <w:tc>
          <w:tcPr>
            <w:tcW w:type="dxa" w:w="15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业务档案</w:t>
            </w:r>
          </w:p>
        </w:tc>
        <w:tc>
          <w:tcPr>
            <w:tcW w:type="dxa" w:w="33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/api/customers、/api/projects、/api/cleanrooms</w:t>
            </w:r>
          </w:p>
        </w:tc>
        <w:tc>
          <w:tcPr>
            <w:tcW w:type="dxa" w:w="44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三级档案CRUD与查询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方案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/api/schemes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CRUD、复制、详情、版本</w:t>
            </w:r>
          </w:p>
        </w:tc>
      </w:tr>
      <w:tr>
        <w:trPr>
          <w:cantSplit/>
        </w:trPr>
        <w:tc>
          <w:tcPr>
            <w:tcW w:type="dxa" w:w="15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计算</w:t>
            </w:r>
          </w:p>
        </w:tc>
        <w:tc>
          <w:tcPr>
            <w:tcW w:type="dxa" w:w="33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/api/schemes/{id}/calc</w:t>
            </w:r>
          </w:p>
        </w:tc>
        <w:tc>
          <w:tcPr>
            <w:tcW w:type="dxa" w:w="44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执行计算并返回节点、迭代和结论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结果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/api/schemes/{id}/results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查询历史结果和单次快照</w:t>
            </w:r>
          </w:p>
        </w:tc>
      </w:tr>
      <w:tr>
        <w:trPr>
          <w:cantSplit/>
        </w:trPr>
        <w:tc>
          <w:tcPr>
            <w:tcW w:type="dxa" w:w="15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对比</w:t>
            </w:r>
          </w:p>
        </w:tc>
        <w:tc>
          <w:tcPr>
            <w:tcW w:type="dxa" w:w="33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/api/schemes/compare</w:t>
            </w:r>
          </w:p>
        </w:tc>
        <w:tc>
          <w:tcPr>
            <w:tcW w:type="dxa" w:w="44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最多5个方案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资料库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/api/pollutants、/api/standards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查询、维护、启停</w:t>
            </w:r>
          </w:p>
        </w:tc>
      </w:tr>
      <w:tr>
        <w:trPr>
          <w:cantSplit/>
        </w:trPr>
        <w:tc>
          <w:tcPr>
            <w:tcW w:type="dxa" w:w="15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导入</w:t>
            </w:r>
          </w:p>
        </w:tc>
        <w:tc>
          <w:tcPr>
            <w:tcW w:type="dxa" w:w="33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/api/imports/pollutants、/api/imports/standards</w:t>
            </w:r>
          </w:p>
        </w:tc>
        <w:tc>
          <w:tcPr>
            <w:tcW w:type="dxa" w:w="44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模板下载、预校验、执行、结果回执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报告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/api/results/{id}/report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按具体计算结果导出Excel/PDF</w:t>
            </w:r>
          </w:p>
        </w:tc>
      </w:tr>
    </w:tbl>
    <w:p>
      <w:pPr>
        <w:spacing w:after="0" w:before="0"/>
      </w:pPr>
    </w:p>
    <w:p>
      <w:pPr>
        <w:pStyle w:val="Heading2"/>
        <w:keepNext/>
      </w:pPr>
      <w:r>
        <w:t>10.1 统一响应与错误</w:t>
      </w:r>
    </w:p>
    <w:p>
      <w:pPr>
        <w:keepLines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业务响应至少包含code、message、data、requestId。HTTP状态码应表达传输/鉴权语义，业务code表达具体原因。参数错误必须返回字段级错误信息；计算未收敛需返回独立错误码。</w:t>
      </w:r>
    </w:p>
    <w:p>
      <w:pPr>
        <w:pStyle w:val="Heading2"/>
        <w:keepNext/>
      </w:pPr>
      <w:r>
        <w:t>10.2 Excel导入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提供版本化模板，所有标识字段按文本读取。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先预校验再提交：返回总行数、有效行、警告、错误及重复项。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CAS号、标准值、单位和来源存在错误时不得静默导入。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执行结果可下载；记录文件名、哈希、操作者、时间和统计。</w:t>
      </w:r>
    </w:p>
    <w:p>
      <w:pPr>
        <w:pStyle w:val="Heading1"/>
        <w:keepNext/>
      </w:pPr>
      <w:r>
        <w:t>11. 非功能需求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100"/>
        <w:gridCol w:w="1450"/>
        <w:gridCol w:w="6810"/>
      </w:tblGrid>
      <w:tr>
        <w:trPr>
          <w:cantSplit/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ID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NFR-01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准确性</w:t>
            </w:r>
          </w:p>
        </w:tc>
        <w:tc>
          <w:tcPr>
            <w:tcW w:type="dxa" w:w="6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使用未舍入数值验收；3-5组基准全部满足相对误差≤1×10^-6。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NFR-02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安全</w:t>
            </w:r>
          </w:p>
        </w:tc>
        <w:tc>
          <w:tcPr>
            <w:tcW w:type="dxa" w:w="681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密码仅存强哈希；Token过期；RBAC；越权访问返回拒绝；敏感日志脱敏。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NFR-03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审计</w:t>
            </w:r>
          </w:p>
        </w:tc>
        <w:tc>
          <w:tcPr>
            <w:tcW w:type="dxa" w:w="6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登录、基础库修改、方案删除、计算、报告、导入、恢复均记录操作者和时间。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NFR-04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性能</w:t>
            </w:r>
          </w:p>
        </w:tc>
        <w:tc>
          <w:tcPr>
            <w:tcW w:type="dxa" w:w="681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普通列表/详情在典型内网环境目标2秒内响应；单方案计算目标1秒内完成。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NFR-05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可靠性</w:t>
            </w:r>
          </w:p>
        </w:tc>
        <w:tc>
          <w:tcPr>
            <w:tcW w:type="dxa" w:w="6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数据库事务保证方案、快照和结果一致；失败不得留下半成品结果。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NFR-06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兼容性</w:t>
            </w:r>
          </w:p>
        </w:tc>
        <w:tc>
          <w:tcPr>
            <w:tcW w:type="dxa" w:w="681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支持当前主流Chromium内核浏览器；屏幕宽度≥1366px优先。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NFR-07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可维护性</w:t>
            </w:r>
          </w:p>
        </w:tc>
        <w:tc>
          <w:tcPr>
            <w:tcW w:type="dxa" w:w="6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配置、算法版本、导入模板和数据库迁移均版本化；提供部署与恢复说明。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NFR-08</w:t>
            </w:r>
          </w:p>
        </w:tc>
        <w:tc>
          <w:tcPr>
            <w:tcW w:type="dxa" w:w="14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可观测性</w:t>
            </w:r>
          </w:p>
        </w:tc>
        <w:tc>
          <w:tcPr>
            <w:tcW w:type="dxa" w:w="681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后端记录requestId、错误栈和关键计算耗时；不在日志记录明文密码。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NFR-09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数据保留</w:t>
            </w:r>
          </w:p>
        </w:tc>
        <w:tc>
          <w:tcPr>
            <w:tcW w:type="dxa" w:w="6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默认长期保留；最终年限和备份责任以客户书面确认结果为准。</w:t>
            </w:r>
          </w:p>
        </w:tc>
      </w:tr>
    </w:tbl>
    <w:p>
      <w:pPr>
        <w:spacing w:after="0" w:before="0"/>
      </w:pPr>
    </w:p>
    <w:p>
      <w:pPr>
        <w:pStyle w:val="Heading1"/>
        <w:keepNext/>
      </w:pPr>
      <w:r>
        <w:t>12. 数据初始化与迁移</w:t>
      </w:r>
    </w:p>
    <w:p>
      <w:pPr>
        <w:pStyle w:val="Heading2"/>
        <w:keepNext/>
      </w:pPr>
      <w:r>
        <w:t>12.1 污染物库</w:t>
      </w:r>
    </w:p>
    <w:p>
      <w:pPr>
        <w:keepLines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当前《AMC明细汇总-更新V1》包含116行且字段已补齐，但正式初始化前仍须进行CAS标准化、别名合并和企业确认。现阶段不得把“116”视为唯一污染物数量的最终验收口径。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0"/>
        <w:gridCol w:w="3800"/>
        <w:gridCol w:w="38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现状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发布前处理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CAS格式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10条包含斜杠、中文标点或多余位数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统一为文本NN...-NN-N并由企业复核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同CAS别名</w:t>
            </w:r>
          </w:p>
        </w:tc>
        <w:tc>
          <w:tcPr>
            <w:tcW w:type="dxa" w:w="3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均三甲苯/1,3,5-三甲苯</w:t>
            </w:r>
          </w:p>
        </w:tc>
        <w:tc>
          <w:tcPr>
            <w:tcW w:type="dxa" w:w="38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合并主记录，另一名称进入别名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同CAS别名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全氯乙烯/四氯乙烯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合并主记录，另一名称进入别名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摩尔体积说明</w:t>
            </w:r>
          </w:p>
        </w:tc>
        <w:tc>
          <w:tcPr>
            <w:tcW w:type="dxa" w:w="3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24.04对应温度文字不一致</w:t>
            </w:r>
          </w:p>
        </w:tc>
        <w:tc>
          <w:tcPr>
            <w:tcW w:type="dxa" w:w="38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保留数值，确认参比条件</w:t>
            </w:r>
          </w:p>
        </w:tc>
      </w:tr>
    </w:tbl>
    <w:p>
      <w:pPr>
        <w:spacing w:after="0" w:before="0"/>
      </w:pPr>
    </w:p>
    <w:p>
      <w:pPr>
        <w:pStyle w:val="Heading2"/>
        <w:keepNext/>
      </w:pPr>
      <w:r>
        <w:t>12.2 标准库</w:t>
      </w:r>
    </w:p>
    <w:p>
      <w:pPr>
        <w:keepLines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企业当前暂无完整目标浓度/标准值数据。一期必须提供手工目标值兜底；标准库结构、维护和导入功能仍需实现，数据由企业后续提供并确认。</w:t>
      </w:r>
    </w:p>
    <w:p>
      <w:pPr>
        <w:pStyle w:val="Heading2"/>
        <w:keepNext/>
      </w:pPr>
      <w:r>
        <w:t>12.3 基准案例</w:t>
      </w:r>
    </w:p>
    <w:p>
      <w:pPr>
        <w:keepLines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现有1.xlsx和2.xlsx可作为开发自测样例，分别得到约2.0652173913和1.6458333402。正式验收仍需客户提供或书面确认3-5组覆盖典型、高浓度、低效率、不同风比、ARU启用及边界条件的完整案例。</w:t>
      </w:r>
    </w:p>
    <w:p>
      <w:pPr>
        <w:pStyle w:val="Heading1"/>
        <w:keepNext/>
      </w:pPr>
      <w:r>
        <w:t>13. 验收标准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050"/>
        <w:gridCol w:w="1850"/>
        <w:gridCol w:w="6460"/>
      </w:tblGrid>
      <w:tr>
        <w:trPr>
          <w:cantSplit/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ID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验收项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AC-01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登录与权限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各角色菜单、写权限和数据范围符合矩阵；禁用账号无法登录。</w:t>
            </w:r>
          </w:p>
        </w:tc>
      </w:tr>
      <w:tr>
        <w:trPr>
          <w:cantSplit/>
        </w:trPr>
        <w:tc>
          <w:tcPr>
            <w:tcW w:type="dxa" w:w="10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AC-02</w:t>
            </w:r>
          </w:p>
        </w:tc>
        <w:tc>
          <w:tcPr>
            <w:tcW w:type="dxa" w:w="18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业务档案</w:t>
            </w:r>
          </w:p>
        </w:tc>
        <w:tc>
          <w:tcPr>
            <w:tcW w:type="dxa" w:w="64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可完整建立客户—项目—洁净室—方案；逻辑删除不破坏历史。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AC-03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输入校验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空值、负浓度、效率&gt;100%、α+β≠1均被阻止并准确提示。</w:t>
            </w:r>
          </w:p>
        </w:tc>
      </w:tr>
      <w:tr>
        <w:trPr>
          <w:cantSplit/>
        </w:trPr>
        <w:tc>
          <w:tcPr>
            <w:tcW w:type="dxa" w:w="10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AC-04</w:t>
            </w:r>
          </w:p>
        </w:tc>
        <w:tc>
          <w:tcPr>
            <w:tcW w:type="dxa" w:w="18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单位换算</w:t>
            </w:r>
          </w:p>
        </w:tc>
        <w:tc>
          <w:tcPr>
            <w:tcW w:type="dxa" w:w="64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ppb/μg/m³双向显示正确；计算快照保存M与Vm。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AC-05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模型一致性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3-5组客户确认案例逐项比对，核心及节点结果满足约定误差。</w:t>
            </w:r>
          </w:p>
        </w:tc>
      </w:tr>
      <w:tr>
        <w:trPr>
          <w:cantSplit/>
        </w:trPr>
        <w:tc>
          <w:tcPr>
            <w:tcW w:type="dxa" w:w="10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AC-06</w:t>
            </w:r>
          </w:p>
        </w:tc>
        <w:tc>
          <w:tcPr>
            <w:tcW w:type="dxa" w:w="18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异常计算</w:t>
            </w:r>
          </w:p>
        </w:tc>
        <w:tc>
          <w:tcPr>
            <w:tcW w:type="dxa" w:w="64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不收敛和退化工况有明确状态，不生成误导性达标结论。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AC-07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达标判断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pass/fail/no_standard三态正确，报告与界面一致。</w:t>
            </w:r>
          </w:p>
        </w:tc>
      </w:tr>
      <w:tr>
        <w:trPr>
          <w:cantSplit/>
        </w:trPr>
        <w:tc>
          <w:tcPr>
            <w:tcW w:type="dxa" w:w="10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AC-08</w:t>
            </w:r>
          </w:p>
        </w:tc>
        <w:tc>
          <w:tcPr>
            <w:tcW w:type="dxa" w:w="18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方案对比</w:t>
            </w:r>
          </w:p>
        </w:tc>
        <w:tc>
          <w:tcPr>
            <w:tcW w:type="dxa" w:w="64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最多5个方案，参数、节点、Cr、结论和图表一致。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AC-09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资料导入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错误行不入库；可下载校验结果；CAS不被转换为日期。</w:t>
            </w:r>
          </w:p>
        </w:tc>
      </w:tr>
      <w:tr>
        <w:trPr>
          <w:cantSplit/>
        </w:trPr>
        <w:tc>
          <w:tcPr>
            <w:tcW w:type="dxa" w:w="10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AC-10</w:t>
            </w:r>
          </w:p>
        </w:tc>
        <w:tc>
          <w:tcPr>
            <w:tcW w:type="dxa" w:w="18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二维演示</w:t>
            </w:r>
          </w:p>
        </w:tc>
        <w:tc>
          <w:tcPr>
            <w:tcW w:type="dxa" w:w="64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节点值来自计算结果，粒子密度变化方向与数值一致。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AC-11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报告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Excel/PDF内容完整、数值一致、中文无乱码、文件可正常打开。</w:t>
            </w:r>
          </w:p>
        </w:tc>
      </w:tr>
      <w:tr>
        <w:trPr>
          <w:cantSplit/>
        </w:trPr>
        <w:tc>
          <w:tcPr>
            <w:tcW w:type="dxa" w:w="10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AC-12</w:t>
            </w:r>
          </w:p>
        </w:tc>
        <w:tc>
          <w:tcPr>
            <w:tcW w:type="dxa" w:w="18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历史追溯</w:t>
            </w:r>
          </w:p>
        </w:tc>
        <w:tc>
          <w:tcPr>
            <w:tcW w:type="dxa" w:w="64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修改当前方案后，历史输入、标准、算法与报告仍可复现。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AC-13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部署交付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目标环境完成安装、初始化、备份演练和用户验收；交付源码与文档。</w:t>
            </w:r>
          </w:p>
        </w:tc>
      </w:tr>
    </w:tbl>
    <w:p>
      <w:pPr>
        <w:spacing w:after="0" w:before="0"/>
      </w:pPr>
    </w:p>
    <w:p>
      <w:pPr>
        <w:pStyle w:val="Heading2"/>
        <w:keepNext/>
      </w:pPr>
      <w:r>
        <w:t>13.1 误差计算规则</w:t>
      </w:r>
    </w:p>
    <w:p>
      <w:pPr>
        <w:keepLines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已确认指标为相对误差≤1×10^-6。相对误差建议按|软件值-Excel值|/|Excel值|计算；当Excel基准值为0或接近0时，需改用绝对误差阈值。该绝对阈值尚未由客户确认，列入TBD-04。</w:t>
      </w:r>
    </w:p>
    <w:p>
      <w:pPr>
        <w:pStyle w:val="Heading1"/>
        <w:keepNext/>
      </w:pPr>
      <w:r>
        <w:t>14. 版本计划与里程碑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100"/>
        <w:gridCol w:w="1500"/>
        <w:gridCol w:w="4260"/>
        <w:gridCol w:w="2500"/>
      </w:tblGrid>
      <w:tr>
        <w:trPr>
          <w:cantSplit/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里程碑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时间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主要交付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退出条件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M0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第1.5月末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PRD/详细设计、UI原型、动画预研、数据库/API冻结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确认可开发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M1</w:t>
            </w:r>
          </w:p>
        </w:tc>
        <w:tc>
          <w:tcPr>
            <w:tcW w:type="dxa" w:w="15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第3月末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F01-F03与基础框架可运行</w:t>
            </w:r>
          </w:p>
        </w:tc>
        <w:tc>
          <w:tcPr>
            <w:tcW w:type="dxa" w:w="25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可登录、建档、建方案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M2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第5月末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F04-F11、计算引擎和达标判断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至少一版通过Excel一致性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M3</w:t>
            </w:r>
          </w:p>
        </w:tc>
        <w:tc>
          <w:tcPr>
            <w:tcW w:type="dxa" w:w="15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第7.5月末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F12-F18业务功能</w:t>
            </w:r>
          </w:p>
        </w:tc>
        <w:tc>
          <w:tcPr>
            <w:tcW w:type="dxa" w:w="25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对比、演示、报告可用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M4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第9月末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系统集成和全量基准回归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全功能联调通过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M5</w:t>
            </w:r>
          </w:p>
        </w:tc>
        <w:tc>
          <w:tcPr>
            <w:tcW w:type="dxa" w:w="15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第10月内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目标环境部署、整改与交付</w:t>
            </w:r>
          </w:p>
        </w:tc>
        <w:tc>
          <w:tcPr>
            <w:tcW w:type="dxa" w:w="25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客户验收合格</w:t>
            </w:r>
          </w:p>
        </w:tc>
      </w:tr>
    </w:tbl>
    <w:p>
      <w:pPr>
        <w:spacing w:after="0" w:before="0"/>
      </w:pPr>
    </w:p>
    <w:p>
      <w:pPr>
        <w:pStyle w:val="Heading1"/>
        <w:keepNext/>
      </w:pPr>
      <w:r>
        <w:t>15. 待确认事项与风险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950"/>
        <w:gridCol w:w="1500"/>
        <w:gridCol w:w="3300"/>
        <w:gridCol w:w="2510"/>
        <w:gridCol w:w="1100"/>
      </w:tblGrid>
      <w:tr>
        <w:trPr>
          <w:cantSplit/>
          <w:tblHeader w:val="true"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ID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事项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待确认内容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影响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建议期限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TBD-01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部署环境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企业内网服务器或单机电脑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影响安装方式、并发、备份和运维责任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开发启动前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TBD-02</w:t>
            </w:r>
          </w:p>
        </w:tc>
        <w:tc>
          <w:tcPr>
            <w:tcW w:type="dxa" w:w="15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数据保留与备份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保留年限、企业IT责任、软件内恢复范围</w:t>
            </w:r>
          </w:p>
        </w:tc>
        <w:tc>
          <w:tcPr>
            <w:tcW w:type="dxa" w:w="251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影响F18与验收演练</w:t>
            </w:r>
          </w:p>
        </w:tc>
        <w:tc>
          <w:tcPr>
            <w:tcW w:type="dxa" w:w="1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详细设计前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TBD-03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报告视觉模板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目前采用通用专业样式；Logo和正式模板未提供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后期提供可能构成模板适配变更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M3前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TBD-04</w:t>
            </w:r>
          </w:p>
        </w:tc>
        <w:tc>
          <w:tcPr>
            <w:tcW w:type="dxa" w:w="15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零值误差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Excel基准为0/近0时的绝对误差阈值</w:t>
            </w:r>
          </w:p>
        </w:tc>
        <w:tc>
          <w:tcPr>
            <w:tcW w:type="dxa" w:w="251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影响量化验收</w:t>
            </w:r>
          </w:p>
        </w:tc>
        <w:tc>
          <w:tcPr>
            <w:tcW w:type="dxa" w:w="1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测试方案冻结前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TBD-05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节点口径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截图区分Cout1/C1、Cout3/Cr；接口文档分别合并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影响结果字段、动画和报告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数据库/API冻结前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TBD-06</w:t>
            </w:r>
          </w:p>
        </w:tc>
        <w:tc>
          <w:tcPr>
            <w:tcW w:type="dxa" w:w="15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污染物最终清单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CAS标准化、两组同CAS别名和参比条件</w:t>
            </w:r>
          </w:p>
        </w:tc>
        <w:tc>
          <w:tcPr>
            <w:tcW w:type="dxa" w:w="251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影响初始化与单位换算</w:t>
            </w:r>
          </w:p>
        </w:tc>
        <w:tc>
          <w:tcPr>
            <w:tcW w:type="dxa" w:w="1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M2前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TBD-07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标准数据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行业/企业/客户标准的实际数据与适用范围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无数据时仅能手工输入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上线前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TBD-08</w:t>
            </w:r>
          </w:p>
        </w:tc>
        <w:tc>
          <w:tcPr>
            <w:tcW w:type="dxa" w:w="15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企业基准案例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当前仅2组，缺少ARU、边界和异常案例</w:t>
            </w:r>
          </w:p>
        </w:tc>
        <w:tc>
          <w:tcPr>
            <w:tcW w:type="dxa" w:w="251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阻塞正式验收方案</w:t>
            </w:r>
          </w:p>
        </w:tc>
        <w:tc>
          <w:tcPr>
            <w:tcW w:type="dxa" w:w="1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M2前</w:t>
            </w:r>
          </w:p>
        </w:tc>
      </w:tr>
    </w:tbl>
    <w:p>
      <w:pPr>
        <w:spacing w:after="0" w:before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FDECEC"/>
          <w:left w:val="single" w:sz="4" w:color="FDECEC"/>
          <w:bottom w:val="single" w:sz="4" w:color="FDECEC"/>
          <w:right w:val="single" w:sz="4" w:color="FDECEC"/>
          <w:insideH w:val="single" w:sz="4" w:color="FDECEC"/>
          <w:insideV w:val="single" w:sz="4" w:color="FDECEC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9B1C1C"/>
                <w:sz w:val="20"/>
              </w:rPr>
              <w:t xml:space="preserve">责任边界  </w:t>
            </w:r>
            <w:r>
              <w:rPr>
                <w:rFonts w:ascii="Microsoft YaHei" w:hAnsi="Microsoft YaHei" w:eastAsia="Microsoft YaHei"/>
                <w:color w:val="222222"/>
                <w:sz w:val="20"/>
              </w:rPr>
              <w:t>开发方对确认模型的软件实现和一致性负责；企业对模型公式、污染物/标准数据及工程有效性负责。若需现场有效性验证或算法研究，应另行立项。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附录A. 需求追踪矩阵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100"/>
        <w:gridCol w:w="2200"/>
        <w:gridCol w:w="3460"/>
        <w:gridCol w:w="160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产品域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功能需求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对应验收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基础平台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F01-F03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AC-01、AC-02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输入与单位</w:t>
            </w:r>
          </w:p>
        </w:tc>
        <w:tc>
          <w:tcPr>
            <w:tcW w:type="dxa" w:w="22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F04-F07</w:t>
            </w:r>
          </w:p>
        </w:tc>
        <w:tc>
          <w:tcPr>
            <w:tcW w:type="dxa" w:w="34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AC-03、AC-04</w:t>
            </w:r>
          </w:p>
        </w:tc>
        <w:tc>
          <w:tcPr>
            <w:tcW w:type="dxa" w:w="16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计算与结果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F08-F10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AC-05、AC-06、AC-07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标准与资料</w:t>
            </w:r>
          </w:p>
        </w:tc>
        <w:tc>
          <w:tcPr>
            <w:tcW w:type="dxa" w:w="22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F11、F14</w:t>
            </w:r>
          </w:p>
        </w:tc>
        <w:tc>
          <w:tcPr>
            <w:tcW w:type="dxa" w:w="34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AC-07、AC-09</w:t>
            </w:r>
          </w:p>
        </w:tc>
        <w:tc>
          <w:tcPr>
            <w:tcW w:type="dxa" w:w="16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对比与演示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F12-F13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AC-08、AC-10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报告与历史</w:t>
            </w:r>
          </w:p>
        </w:tc>
        <w:tc>
          <w:tcPr>
            <w:tcW w:type="dxa" w:w="22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F15-F17</w:t>
            </w:r>
          </w:p>
        </w:tc>
        <w:tc>
          <w:tcPr>
            <w:tcW w:type="dxa" w:w="34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AC-11、AC-12</w:t>
            </w:r>
          </w:p>
        </w:tc>
        <w:tc>
          <w:tcPr>
            <w:tcW w:type="dxa" w:w="16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运维交付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F18-F19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AC-13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P0/P1</w:t>
            </w:r>
          </w:p>
        </w:tc>
      </w:tr>
    </w:tbl>
    <w:p>
      <w:pPr>
        <w:spacing w:after="0" w:before="0"/>
      </w:pPr>
    </w:p>
    <w:p>
      <w:pPr>
        <w:pStyle w:val="Heading1"/>
        <w:keepNext/>
      </w:pPr>
      <w:r>
        <w:t>附录B. 术语与资料来源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术语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AMC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Airborne Molecular Contamination，空气分子污染物。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MAU</w:t>
            </w:r>
          </w:p>
        </w:tc>
        <w:tc>
          <w:tcPr>
            <w:tcW w:type="dxa" w:w="74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新风处理机组。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Ceiling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洁净室天花板高效过滤环节。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ARU</w:t>
            </w:r>
          </w:p>
        </w:tc>
        <w:tc>
          <w:tcPr>
            <w:tcW w:type="dxa" w:w="74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空气再循环处理单元。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Cr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模型中的稳态室内浓度/再循环总下游浓度，最终口径以TBD-05确认。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覆盖率cov</w:t>
            </w:r>
          </w:p>
        </w:tc>
        <w:tc>
          <w:tcPr>
            <w:tcW w:type="dxa" w:w="74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气流或面积中接受对应过滤处理的有效比例。</w:t>
            </w:r>
          </w:p>
        </w:tc>
      </w:tr>
    </w:tbl>
    <w:p>
      <w:pPr>
        <w:spacing w:after="0" w:before="0"/>
      </w:pPr>
    </w:p>
    <w:p>
      <w:pPr>
        <w:pStyle w:val="Heading2"/>
        <w:keepNext/>
      </w:pPr>
      <w:r>
        <w:t>资料来源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AMC洁净室稳态模拟软件_一期开发实施方案.docx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AMC洁净室稳态模拟软件_接口定义文档.docx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AMC洁净室稳态模拟软件_数据库设计说明.docx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AMC洁净室稳态模拟软件与过滤器寿命预测软件前期资料收集表-回执-V1.docx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二次确认信息采集表-回执 AMC+灰滤.docx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AMC需求确认问题清单_V1_2-回执.docx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CleanAMC_Tool_V2（nsa2026）.xlsx、1.xlsx、2.xlsx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AMC明细汇总-更新V1.xlsx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微信图片_20260709094210_6_112.jpg</w:t>
      </w:r>
    </w:p>
    <w:p>
      <w:pPr>
        <w:keepLines w:val="0"/>
        <w:spacing w:before="360" w:after="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7085"/>
          <w:sz w:val="18"/>
        </w:rPr>
        <w:t>— 文档结束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7085"/>
        <w:sz w:val="17"/>
      </w:rPr>
      <w:t xml:space="preserve">内部评审稿  ·  </w:t>
    </w:r>
    <w:r>
      <w:rPr>
        <w:rFonts w:ascii="Microsoft YaHei" w:hAnsi="Microsoft YaHei" w:eastAsia="Microsoft YaHei"/>
        <w:color w:val="667085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/>
        <w:color w:val="667085"/>
        <w:sz w:val="17"/>
      </w:rPr>
      <w:t>诺迪达空气智慧平台 · AMC-Simulation  |  PRD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Microsoft YaHei" w:hAnsi="Microsoft YaHe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80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AMC洁净室稳态模拟软件 产品需求文档（PRD）</dc:title>
  <dc:subject>一期产品需求、算法、数据、接口与验收基线</dc:subject>
  <dc:creator>项目组</dc:creator>
  <cp:keywords>AMC, 洁净室, 稳态模拟, PRD</cp:keywords>
  <dc:description>基于客户资料整合形成的V1.0评审稿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