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4B26" w:rsidRPr="00D93C1C" w:rsidRDefault="0020253E" w:rsidP="00650183">
      <w:pPr>
        <w:jc w:val="both"/>
        <w:rPr>
          <w:rFonts w:cstheme="minorHAnsi"/>
          <w:b/>
          <w:sz w:val="24"/>
          <w:szCs w:val="24"/>
          <w:lang w:val="hr-HR"/>
        </w:rPr>
      </w:pPr>
      <w:r w:rsidRPr="00D93C1C">
        <w:rPr>
          <w:rFonts w:cstheme="minorHAnsi"/>
          <w:b/>
          <w:sz w:val="24"/>
          <w:szCs w:val="24"/>
          <w:lang w:val="hr-HR"/>
        </w:rPr>
        <w:t xml:space="preserve">Analiza poslovnog procesa </w:t>
      </w:r>
      <w:r w:rsidR="00995027">
        <w:rPr>
          <w:rFonts w:cstheme="minorHAnsi"/>
          <w:b/>
          <w:sz w:val="24"/>
          <w:szCs w:val="24"/>
          <w:lang w:val="hr-HR"/>
        </w:rPr>
        <w:t>PDV registar</w:t>
      </w:r>
    </w:p>
    <w:p w:rsidR="0020253E" w:rsidRDefault="0020253E" w:rsidP="00650183">
      <w:pPr>
        <w:jc w:val="both"/>
        <w:rPr>
          <w:rFonts w:cstheme="minorHAnsi"/>
          <w:lang w:val="hr-HR"/>
        </w:rPr>
      </w:pPr>
    </w:p>
    <w:p w:rsidR="00D93C1C" w:rsidRPr="00D93C1C" w:rsidRDefault="00D93C1C" w:rsidP="00D93C1C">
      <w:pPr>
        <w:pStyle w:val="ListParagraph"/>
        <w:numPr>
          <w:ilvl w:val="0"/>
          <w:numId w:val="9"/>
        </w:numPr>
        <w:jc w:val="both"/>
        <w:rPr>
          <w:rFonts w:cstheme="minorHAnsi"/>
          <w:b/>
          <w:lang w:val="hr-HR"/>
        </w:rPr>
      </w:pPr>
      <w:r w:rsidRPr="00D93C1C">
        <w:rPr>
          <w:rFonts w:cstheme="minorHAnsi"/>
          <w:b/>
          <w:lang w:val="hr-HR"/>
        </w:rPr>
        <w:t>Uvod</w:t>
      </w:r>
    </w:p>
    <w:p w:rsidR="00D93C1C" w:rsidRDefault="00995027" w:rsidP="00D93C1C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Od 01.07.2013. godine obveznici poreza na dodanu vrijednost više ne mogu Poreznoj upravi predati papirnate obrasce mjesečnog PDV izvještaja. PDV podaci dostavljaju se Poreznoj upravi u digitalnom obliku.</w:t>
      </w:r>
    </w:p>
    <w:p w:rsidR="00995027" w:rsidRDefault="00995027" w:rsidP="00D93C1C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PDV registar je baza podataka PDV podataka svih poreznih obveznika Republike Hrvatske.</w:t>
      </w:r>
    </w:p>
    <w:p w:rsidR="00D93C1C" w:rsidRDefault="00D93C1C" w:rsidP="00D93C1C">
      <w:pPr>
        <w:jc w:val="both"/>
        <w:rPr>
          <w:rFonts w:cstheme="minorHAnsi"/>
          <w:lang w:val="hr-HR"/>
        </w:rPr>
      </w:pPr>
    </w:p>
    <w:p w:rsidR="00D93C1C" w:rsidRPr="00D93C1C" w:rsidRDefault="00580BB6" w:rsidP="00D93C1C">
      <w:pPr>
        <w:pStyle w:val="ListParagraph"/>
        <w:numPr>
          <w:ilvl w:val="0"/>
          <w:numId w:val="9"/>
        </w:numPr>
        <w:jc w:val="both"/>
        <w:rPr>
          <w:rFonts w:cstheme="minorHAnsi"/>
          <w:b/>
          <w:lang w:val="hr-HR"/>
        </w:rPr>
      </w:pPr>
      <w:r>
        <w:rPr>
          <w:rFonts w:cstheme="minorHAnsi"/>
          <w:b/>
          <w:lang w:val="hr-HR"/>
        </w:rPr>
        <w:t>Poslovni proces ažuriranja</w:t>
      </w:r>
      <w:r w:rsidR="00D93C1C" w:rsidRPr="00D93C1C">
        <w:rPr>
          <w:rFonts w:cstheme="minorHAnsi"/>
          <w:b/>
          <w:lang w:val="hr-HR"/>
        </w:rPr>
        <w:t xml:space="preserve"> VIES registra</w:t>
      </w:r>
    </w:p>
    <w:p w:rsidR="006E6B14" w:rsidRDefault="00D93C1C" w:rsidP="0020253E">
      <w:pPr>
        <w:jc w:val="both"/>
        <w:rPr>
          <w:rFonts w:cstheme="minorHAnsi"/>
          <w:lang w:val="hr-HR"/>
        </w:rPr>
      </w:pPr>
      <w:r w:rsidRPr="0020253E">
        <w:rPr>
          <w:rFonts w:cstheme="minorHAnsi"/>
          <w:lang w:val="hr-HR"/>
        </w:rPr>
        <w:t xml:space="preserve">Porezni obveznici </w:t>
      </w:r>
      <w:r w:rsidR="00995027">
        <w:rPr>
          <w:rFonts w:cstheme="minorHAnsi"/>
          <w:lang w:val="hr-HR"/>
        </w:rPr>
        <w:t xml:space="preserve">RH </w:t>
      </w:r>
      <w:r w:rsidRPr="0020253E">
        <w:rPr>
          <w:rFonts w:cstheme="minorHAnsi"/>
          <w:lang w:val="hr-HR"/>
        </w:rPr>
        <w:t xml:space="preserve">koji posluju na zajedničkom tržištu Europske unije </w:t>
      </w:r>
      <w:r w:rsidR="00995027">
        <w:rPr>
          <w:rFonts w:cstheme="minorHAnsi"/>
          <w:lang w:val="hr-HR"/>
        </w:rPr>
        <w:t>u mjesčnim PDV izvještajima popunjavaju posebna polja u PDV obrascu u kojima navode kumulativne vrijednosti stjecanja ili isporuka u određnom izvještajnom razdoblju.</w:t>
      </w:r>
    </w:p>
    <w:p w:rsidR="004C3106" w:rsidRPr="004C3106" w:rsidRDefault="00EF51A6" w:rsidP="0020253E">
      <w:pPr>
        <w:jc w:val="both"/>
        <w:rPr>
          <w:rFonts w:cstheme="minorHAnsi"/>
          <w:b/>
          <w:lang w:val="hr-HR"/>
        </w:rPr>
      </w:pPr>
      <w:r>
        <w:rPr>
          <w:rFonts w:cstheme="minorHAnsi"/>
          <w:b/>
          <w:lang w:val="hr-HR"/>
        </w:rPr>
        <w:t>PDV o</w:t>
      </w:r>
      <w:r w:rsidR="004C3106" w:rsidRPr="004C3106">
        <w:rPr>
          <w:rFonts w:cstheme="minorHAnsi"/>
          <w:b/>
          <w:lang w:val="hr-HR"/>
        </w:rPr>
        <w:t>brazac</w:t>
      </w:r>
    </w:p>
    <w:p w:rsidR="00995027" w:rsidRDefault="00995027" w:rsidP="0020253E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Obzirom da izvorni PDV obrazac sadrži  60-tak polja koja se koriste za različite tipove poreznog izvještavanja</w:t>
      </w:r>
      <w:r w:rsidR="004C3106">
        <w:rPr>
          <w:rFonts w:cstheme="minorHAnsi"/>
          <w:lang w:val="hr-HR"/>
        </w:rPr>
        <w:t>,</w:t>
      </w:r>
      <w:r>
        <w:rPr>
          <w:rFonts w:cstheme="minorHAnsi"/>
          <w:lang w:val="hr-HR"/>
        </w:rPr>
        <w:t xml:space="preserve"> za potrebe ovog projekta stilizirati će se </w:t>
      </w:r>
      <w:r w:rsidR="004C3106">
        <w:rPr>
          <w:rFonts w:cstheme="minorHAnsi"/>
          <w:lang w:val="hr-HR"/>
        </w:rPr>
        <w:t>model PDV obrasca sa poljina neophodnim za izvještavanje poreznih vrijednosti vezanih uz robnu razmjenu sa zemljama članicama EU.</w:t>
      </w:r>
    </w:p>
    <w:p w:rsidR="00A42538" w:rsidRPr="00A42538" w:rsidRDefault="004C3106" w:rsidP="0020253E">
      <w:pPr>
        <w:jc w:val="both"/>
        <w:rPr>
          <w:rFonts w:cstheme="minorHAnsi"/>
          <w:b/>
          <w:lang w:val="hr-HR"/>
        </w:rPr>
      </w:pPr>
      <w:r>
        <w:rPr>
          <w:rFonts w:cstheme="minorHAnsi"/>
          <w:b/>
          <w:lang w:val="hr-HR"/>
        </w:rPr>
        <w:t>Sadržaj modela PDV obrasca:</w:t>
      </w:r>
    </w:p>
    <w:p w:rsidR="00116910" w:rsidRDefault="00116910" w:rsidP="00116910">
      <w:pPr>
        <w:ind w:firstLine="360"/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Podaci o poreznom obvezniku</w:t>
      </w:r>
    </w:p>
    <w:p w:rsidR="00580BB6" w:rsidRPr="002C4197" w:rsidRDefault="00185B94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 xml:space="preserve">Područni ured Porezne uprave, </w:t>
      </w:r>
      <w:r w:rsidRPr="002C4197">
        <w:rPr>
          <w:rFonts w:cstheme="minorHAnsi"/>
          <w:i/>
          <w:lang w:val="hr-HR"/>
        </w:rPr>
        <w:t>šifarnik područnig ureda PU</w:t>
      </w:r>
      <w:r w:rsidRPr="002C4197">
        <w:rPr>
          <w:rFonts w:cstheme="minorHAnsi"/>
          <w:lang w:val="hr-HR"/>
        </w:rPr>
        <w:t xml:space="preserve"> </w:t>
      </w:r>
    </w:p>
    <w:p w:rsidR="00185B94" w:rsidRPr="002C4197" w:rsidRDefault="00185B94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 xml:space="preserve">Ispostava Porezne uprave, </w:t>
      </w:r>
      <w:r w:rsidRPr="002C4197">
        <w:rPr>
          <w:rFonts w:cstheme="minorHAnsi"/>
          <w:i/>
          <w:lang w:val="hr-HR"/>
        </w:rPr>
        <w:t>šifarnik Ispostava PU</w:t>
      </w:r>
    </w:p>
    <w:p w:rsidR="00185B94" w:rsidRPr="002C4197" w:rsidRDefault="00185B94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Naziv tvrtke/ Ime i prezime</w:t>
      </w:r>
    </w:p>
    <w:p w:rsidR="00185B94" w:rsidRPr="002C4197" w:rsidRDefault="00185B94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OIB</w:t>
      </w:r>
    </w:p>
    <w:p w:rsidR="00185B94" w:rsidRDefault="00185B94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Adresa</w:t>
      </w:r>
    </w:p>
    <w:p w:rsidR="004C3106" w:rsidRDefault="004C3106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Razdoblje izvještavanja</w:t>
      </w:r>
    </w:p>
    <w:p w:rsidR="004C3106" w:rsidRDefault="004C3106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Porezna osnovica za isporuku dobara unutar EU</w:t>
      </w:r>
    </w:p>
    <w:p w:rsidR="004C3106" w:rsidRDefault="004C3106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Porezna osnovica za stjecanje dobara iz EU</w:t>
      </w:r>
    </w:p>
    <w:p w:rsidR="004C3106" w:rsidRPr="002C4197" w:rsidRDefault="004C3106" w:rsidP="00185B94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Datum podnošenja izvješća</w:t>
      </w:r>
    </w:p>
    <w:p w:rsidR="004C3106" w:rsidRDefault="004C3106" w:rsidP="0020253E">
      <w:pPr>
        <w:jc w:val="both"/>
        <w:rPr>
          <w:rFonts w:cstheme="minorHAnsi"/>
          <w:lang w:val="hr-HR"/>
        </w:rPr>
      </w:pPr>
    </w:p>
    <w:p w:rsidR="00A42538" w:rsidRDefault="004C3106" w:rsidP="0020253E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 xml:space="preserve">Ovisno o tome da li porezni obveznik otprema ili stjeće dobra iz EU u obvezi je za izvještajno razdoblje dostaviti i podatke sa PDV-S i/ili ZP </w:t>
      </w:r>
      <w:r w:rsidR="00EF51A6">
        <w:rPr>
          <w:rFonts w:cstheme="minorHAnsi"/>
          <w:lang w:val="hr-HR"/>
        </w:rPr>
        <w:t>o</w:t>
      </w:r>
      <w:r>
        <w:rPr>
          <w:rFonts w:cstheme="minorHAnsi"/>
          <w:lang w:val="hr-HR"/>
        </w:rPr>
        <w:t>brasca.</w:t>
      </w:r>
    </w:p>
    <w:p w:rsidR="004C3106" w:rsidRPr="004C3106" w:rsidRDefault="004C3106" w:rsidP="0020253E">
      <w:pPr>
        <w:jc w:val="both"/>
        <w:rPr>
          <w:rFonts w:cstheme="minorHAnsi"/>
          <w:b/>
          <w:lang w:val="hr-HR"/>
        </w:rPr>
      </w:pPr>
      <w:r w:rsidRPr="004C3106">
        <w:rPr>
          <w:rFonts w:cstheme="minorHAnsi"/>
          <w:b/>
          <w:lang w:val="hr-HR"/>
        </w:rPr>
        <w:lastRenderedPageBreak/>
        <w:t xml:space="preserve">PDV-S </w:t>
      </w:r>
      <w:r w:rsidR="00EF51A6">
        <w:rPr>
          <w:rFonts w:cstheme="minorHAnsi"/>
          <w:b/>
          <w:lang w:val="hr-HR"/>
        </w:rPr>
        <w:t>o</w:t>
      </w:r>
      <w:r w:rsidRPr="004C3106">
        <w:rPr>
          <w:rFonts w:cstheme="minorHAnsi"/>
          <w:b/>
          <w:lang w:val="hr-HR"/>
        </w:rPr>
        <w:t>brazac</w:t>
      </w:r>
    </w:p>
    <w:p w:rsidR="004C3106" w:rsidRDefault="004C3106" w:rsidP="0020253E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U PDV-S obrascu porezni obveznik izvještava analitičke podatke o stjecanjima robe iz EU. Ako je u PDV obrascu u polju iskazivanja porezn</w:t>
      </w:r>
      <w:r w:rsidR="00EF51A6">
        <w:rPr>
          <w:rFonts w:cstheme="minorHAnsi"/>
          <w:lang w:val="hr-HR"/>
        </w:rPr>
        <w:t>e</w:t>
      </w:r>
      <w:r>
        <w:rPr>
          <w:rFonts w:cstheme="minorHAnsi"/>
          <w:lang w:val="hr-HR"/>
        </w:rPr>
        <w:t xml:space="preserve"> osnovic</w:t>
      </w:r>
      <w:r w:rsidR="00EF51A6">
        <w:rPr>
          <w:rFonts w:cstheme="minorHAnsi"/>
          <w:lang w:val="hr-HR"/>
        </w:rPr>
        <w:t>e za stjecanja dobara iz EU iskazao kumulativnu vrijednost svih stjecanja u određenom razdoblju, onda u PDV-S obrascu izvještava njihovu analitiku.</w:t>
      </w:r>
    </w:p>
    <w:p w:rsidR="00EF51A6" w:rsidRDefault="00EF51A6" w:rsidP="0020253E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Izvještavanje PDV-S podataka je zakonski obvezno za porezne obveznike koji su u određenom razdoblju imali stjecanja robe iz zemalja članica EU.</w:t>
      </w:r>
    </w:p>
    <w:p w:rsidR="00EF51A6" w:rsidRPr="00EF51A6" w:rsidRDefault="00EF51A6" w:rsidP="0020253E">
      <w:pPr>
        <w:jc w:val="both"/>
        <w:rPr>
          <w:rFonts w:cstheme="minorHAnsi"/>
          <w:b/>
          <w:lang w:val="hr-HR"/>
        </w:rPr>
      </w:pPr>
      <w:r w:rsidRPr="00EF51A6">
        <w:rPr>
          <w:rFonts w:cstheme="minorHAnsi"/>
          <w:b/>
          <w:lang w:val="hr-HR"/>
        </w:rPr>
        <w:t>Sadržaj PDV-S obrasca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 xml:space="preserve">Područni ured Porezne uprave, </w:t>
      </w:r>
      <w:r w:rsidRPr="002C4197">
        <w:rPr>
          <w:rFonts w:cstheme="minorHAnsi"/>
          <w:i/>
          <w:lang w:val="hr-HR"/>
        </w:rPr>
        <w:t>šifarnik područnig ureda PU</w:t>
      </w:r>
      <w:r w:rsidRPr="002C4197">
        <w:rPr>
          <w:rFonts w:cstheme="minorHAnsi"/>
          <w:lang w:val="hr-HR"/>
        </w:rPr>
        <w:t xml:space="preserve"> 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 xml:space="preserve">Ispostava Porezne uprave, </w:t>
      </w:r>
      <w:r w:rsidRPr="002C4197">
        <w:rPr>
          <w:rFonts w:cstheme="minorHAnsi"/>
          <w:i/>
          <w:lang w:val="hr-HR"/>
        </w:rPr>
        <w:t>šifarnik Ispostava PU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Naziv tvrtke/ Ime i prezime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OIB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Adresa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Razdoblje izvještavanja</w:t>
      </w:r>
    </w:p>
    <w:p w:rsidR="00EF51A6" w:rsidRDefault="00EF51A6" w:rsidP="00EF51A6">
      <w:pPr>
        <w:ind w:left="360"/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Analitika stjecanja: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Zemlja otpreme (EU)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Porezni broj isporučitelja (VAT ID)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Vrijednost stečenih dobara</w:t>
      </w:r>
    </w:p>
    <w:p w:rsidR="00EF51A6" w:rsidRDefault="00EF51A6" w:rsidP="00EF51A6">
      <w:pPr>
        <w:pStyle w:val="ListParagraph"/>
        <w:jc w:val="both"/>
        <w:rPr>
          <w:rFonts w:cstheme="minorHAnsi"/>
          <w:lang w:val="hr-HR"/>
        </w:rPr>
      </w:pPr>
    </w:p>
    <w:p w:rsidR="00EF51A6" w:rsidRP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Datum podnošenja izvješća</w:t>
      </w:r>
    </w:p>
    <w:p w:rsidR="00EF51A6" w:rsidRPr="004C3106" w:rsidRDefault="00EF51A6" w:rsidP="00EF51A6">
      <w:pPr>
        <w:jc w:val="both"/>
        <w:rPr>
          <w:rFonts w:cstheme="minorHAnsi"/>
          <w:b/>
          <w:lang w:val="hr-HR"/>
        </w:rPr>
      </w:pPr>
      <w:r>
        <w:rPr>
          <w:rFonts w:cstheme="minorHAnsi"/>
          <w:b/>
          <w:lang w:val="hr-HR"/>
        </w:rPr>
        <w:t>ZP</w:t>
      </w:r>
      <w:r w:rsidRPr="004C3106">
        <w:rPr>
          <w:rFonts w:cstheme="minorHAnsi"/>
          <w:b/>
          <w:lang w:val="hr-HR"/>
        </w:rPr>
        <w:t xml:space="preserve"> </w:t>
      </w:r>
      <w:r>
        <w:rPr>
          <w:rFonts w:cstheme="minorHAnsi"/>
          <w:b/>
          <w:lang w:val="hr-HR"/>
        </w:rPr>
        <w:t>o</w:t>
      </w:r>
      <w:r w:rsidRPr="004C3106">
        <w:rPr>
          <w:rFonts w:cstheme="minorHAnsi"/>
          <w:b/>
          <w:lang w:val="hr-HR"/>
        </w:rPr>
        <w:t>brazac</w:t>
      </w:r>
    </w:p>
    <w:p w:rsidR="00EF51A6" w:rsidRDefault="00EF51A6" w:rsidP="00EF51A6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 xml:space="preserve">U </w:t>
      </w:r>
      <w:r>
        <w:rPr>
          <w:rFonts w:cstheme="minorHAnsi"/>
          <w:lang w:val="hr-HR"/>
        </w:rPr>
        <w:t>ZP</w:t>
      </w:r>
      <w:r>
        <w:rPr>
          <w:rFonts w:cstheme="minorHAnsi"/>
          <w:lang w:val="hr-HR"/>
        </w:rPr>
        <w:t xml:space="preserve"> obrascu porezni obveznik izvještava analitičke podatke o </w:t>
      </w:r>
      <w:r>
        <w:rPr>
          <w:rFonts w:cstheme="minorHAnsi"/>
          <w:lang w:val="hr-HR"/>
        </w:rPr>
        <w:t>isporukama</w:t>
      </w:r>
      <w:r>
        <w:rPr>
          <w:rFonts w:cstheme="minorHAnsi"/>
          <w:lang w:val="hr-HR"/>
        </w:rPr>
        <w:t xml:space="preserve"> robe </w:t>
      </w:r>
      <w:r>
        <w:rPr>
          <w:rFonts w:cstheme="minorHAnsi"/>
          <w:lang w:val="hr-HR"/>
        </w:rPr>
        <w:t>u</w:t>
      </w:r>
      <w:r>
        <w:rPr>
          <w:rFonts w:cstheme="minorHAnsi"/>
          <w:lang w:val="hr-HR"/>
        </w:rPr>
        <w:t xml:space="preserve"> EU. Ako je u PDV obrascu u polju iskazivanja porezne osnovice za </w:t>
      </w:r>
      <w:r>
        <w:rPr>
          <w:rFonts w:cstheme="minorHAnsi"/>
          <w:lang w:val="hr-HR"/>
        </w:rPr>
        <w:t>isporuke dobara u</w:t>
      </w:r>
      <w:r>
        <w:rPr>
          <w:rFonts w:cstheme="minorHAnsi"/>
          <w:lang w:val="hr-HR"/>
        </w:rPr>
        <w:t xml:space="preserve"> EU iskazao kumulativnu vrijednost svih </w:t>
      </w:r>
      <w:r>
        <w:rPr>
          <w:rFonts w:cstheme="minorHAnsi"/>
          <w:lang w:val="hr-HR"/>
        </w:rPr>
        <w:t>isporuka</w:t>
      </w:r>
      <w:r>
        <w:rPr>
          <w:rFonts w:cstheme="minorHAnsi"/>
          <w:lang w:val="hr-HR"/>
        </w:rPr>
        <w:t xml:space="preserve"> u određenom razdoblju, onda u </w:t>
      </w:r>
      <w:r>
        <w:rPr>
          <w:rFonts w:cstheme="minorHAnsi"/>
          <w:lang w:val="hr-HR"/>
        </w:rPr>
        <w:t>ZP</w:t>
      </w:r>
      <w:r>
        <w:rPr>
          <w:rFonts w:cstheme="minorHAnsi"/>
          <w:lang w:val="hr-HR"/>
        </w:rPr>
        <w:t xml:space="preserve"> obrascu izvještava njihovu analitiku.</w:t>
      </w:r>
    </w:p>
    <w:p w:rsidR="00EF51A6" w:rsidRDefault="00EF51A6" w:rsidP="00EF51A6">
      <w:p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 xml:space="preserve">Izvještavanje </w:t>
      </w:r>
      <w:r>
        <w:rPr>
          <w:rFonts w:cstheme="minorHAnsi"/>
          <w:lang w:val="hr-HR"/>
        </w:rPr>
        <w:t>ZP</w:t>
      </w:r>
      <w:r>
        <w:rPr>
          <w:rFonts w:cstheme="minorHAnsi"/>
          <w:lang w:val="hr-HR"/>
        </w:rPr>
        <w:t xml:space="preserve"> podataka je zakonski obvezno za porezne obveznike koji su u određenom razdoblju imali </w:t>
      </w:r>
      <w:r>
        <w:rPr>
          <w:rFonts w:cstheme="minorHAnsi"/>
          <w:lang w:val="hr-HR"/>
        </w:rPr>
        <w:t>isporuku</w:t>
      </w:r>
      <w:r>
        <w:rPr>
          <w:rFonts w:cstheme="minorHAnsi"/>
          <w:lang w:val="hr-HR"/>
        </w:rPr>
        <w:t xml:space="preserve"> robe </w:t>
      </w:r>
      <w:r>
        <w:rPr>
          <w:rFonts w:cstheme="minorHAnsi"/>
          <w:lang w:val="hr-HR"/>
        </w:rPr>
        <w:t>u</w:t>
      </w:r>
      <w:r>
        <w:rPr>
          <w:rFonts w:cstheme="minorHAnsi"/>
          <w:lang w:val="hr-HR"/>
        </w:rPr>
        <w:t xml:space="preserve"> zemalj</w:t>
      </w:r>
      <w:r>
        <w:rPr>
          <w:rFonts w:cstheme="minorHAnsi"/>
          <w:lang w:val="hr-HR"/>
        </w:rPr>
        <w:t>e</w:t>
      </w:r>
      <w:r>
        <w:rPr>
          <w:rFonts w:cstheme="minorHAnsi"/>
          <w:lang w:val="hr-HR"/>
        </w:rPr>
        <w:t xml:space="preserve"> članica EU.</w:t>
      </w:r>
    </w:p>
    <w:p w:rsidR="00EF51A6" w:rsidRPr="00EF51A6" w:rsidRDefault="00EF51A6" w:rsidP="00EF51A6">
      <w:pPr>
        <w:jc w:val="both"/>
        <w:rPr>
          <w:rFonts w:cstheme="minorHAnsi"/>
          <w:b/>
          <w:lang w:val="hr-HR"/>
        </w:rPr>
      </w:pPr>
      <w:r w:rsidRPr="00EF51A6">
        <w:rPr>
          <w:rFonts w:cstheme="minorHAnsi"/>
          <w:b/>
          <w:lang w:val="hr-HR"/>
        </w:rPr>
        <w:t xml:space="preserve">Sadržaj </w:t>
      </w:r>
      <w:r>
        <w:rPr>
          <w:rFonts w:cstheme="minorHAnsi"/>
          <w:b/>
          <w:lang w:val="hr-HR"/>
        </w:rPr>
        <w:t>ZP</w:t>
      </w:r>
      <w:r w:rsidRPr="00EF51A6">
        <w:rPr>
          <w:rFonts w:cstheme="minorHAnsi"/>
          <w:b/>
          <w:lang w:val="hr-HR"/>
        </w:rPr>
        <w:t xml:space="preserve"> obrasca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 xml:space="preserve">Područni ured Porezne uprave, </w:t>
      </w:r>
      <w:r w:rsidRPr="002C4197">
        <w:rPr>
          <w:rFonts w:cstheme="minorHAnsi"/>
          <w:i/>
          <w:lang w:val="hr-HR"/>
        </w:rPr>
        <w:t>šifarnik područnig ureda PU</w:t>
      </w:r>
      <w:r w:rsidRPr="002C4197">
        <w:rPr>
          <w:rFonts w:cstheme="minorHAnsi"/>
          <w:lang w:val="hr-HR"/>
        </w:rPr>
        <w:t xml:space="preserve"> 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 xml:space="preserve">Ispostava Porezne uprave, </w:t>
      </w:r>
      <w:r w:rsidRPr="002C4197">
        <w:rPr>
          <w:rFonts w:cstheme="minorHAnsi"/>
          <w:i/>
          <w:lang w:val="hr-HR"/>
        </w:rPr>
        <w:t>šifarnik Ispostava PU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Naziv tvrtke/ Ime i prezime</w:t>
      </w:r>
    </w:p>
    <w:p w:rsidR="00EF51A6" w:rsidRPr="002C4197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OIB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 w:rsidRPr="002C4197">
        <w:rPr>
          <w:rFonts w:cstheme="minorHAnsi"/>
          <w:lang w:val="hr-HR"/>
        </w:rPr>
        <w:t>Adresa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Razdoblje izvještavanja</w:t>
      </w:r>
    </w:p>
    <w:p w:rsidR="00EF51A6" w:rsidRDefault="00EF51A6" w:rsidP="00EF51A6">
      <w:pPr>
        <w:ind w:left="360"/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lastRenderedPageBreak/>
        <w:t xml:space="preserve">Analitika </w:t>
      </w:r>
      <w:r>
        <w:rPr>
          <w:rFonts w:cstheme="minorHAnsi"/>
          <w:lang w:val="hr-HR"/>
        </w:rPr>
        <w:t>isporuka</w:t>
      </w:r>
      <w:r>
        <w:rPr>
          <w:rFonts w:cstheme="minorHAnsi"/>
          <w:lang w:val="hr-HR"/>
        </w:rPr>
        <w:t>: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Zemlja isporuke (EU)</w:t>
      </w:r>
    </w:p>
    <w:p w:rsid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 xml:space="preserve">Porezni broj </w:t>
      </w:r>
      <w:r w:rsidR="00F0418A">
        <w:rPr>
          <w:rFonts w:cstheme="minorHAnsi"/>
          <w:lang w:val="hr-HR"/>
        </w:rPr>
        <w:t>primatelja</w:t>
      </w:r>
      <w:r>
        <w:rPr>
          <w:rFonts w:cstheme="minorHAnsi"/>
          <w:lang w:val="hr-HR"/>
        </w:rPr>
        <w:t xml:space="preserve"> (VAT ID)</w:t>
      </w:r>
    </w:p>
    <w:p w:rsidR="00EF51A6" w:rsidRDefault="00F0418A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Vrijednost isporučenih</w:t>
      </w:r>
      <w:r w:rsidR="00EF51A6">
        <w:rPr>
          <w:rFonts w:cstheme="minorHAnsi"/>
          <w:lang w:val="hr-HR"/>
        </w:rPr>
        <w:t xml:space="preserve"> dobara</w:t>
      </w:r>
    </w:p>
    <w:p w:rsidR="00EF51A6" w:rsidRDefault="00EF51A6" w:rsidP="00EF51A6">
      <w:pPr>
        <w:pStyle w:val="ListParagraph"/>
        <w:jc w:val="both"/>
        <w:rPr>
          <w:rFonts w:cstheme="minorHAnsi"/>
          <w:lang w:val="hr-HR"/>
        </w:rPr>
      </w:pPr>
    </w:p>
    <w:p w:rsidR="00EF51A6" w:rsidRPr="00EF51A6" w:rsidRDefault="00EF51A6" w:rsidP="00EF51A6">
      <w:pPr>
        <w:pStyle w:val="ListParagraph"/>
        <w:numPr>
          <w:ilvl w:val="0"/>
          <w:numId w:val="10"/>
        </w:numPr>
        <w:jc w:val="both"/>
        <w:rPr>
          <w:rFonts w:cstheme="minorHAnsi"/>
          <w:lang w:val="hr-HR"/>
        </w:rPr>
      </w:pPr>
      <w:r>
        <w:rPr>
          <w:rFonts w:cstheme="minorHAnsi"/>
          <w:lang w:val="hr-HR"/>
        </w:rPr>
        <w:t>Datum podnošenja izvješća</w:t>
      </w:r>
    </w:p>
    <w:p w:rsidR="00F0418A" w:rsidRDefault="00F0418A" w:rsidP="0020253E">
      <w:pPr>
        <w:jc w:val="both"/>
        <w:rPr>
          <w:rFonts w:cstheme="minorHAnsi"/>
          <w:b/>
          <w:lang w:val="hr-HR"/>
        </w:rPr>
      </w:pPr>
    </w:p>
    <w:p w:rsidR="005F587B" w:rsidRPr="00F93C8C" w:rsidRDefault="005F587B" w:rsidP="0020253E">
      <w:pPr>
        <w:jc w:val="both"/>
        <w:rPr>
          <w:rFonts w:cstheme="minorHAnsi"/>
          <w:b/>
          <w:lang w:val="hr-HR"/>
        </w:rPr>
      </w:pPr>
      <w:r w:rsidRPr="00F93C8C">
        <w:rPr>
          <w:rFonts w:cstheme="minorHAnsi"/>
          <w:b/>
          <w:lang w:val="hr-HR"/>
        </w:rPr>
        <w:t>Opis poslovnog procesa</w:t>
      </w:r>
    </w:p>
    <w:p w:rsidR="003F2B00" w:rsidRPr="00F0418A" w:rsidRDefault="005F587B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 w:rsidRPr="00F93C8C">
        <w:rPr>
          <w:rFonts w:cstheme="minorHAnsi"/>
          <w:lang w:val="hr-HR"/>
        </w:rPr>
        <w:t xml:space="preserve">Porezni obveznik </w:t>
      </w:r>
      <w:r w:rsidR="00F0418A">
        <w:rPr>
          <w:rFonts w:cstheme="minorHAnsi"/>
          <w:lang w:val="hr-HR"/>
        </w:rPr>
        <w:t>nakon prijave u aplikaciju unosi mjesečni PDV izvještaj.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Osim PDV izvještaja trebao bi popuniti i pripadajuće analitičke izvještaje PDV-S i/ili ZP izvještaj, ali nije obavezan to uraditi odmah.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Nakon slanja izvještaja (spremanja) isti se sprema u PDV registar i vidljiv je zaposlenicima PU.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Svaki novi izvještaj ima status „novi unos“.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Referent PU zaprimljeni izvještaj može prihvatiti ili odbiti, nakon obavljene kontrole PDV podataka.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Obzirom na odluku referenta PU PDV izvještaji još mogu imati statuse: „zaprimljen“ ili „odbijen“.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Pretraživanje PDV registra ima kriterije: OIB, razdoblje, status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Pretraživanje PDV registra je omogućeno svim korisnicima aplikacije</w:t>
      </w:r>
    </w:p>
    <w:p w:rsidR="00F0418A" w:rsidRPr="00F0418A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Porezni obveznik može ažurirati prethodno spremljene izvještaje, nakon ažuriranja njihov status se vraća na „novi unos“.</w:t>
      </w:r>
    </w:p>
    <w:p w:rsidR="00F0418A" w:rsidRPr="00F1491B" w:rsidRDefault="00F0418A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Kontrolom PDV podataka uspoređuju se kumulativne vrijednosti</w:t>
      </w:r>
      <w:r w:rsidR="00F1491B">
        <w:rPr>
          <w:rFonts w:cstheme="minorHAnsi"/>
          <w:lang w:val="hr-HR"/>
        </w:rPr>
        <w:t xml:space="preserve"> iz polja PDV izvještaja sa sumiranim vrijednostima iz pripadajućih analitičkih izvještaja (PDV-S i ZP).</w:t>
      </w:r>
    </w:p>
    <w:p w:rsidR="00F1491B" w:rsidRPr="00F1491B" w:rsidRDefault="00F1491B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Kontrolu pokreće referent PU.</w:t>
      </w:r>
    </w:p>
    <w:p w:rsidR="00F1491B" w:rsidRPr="00F1491B" w:rsidRDefault="00F1491B" w:rsidP="00F0418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Ovisno o rezultatima kontrole referent prihvaća ili odbija poslane izvještaja.</w:t>
      </w:r>
    </w:p>
    <w:p w:rsidR="0068136E" w:rsidRPr="0068136E" w:rsidRDefault="00F1491B" w:rsidP="0068136E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lang w:val="hr-HR"/>
        </w:rPr>
        <w:t>O tome obavještava poreznog obveznika vrijednošću u polju Status.</w:t>
      </w:r>
    </w:p>
    <w:p w:rsidR="0068136E" w:rsidRDefault="0068136E" w:rsidP="0068136E">
      <w:pPr>
        <w:jc w:val="both"/>
        <w:rPr>
          <w:rFonts w:cstheme="minorHAnsi"/>
          <w:sz w:val="20"/>
          <w:szCs w:val="20"/>
          <w:lang w:val="hr-HR"/>
        </w:rPr>
      </w:pPr>
    </w:p>
    <w:p w:rsidR="0068136E" w:rsidRDefault="0068136E" w:rsidP="0068136E">
      <w:pPr>
        <w:jc w:val="both"/>
        <w:rPr>
          <w:rFonts w:cstheme="minorHAnsi"/>
          <w:sz w:val="20"/>
          <w:szCs w:val="20"/>
          <w:lang w:val="hr-HR"/>
        </w:rPr>
      </w:pPr>
      <w:r>
        <w:rPr>
          <w:rFonts w:cstheme="minorHAnsi"/>
          <w:sz w:val="20"/>
          <w:szCs w:val="20"/>
          <w:lang w:val="hr-HR"/>
        </w:rPr>
        <w:t>Detektirani poslovni procesi:</w:t>
      </w:r>
    </w:p>
    <w:p w:rsidR="0068136E" w:rsidRPr="0068136E" w:rsidRDefault="0068136E" w:rsidP="0068136E">
      <w:pPr>
        <w:jc w:val="both"/>
        <w:rPr>
          <w:rFonts w:cstheme="minorHAnsi"/>
          <w:sz w:val="20"/>
          <w:szCs w:val="20"/>
          <w:lang w:val="hr-HR"/>
        </w:rPr>
      </w:pPr>
      <w:r w:rsidRPr="0068136E">
        <w:rPr>
          <w:rFonts w:cstheme="minorHAnsi"/>
          <w:sz w:val="20"/>
          <w:szCs w:val="20"/>
          <w:lang w:val="hr-HR"/>
        </w:rPr>
        <w:t>PP30</w:t>
      </w:r>
      <w:r w:rsidR="00214611">
        <w:rPr>
          <w:rFonts w:cstheme="minorHAnsi"/>
          <w:sz w:val="20"/>
          <w:szCs w:val="20"/>
          <w:lang w:val="hr-HR"/>
        </w:rPr>
        <w:t>0</w:t>
      </w:r>
      <w:r w:rsidRPr="0068136E">
        <w:rPr>
          <w:rFonts w:cstheme="minorHAnsi"/>
          <w:sz w:val="20"/>
          <w:szCs w:val="20"/>
          <w:lang w:val="hr-HR"/>
        </w:rPr>
        <w:t xml:space="preserve"> Unos PDV podataka u registar</w:t>
      </w:r>
    </w:p>
    <w:p w:rsidR="0068136E" w:rsidRPr="0068136E" w:rsidRDefault="00214611" w:rsidP="0068136E">
      <w:pPr>
        <w:jc w:val="both"/>
        <w:rPr>
          <w:rFonts w:cstheme="minorHAnsi"/>
          <w:sz w:val="20"/>
          <w:szCs w:val="20"/>
          <w:lang w:val="hr-HR"/>
        </w:rPr>
      </w:pPr>
      <w:bookmarkStart w:id="0" w:name="_GoBack"/>
      <w:r>
        <w:rPr>
          <w:rFonts w:cstheme="minorHAnsi"/>
          <w:sz w:val="20"/>
          <w:szCs w:val="20"/>
          <w:lang w:val="hr-HR"/>
        </w:rPr>
        <w:t>PP301</w:t>
      </w:r>
      <w:r w:rsidR="0068136E" w:rsidRPr="0068136E">
        <w:rPr>
          <w:rFonts w:cstheme="minorHAnsi"/>
          <w:sz w:val="20"/>
          <w:szCs w:val="20"/>
          <w:lang w:val="hr-HR"/>
        </w:rPr>
        <w:t xml:space="preserve"> Pretraživanje PDV podataka</w:t>
      </w:r>
    </w:p>
    <w:bookmarkEnd w:id="0"/>
    <w:p w:rsidR="0068136E" w:rsidRPr="0068136E" w:rsidRDefault="0068136E" w:rsidP="0068136E">
      <w:pPr>
        <w:jc w:val="both"/>
        <w:rPr>
          <w:rFonts w:cstheme="minorHAnsi"/>
          <w:sz w:val="20"/>
          <w:szCs w:val="20"/>
          <w:lang w:val="hr-HR"/>
        </w:rPr>
      </w:pPr>
      <w:r w:rsidRPr="0068136E">
        <w:rPr>
          <w:rFonts w:cstheme="minorHAnsi"/>
          <w:sz w:val="20"/>
          <w:szCs w:val="20"/>
          <w:lang w:val="hr-HR"/>
        </w:rPr>
        <w:t>PP30</w:t>
      </w:r>
      <w:r w:rsidR="00214611">
        <w:rPr>
          <w:rFonts w:cstheme="minorHAnsi"/>
          <w:sz w:val="20"/>
          <w:szCs w:val="20"/>
          <w:lang w:val="hr-HR"/>
        </w:rPr>
        <w:t>2</w:t>
      </w:r>
      <w:r w:rsidRPr="0068136E">
        <w:rPr>
          <w:rFonts w:cstheme="minorHAnsi"/>
          <w:sz w:val="20"/>
          <w:szCs w:val="20"/>
          <w:lang w:val="hr-HR"/>
        </w:rPr>
        <w:t xml:space="preserve"> Ažuriranje registra PDV podataka</w:t>
      </w:r>
    </w:p>
    <w:p w:rsidR="0068136E" w:rsidRDefault="0068136E" w:rsidP="0068136E">
      <w:pPr>
        <w:jc w:val="both"/>
        <w:rPr>
          <w:rFonts w:cstheme="minorHAnsi"/>
          <w:sz w:val="20"/>
          <w:szCs w:val="20"/>
          <w:lang w:val="hr-HR"/>
        </w:rPr>
      </w:pPr>
      <w:r w:rsidRPr="0068136E">
        <w:rPr>
          <w:rFonts w:cstheme="minorHAnsi"/>
          <w:sz w:val="20"/>
          <w:szCs w:val="20"/>
          <w:lang w:val="hr-HR"/>
        </w:rPr>
        <w:t>PP30</w:t>
      </w:r>
      <w:r w:rsidR="00214611">
        <w:rPr>
          <w:rFonts w:cstheme="minorHAnsi"/>
          <w:sz w:val="20"/>
          <w:szCs w:val="20"/>
          <w:lang w:val="hr-HR"/>
        </w:rPr>
        <w:t>3</w:t>
      </w:r>
      <w:r w:rsidRPr="0068136E">
        <w:rPr>
          <w:rFonts w:cstheme="minorHAnsi"/>
          <w:sz w:val="20"/>
          <w:szCs w:val="20"/>
          <w:lang w:val="hr-HR"/>
        </w:rPr>
        <w:t xml:space="preserve"> Kontrola PDV podataka</w:t>
      </w:r>
    </w:p>
    <w:p w:rsidR="00852EB0" w:rsidRDefault="00852EB0" w:rsidP="0068136E">
      <w:pPr>
        <w:jc w:val="both"/>
        <w:rPr>
          <w:rFonts w:cstheme="minorHAnsi"/>
          <w:sz w:val="20"/>
          <w:szCs w:val="20"/>
          <w:lang w:val="hr-HR"/>
        </w:rPr>
      </w:pPr>
    </w:p>
    <w:tbl>
      <w:tblPr>
        <w:tblW w:w="9340" w:type="dxa"/>
        <w:tblInd w:w="93" w:type="dxa"/>
        <w:tblLook w:val="04A0" w:firstRow="1" w:lastRow="0" w:firstColumn="1" w:lastColumn="0" w:noHBand="0" w:noVBand="1"/>
      </w:tblPr>
      <w:tblGrid>
        <w:gridCol w:w="1380"/>
        <w:gridCol w:w="4520"/>
        <w:gridCol w:w="1720"/>
        <w:gridCol w:w="1720"/>
      </w:tblGrid>
      <w:tr w:rsidR="00852EB0" w:rsidRPr="00852EB0" w:rsidTr="00852EB0">
        <w:trPr>
          <w:trHeight w:val="600"/>
        </w:trPr>
        <w:tc>
          <w:tcPr>
            <w:tcW w:w="1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lastRenderedPageBreak/>
              <w:t>PB_16</w:t>
            </w:r>
          </w:p>
        </w:tc>
        <w:tc>
          <w:tcPr>
            <w:tcW w:w="4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Specifikacija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UC300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Unos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PDV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u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registar</w:t>
            </w:r>
            <w:proofErr w:type="spellEnd"/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v 1.0</w:t>
            </w:r>
          </w:p>
        </w:tc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25.04.2014.</w:t>
            </w:r>
          </w:p>
        </w:tc>
      </w:tr>
      <w:tr w:rsidR="00852EB0" w:rsidRPr="00852EB0" w:rsidTr="00852EB0">
        <w:trPr>
          <w:trHeight w:val="6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PB_17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Specifikacija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UC301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Pretraživanje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PDV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v 1.0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25.04.2014.</w:t>
            </w:r>
          </w:p>
        </w:tc>
      </w:tr>
      <w:tr w:rsidR="00852EB0" w:rsidRPr="00852EB0" w:rsidTr="00852EB0">
        <w:trPr>
          <w:trHeight w:val="600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PB_18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Specifikacija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UC302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Ažuriranje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registra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PDV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v 1.0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25.04.2014.</w:t>
            </w:r>
          </w:p>
        </w:tc>
      </w:tr>
      <w:tr w:rsidR="00852EB0" w:rsidRPr="00852EB0" w:rsidTr="00852EB0">
        <w:trPr>
          <w:trHeight w:val="525"/>
        </w:trPr>
        <w:tc>
          <w:tcPr>
            <w:tcW w:w="1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PB_19</w:t>
            </w:r>
          </w:p>
        </w:tc>
        <w:tc>
          <w:tcPr>
            <w:tcW w:w="4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Specifikacija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UC303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Kontrola</w:t>
            </w:r>
            <w:proofErr w:type="spellEnd"/>
            <w:r w:rsidRPr="00852EB0">
              <w:rPr>
                <w:rFonts w:ascii="Calibri" w:eastAsia="Times New Roman" w:hAnsi="Calibri" w:cs="Calibri"/>
                <w:color w:val="000000"/>
              </w:rPr>
              <w:t xml:space="preserve"> PDV </w:t>
            </w:r>
            <w:proofErr w:type="spellStart"/>
            <w:r w:rsidRPr="00852EB0">
              <w:rPr>
                <w:rFonts w:ascii="Calibri" w:eastAsia="Times New Roman" w:hAnsi="Calibri" w:cs="Calibri"/>
                <w:color w:val="000000"/>
              </w:rPr>
              <w:t>podataka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v 1.0</w:t>
            </w:r>
          </w:p>
        </w:tc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852EB0" w:rsidRPr="00852EB0" w:rsidRDefault="00852EB0" w:rsidP="00852E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52EB0">
              <w:rPr>
                <w:rFonts w:ascii="Calibri" w:eastAsia="Times New Roman" w:hAnsi="Calibri" w:cs="Calibri"/>
                <w:color w:val="000000"/>
              </w:rPr>
              <w:t>25.04.2014.</w:t>
            </w:r>
          </w:p>
        </w:tc>
      </w:tr>
    </w:tbl>
    <w:p w:rsidR="00852EB0" w:rsidRPr="0068136E" w:rsidRDefault="00852EB0" w:rsidP="0068136E">
      <w:pPr>
        <w:jc w:val="both"/>
        <w:rPr>
          <w:rFonts w:cstheme="minorHAnsi"/>
          <w:sz w:val="20"/>
          <w:szCs w:val="20"/>
          <w:lang w:val="hr-HR"/>
        </w:rPr>
      </w:pPr>
    </w:p>
    <w:sectPr w:rsidR="00852EB0" w:rsidRPr="0068136E">
      <w:headerReference w:type="default" r:id="rId8"/>
      <w:footerReference w:type="default" r:id="rId9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0DC8" w:rsidRDefault="00C60DC8" w:rsidP="00DD66E6">
      <w:pPr>
        <w:spacing w:after="0" w:line="240" w:lineRule="auto"/>
      </w:pPr>
      <w:r>
        <w:separator/>
      </w:r>
    </w:p>
  </w:endnote>
  <w:endnote w:type="continuationSeparator" w:id="0">
    <w:p w:rsidR="00C60DC8" w:rsidRDefault="00C60DC8" w:rsidP="00DD66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Footer"/>
      <w:jc w:val="right"/>
    </w:pPr>
  </w:p>
  <w:tbl>
    <w:tblPr>
      <w:tblW w:w="9529" w:type="dxa"/>
      <w:tblInd w:w="93" w:type="dxa"/>
      <w:tblLook w:val="04A0" w:firstRow="1" w:lastRow="0" w:firstColumn="1" w:lastColumn="0" w:noHBand="0" w:noVBand="1"/>
    </w:tblPr>
    <w:tblGrid>
      <w:gridCol w:w="2009"/>
      <w:gridCol w:w="4179"/>
      <w:gridCol w:w="1658"/>
      <w:gridCol w:w="1683"/>
    </w:tblGrid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Verzija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>:</w:t>
          </w:r>
          <w:r w:rsidR="005F587B">
            <w:rPr>
              <w:rFonts w:ascii="Calibri" w:eastAsia="Times New Roman" w:hAnsi="Calibri" w:cs="Calibri"/>
              <w:color w:val="000000"/>
            </w:rPr>
            <w:t xml:space="preserve"> 1.1</w:t>
          </w:r>
        </w:p>
      </w:tc>
      <w:tc>
        <w:tcPr>
          <w:tcW w:w="4179" w:type="dxa"/>
          <w:tcBorders>
            <w:top w:val="single" w:sz="4" w:space="0" w:color="C00000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060F63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>
            <w:rPr>
              <w:rFonts w:ascii="Calibri" w:eastAsia="Times New Roman" w:hAnsi="Calibri" w:cs="Calibri"/>
              <w:color w:val="000000"/>
            </w:rPr>
            <w:t>Voditelj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>
            <w:rPr>
              <w:rFonts w:ascii="Calibri" w:eastAsia="Times New Roman" w:hAnsi="Calibri" w:cs="Calibri"/>
              <w:color w:val="000000"/>
            </w:rPr>
            <w:t>projekta</w:t>
          </w:r>
          <w:proofErr w:type="spellEnd"/>
          <w:r>
            <w:rPr>
              <w:rFonts w:ascii="Calibri" w:eastAsia="Times New Roman" w:hAnsi="Calibri" w:cs="Calibri"/>
              <w:color w:val="000000"/>
            </w:rPr>
            <w:t>:</w:t>
          </w:r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Default="00C17796" w:rsidP="00DD66E6">
          <w:pPr>
            <w:pStyle w:val="Footer"/>
            <w:jc w:val="center"/>
          </w:pPr>
          <w:r>
            <w:t>Datum:</w:t>
          </w:r>
        </w:p>
      </w:tc>
      <w:tc>
        <w:tcPr>
          <w:tcW w:w="1683" w:type="dxa"/>
          <w:vMerge w:val="restart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Default="00C60DC8" w:rsidP="00DD66E6">
          <w:pPr>
            <w:pStyle w:val="Footer"/>
            <w:jc w:val="center"/>
            <w:rPr>
              <w:noProof/>
            </w:rPr>
          </w:pPr>
          <w:sdt>
            <w:sdtPr>
              <w:id w:val="-39690706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="00C17796">
                <w:fldChar w:fldCharType="begin"/>
              </w:r>
              <w:r w:rsidR="00C17796">
                <w:instrText xml:space="preserve"> PAGE   \* MERGEFORMAT </w:instrText>
              </w:r>
              <w:r w:rsidR="00C17796">
                <w:fldChar w:fldCharType="separate"/>
              </w:r>
              <w:r w:rsidR="00132D36">
                <w:rPr>
                  <w:noProof/>
                </w:rPr>
                <w:t>3</w:t>
              </w:r>
              <w:r w:rsidR="00C17796">
                <w:rPr>
                  <w:noProof/>
                </w:rPr>
                <w:fldChar w:fldCharType="end"/>
              </w:r>
            </w:sdtContent>
          </w:sdt>
        </w:p>
        <w:p w:rsidR="00C17796" w:rsidRPr="00DD66E6" w:rsidRDefault="00C17796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  <w:tr w:rsidR="00C17796" w:rsidRPr="00DD66E6" w:rsidTr="00C17796">
      <w:trPr>
        <w:trHeight w:val="300"/>
      </w:trPr>
      <w:tc>
        <w:tcPr>
          <w:tcW w:w="2009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D93C1C" w:rsidP="00DD66E6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</w:rPr>
          </w:pPr>
          <w:r>
            <w:rPr>
              <w:rFonts w:ascii="Calibri" w:eastAsia="Times New Roman" w:hAnsi="Calibri" w:cs="Calibri"/>
              <w:color w:val="000000"/>
            </w:rPr>
            <w:t>PB_05</w:t>
          </w:r>
        </w:p>
      </w:tc>
      <w:tc>
        <w:tcPr>
          <w:tcW w:w="4179" w:type="dxa"/>
          <w:tcBorders>
            <w:top w:val="nil"/>
            <w:left w:val="nil"/>
            <w:bottom w:val="single" w:sz="4" w:space="0" w:color="C00000"/>
            <w:right w:val="single" w:sz="4" w:space="0" w:color="C00000"/>
          </w:tcBorders>
          <w:shd w:val="clear" w:color="auto" w:fill="auto"/>
          <w:vAlign w:val="bottom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</w:rPr>
          </w:pP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Lidija</w:t>
          </w:r>
          <w:proofErr w:type="spellEnd"/>
          <w:r w:rsidRPr="00DD66E6">
            <w:rPr>
              <w:rFonts w:ascii="Calibri" w:eastAsia="Times New Roman" w:hAnsi="Calibri" w:cs="Calibri"/>
              <w:color w:val="000000"/>
            </w:rPr>
            <w:t xml:space="preserve"> </w:t>
          </w:r>
          <w:proofErr w:type="spellStart"/>
          <w:r w:rsidRPr="00DD66E6">
            <w:rPr>
              <w:rFonts w:ascii="Calibri" w:eastAsia="Times New Roman" w:hAnsi="Calibri" w:cs="Calibri"/>
              <w:color w:val="000000"/>
            </w:rPr>
            <w:t>Lastave</w:t>
          </w:r>
          <w:r>
            <w:rPr>
              <w:rFonts w:ascii="Calibri" w:eastAsia="Times New Roman" w:hAnsi="Calibri" w:cs="Calibri"/>
              <w:color w:val="000000"/>
            </w:rPr>
            <w:t>c</w:t>
          </w:r>
          <w:proofErr w:type="spellEnd"/>
        </w:p>
      </w:tc>
      <w:tc>
        <w:tcPr>
          <w:tcW w:w="1658" w:type="dxa"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</w:tcPr>
        <w:p w:rsidR="00C17796" w:rsidRPr="00DD66E6" w:rsidRDefault="005F587B" w:rsidP="005F587B">
          <w:pPr>
            <w:spacing w:after="0" w:line="240" w:lineRule="auto"/>
            <w:jc w:val="center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05</w:t>
          </w:r>
          <w:r w:rsidR="00C17796">
            <w:rPr>
              <w:rFonts w:ascii="Calibri" w:eastAsia="Times New Roman" w:hAnsi="Calibri" w:cs="Calibri"/>
              <w:color w:val="000000"/>
              <w:sz w:val="20"/>
              <w:szCs w:val="20"/>
            </w:rPr>
            <w:t>.0</w:t>
          </w:r>
          <w:r>
            <w:rPr>
              <w:rFonts w:ascii="Calibri" w:eastAsia="Times New Roman" w:hAnsi="Calibri" w:cs="Calibri"/>
              <w:color w:val="000000"/>
              <w:sz w:val="20"/>
              <w:szCs w:val="20"/>
            </w:rPr>
            <w:t>4</w:t>
          </w:r>
          <w:r w:rsidR="00C17796">
            <w:rPr>
              <w:rFonts w:ascii="Calibri" w:eastAsia="Times New Roman" w:hAnsi="Calibri" w:cs="Calibri"/>
              <w:color w:val="000000"/>
              <w:sz w:val="20"/>
              <w:szCs w:val="20"/>
            </w:rPr>
            <w:t>.2014.</w:t>
          </w:r>
        </w:p>
      </w:tc>
      <w:tc>
        <w:tcPr>
          <w:tcW w:w="1683" w:type="dxa"/>
          <w:vMerge/>
          <w:tcBorders>
            <w:top w:val="single" w:sz="4" w:space="0" w:color="C00000"/>
            <w:left w:val="single" w:sz="4" w:space="0" w:color="C00000"/>
            <w:bottom w:val="single" w:sz="4" w:space="0" w:color="C00000"/>
            <w:right w:val="single" w:sz="4" w:space="0" w:color="C00000"/>
          </w:tcBorders>
          <w:vAlign w:val="center"/>
          <w:hideMark/>
        </w:tcPr>
        <w:p w:rsidR="00C17796" w:rsidRPr="00DD66E6" w:rsidRDefault="00C17796" w:rsidP="00DD66E6">
          <w:pPr>
            <w:spacing w:after="0" w:line="240" w:lineRule="auto"/>
            <w:rPr>
              <w:rFonts w:ascii="Calibri" w:eastAsia="Times New Roman" w:hAnsi="Calibri" w:cs="Calibri"/>
              <w:color w:val="000000"/>
              <w:sz w:val="20"/>
              <w:szCs w:val="20"/>
            </w:rPr>
          </w:pPr>
        </w:p>
      </w:tc>
    </w:tr>
  </w:tbl>
  <w:p w:rsidR="00DD66E6" w:rsidRDefault="00DD66E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0DC8" w:rsidRDefault="00C60DC8" w:rsidP="00DD66E6">
      <w:pPr>
        <w:spacing w:after="0" w:line="240" w:lineRule="auto"/>
      </w:pPr>
      <w:r>
        <w:separator/>
      </w:r>
    </w:p>
  </w:footnote>
  <w:footnote w:type="continuationSeparator" w:id="0">
    <w:p w:rsidR="00C60DC8" w:rsidRDefault="00C60DC8" w:rsidP="00DD66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66E6" w:rsidRDefault="00DD66E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705748" wp14:editId="22D157F3">
              <wp:simplePos x="0" y="0"/>
              <wp:positionH relativeFrom="column">
                <wp:posOffset>-313200</wp:posOffset>
              </wp:positionH>
              <wp:positionV relativeFrom="paragraph">
                <wp:posOffset>240533</wp:posOffset>
              </wp:positionV>
              <wp:extent cx="6659593" cy="0"/>
              <wp:effectExtent l="38100" t="19050" r="65405" b="1143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59593" cy="0"/>
                      </a:xfrm>
                      <a:prstGeom prst="line">
                        <a:avLst/>
                      </a:prstGeom>
                      <a:ln w="12700"/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1">
                        <a:schemeClr val="accent2"/>
                      </a:lnRef>
                      <a:fillRef idx="0">
                        <a:schemeClr val="accent2"/>
                      </a:fillRef>
                      <a:effectRef idx="0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65pt,18.95pt" to="499.7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" strokecolor="#bc4542 [3045]" strokeweight="1pt">
              <v:shadow on="t" color="black" opacity="26214f" origin=",-.5" offset="0,3pt"/>
            </v:line>
          </w:pict>
        </mc:Fallback>
      </mc:AlternateContent>
    </w:r>
    <w:r w:rsidRPr="00DD66E6">
      <w:t xml:space="preserve">FOI                          </w:t>
    </w:r>
    <w:r>
      <w:t xml:space="preserve">              </w:t>
    </w:r>
    <w:r w:rsidRPr="00DD66E6">
      <w:t xml:space="preserve">        </w:t>
    </w:r>
    <w:proofErr w:type="spellStart"/>
    <w:r w:rsidRPr="00DD66E6">
      <w:rPr>
        <w:sz w:val="24"/>
        <w:szCs w:val="24"/>
      </w:rPr>
      <w:t>Projek</w:t>
    </w:r>
    <w:r w:rsidR="008278E5">
      <w:rPr>
        <w:sz w:val="24"/>
        <w:szCs w:val="24"/>
      </w:rPr>
      <w:t>at</w:t>
    </w:r>
    <w:proofErr w:type="spellEnd"/>
    <w:r w:rsidRPr="00DD66E6">
      <w:rPr>
        <w:sz w:val="24"/>
        <w:szCs w:val="24"/>
      </w:rPr>
      <w:t xml:space="preserve"> </w:t>
    </w:r>
    <w:proofErr w:type="spellStart"/>
    <w:r w:rsidRPr="00DD66E6">
      <w:rPr>
        <w:sz w:val="24"/>
        <w:szCs w:val="24"/>
      </w:rPr>
      <w:t>razvoja</w:t>
    </w:r>
    <w:proofErr w:type="spellEnd"/>
    <w:r w:rsidRPr="00DD66E6">
      <w:rPr>
        <w:sz w:val="24"/>
        <w:szCs w:val="24"/>
      </w:rPr>
      <w:t xml:space="preserve"> </w:t>
    </w:r>
    <w:proofErr w:type="spellStart"/>
    <w:proofErr w:type="gramStart"/>
    <w:r w:rsidR="00C739A4">
      <w:rPr>
        <w:sz w:val="24"/>
        <w:szCs w:val="24"/>
      </w:rPr>
      <w:t>aplikacija</w:t>
    </w:r>
    <w:proofErr w:type="spellEnd"/>
    <w:r w:rsidR="00C739A4">
      <w:rPr>
        <w:sz w:val="24"/>
        <w:szCs w:val="24"/>
      </w:rPr>
      <w:t xml:space="preserve"> </w:t>
    </w:r>
    <w:r w:rsidRPr="00DD66E6">
      <w:rPr>
        <w:sz w:val="24"/>
        <w:szCs w:val="24"/>
      </w:rPr>
      <w:t xml:space="preserve"> e</w:t>
    </w:r>
    <w:proofErr w:type="gramEnd"/>
    <w:r w:rsidRPr="00DD66E6">
      <w:rPr>
        <w:sz w:val="24"/>
        <w:szCs w:val="24"/>
      </w:rPr>
      <w:t>-</w:t>
    </w:r>
    <w:proofErr w:type="spellStart"/>
    <w:r w:rsidRPr="00DD66E6">
      <w:rPr>
        <w:sz w:val="24"/>
        <w:szCs w:val="24"/>
      </w:rPr>
      <w:t>Inspektor</w:t>
    </w:r>
    <w:proofErr w:type="spellEnd"/>
    <w:r w:rsidRPr="00DD66E6">
      <w:t xml:space="preserve">          </w:t>
    </w:r>
    <w:r w:rsidR="000517EF">
      <w:t xml:space="preserve">          </w:t>
    </w:r>
    <w:r w:rsidRPr="00DD66E6">
      <w:t xml:space="preserve">         Tim: Plan B</w:t>
    </w:r>
    <w:r w:rsidR="000517EF">
      <w:t xml:space="preserve"> (T27)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D2E46"/>
    <w:multiLevelType w:val="hybridMultilevel"/>
    <w:tmpl w:val="8B2E0798"/>
    <w:lvl w:ilvl="0" w:tplc="F842ACE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9623C"/>
    <w:multiLevelType w:val="hybridMultilevel"/>
    <w:tmpl w:val="27181DC0"/>
    <w:lvl w:ilvl="0" w:tplc="AED82F5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EE5757"/>
    <w:multiLevelType w:val="hybridMultilevel"/>
    <w:tmpl w:val="52B09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D719AD"/>
    <w:multiLevelType w:val="hybridMultilevel"/>
    <w:tmpl w:val="A4560D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F15BA4"/>
    <w:multiLevelType w:val="hybridMultilevel"/>
    <w:tmpl w:val="4E966904"/>
    <w:lvl w:ilvl="0" w:tplc="92FAF7B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167856"/>
    <w:multiLevelType w:val="hybridMultilevel"/>
    <w:tmpl w:val="46FA5540"/>
    <w:lvl w:ilvl="0" w:tplc="556CA96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A2F90"/>
    <w:multiLevelType w:val="hybridMultilevel"/>
    <w:tmpl w:val="A6D271CA"/>
    <w:lvl w:ilvl="0" w:tplc="1C822F2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246BEB"/>
    <w:multiLevelType w:val="hybridMultilevel"/>
    <w:tmpl w:val="6D8886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2E5AD8"/>
    <w:multiLevelType w:val="hybridMultilevel"/>
    <w:tmpl w:val="968E7080"/>
    <w:lvl w:ilvl="0" w:tplc="28800E1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376169"/>
    <w:multiLevelType w:val="hybridMultilevel"/>
    <w:tmpl w:val="096E0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D2524F3"/>
    <w:multiLevelType w:val="hybridMultilevel"/>
    <w:tmpl w:val="204C62A2"/>
    <w:lvl w:ilvl="0" w:tplc="AB9AAC3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4C1104"/>
    <w:multiLevelType w:val="hybridMultilevel"/>
    <w:tmpl w:val="E85C91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7FA365E"/>
    <w:multiLevelType w:val="hybridMultilevel"/>
    <w:tmpl w:val="C13E1C8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D657E"/>
    <w:multiLevelType w:val="hybridMultilevel"/>
    <w:tmpl w:val="63422E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3C5B74"/>
    <w:multiLevelType w:val="multilevel"/>
    <w:tmpl w:val="67746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0"/>
  </w:num>
  <w:num w:numId="3">
    <w:abstractNumId w:val="0"/>
  </w:num>
  <w:num w:numId="4">
    <w:abstractNumId w:val="11"/>
  </w:num>
  <w:num w:numId="5">
    <w:abstractNumId w:val="3"/>
  </w:num>
  <w:num w:numId="6">
    <w:abstractNumId w:val="13"/>
  </w:num>
  <w:num w:numId="7">
    <w:abstractNumId w:val="12"/>
  </w:num>
  <w:num w:numId="8">
    <w:abstractNumId w:val="2"/>
  </w:num>
  <w:num w:numId="9">
    <w:abstractNumId w:val="7"/>
  </w:num>
  <w:num w:numId="10">
    <w:abstractNumId w:val="8"/>
  </w:num>
  <w:num w:numId="11">
    <w:abstractNumId w:val="5"/>
  </w:num>
  <w:num w:numId="12">
    <w:abstractNumId w:val="4"/>
  </w:num>
  <w:num w:numId="13">
    <w:abstractNumId w:val="1"/>
  </w:num>
  <w:num w:numId="14">
    <w:abstractNumId w:val="6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E76"/>
    <w:rsid w:val="0001752D"/>
    <w:rsid w:val="000517EF"/>
    <w:rsid w:val="00056BB7"/>
    <w:rsid w:val="00060F63"/>
    <w:rsid w:val="000B03AD"/>
    <w:rsid w:val="000E06E2"/>
    <w:rsid w:val="00116910"/>
    <w:rsid w:val="00132D36"/>
    <w:rsid w:val="00172284"/>
    <w:rsid w:val="00185B94"/>
    <w:rsid w:val="00186D12"/>
    <w:rsid w:val="001B0D1B"/>
    <w:rsid w:val="0020253E"/>
    <w:rsid w:val="00214611"/>
    <w:rsid w:val="00274B26"/>
    <w:rsid w:val="002944D3"/>
    <w:rsid w:val="002C4197"/>
    <w:rsid w:val="00352CE8"/>
    <w:rsid w:val="00363C87"/>
    <w:rsid w:val="003830DB"/>
    <w:rsid w:val="003B437A"/>
    <w:rsid w:val="003F2B00"/>
    <w:rsid w:val="004074A4"/>
    <w:rsid w:val="004542BC"/>
    <w:rsid w:val="004C3106"/>
    <w:rsid w:val="004C638D"/>
    <w:rsid w:val="00580546"/>
    <w:rsid w:val="00580BB6"/>
    <w:rsid w:val="005C173D"/>
    <w:rsid w:val="005F587B"/>
    <w:rsid w:val="00635FA5"/>
    <w:rsid w:val="00650183"/>
    <w:rsid w:val="0068136E"/>
    <w:rsid w:val="006B4949"/>
    <w:rsid w:val="006C0D2F"/>
    <w:rsid w:val="006E6B14"/>
    <w:rsid w:val="00721FF5"/>
    <w:rsid w:val="00807D15"/>
    <w:rsid w:val="00810EA0"/>
    <w:rsid w:val="008278E5"/>
    <w:rsid w:val="00852EB0"/>
    <w:rsid w:val="0088759A"/>
    <w:rsid w:val="00936CA9"/>
    <w:rsid w:val="00937CAF"/>
    <w:rsid w:val="009454D9"/>
    <w:rsid w:val="00973848"/>
    <w:rsid w:val="00987D50"/>
    <w:rsid w:val="00995027"/>
    <w:rsid w:val="009B4F95"/>
    <w:rsid w:val="00A02A2F"/>
    <w:rsid w:val="00A42538"/>
    <w:rsid w:val="00AA1E76"/>
    <w:rsid w:val="00AD2431"/>
    <w:rsid w:val="00AF1484"/>
    <w:rsid w:val="00B1357F"/>
    <w:rsid w:val="00B70940"/>
    <w:rsid w:val="00BD5C0D"/>
    <w:rsid w:val="00BE0404"/>
    <w:rsid w:val="00C141E0"/>
    <w:rsid w:val="00C17796"/>
    <w:rsid w:val="00C23A90"/>
    <w:rsid w:val="00C5005B"/>
    <w:rsid w:val="00C60DC8"/>
    <w:rsid w:val="00C739A4"/>
    <w:rsid w:val="00C953DB"/>
    <w:rsid w:val="00CA58F5"/>
    <w:rsid w:val="00CA5EEE"/>
    <w:rsid w:val="00D44E46"/>
    <w:rsid w:val="00D81F4D"/>
    <w:rsid w:val="00D93C1C"/>
    <w:rsid w:val="00DA1B0C"/>
    <w:rsid w:val="00DD3558"/>
    <w:rsid w:val="00DD66E6"/>
    <w:rsid w:val="00E01547"/>
    <w:rsid w:val="00E063C8"/>
    <w:rsid w:val="00E604CE"/>
    <w:rsid w:val="00E713D5"/>
    <w:rsid w:val="00E857CA"/>
    <w:rsid w:val="00EB2419"/>
    <w:rsid w:val="00EC0CFF"/>
    <w:rsid w:val="00EF51A6"/>
    <w:rsid w:val="00F0418A"/>
    <w:rsid w:val="00F1491B"/>
    <w:rsid w:val="00F3292E"/>
    <w:rsid w:val="00F850D5"/>
    <w:rsid w:val="00F93C8C"/>
    <w:rsid w:val="00F9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1E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1E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1E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A1E7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A1E7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A1E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1E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uiPriority w:val="1"/>
    <w:qFormat/>
    <w:rsid w:val="004542B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542B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1E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05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54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66E6"/>
  </w:style>
  <w:style w:type="paragraph" w:styleId="Footer">
    <w:name w:val="footer"/>
    <w:basedOn w:val="Normal"/>
    <w:link w:val="FooterChar"/>
    <w:uiPriority w:val="99"/>
    <w:unhideWhenUsed/>
    <w:rsid w:val="00DD66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66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Zlatko Stapić</dc:creator>
  <cp:lastModifiedBy>Lidija</cp:lastModifiedBy>
  <cp:revision>12</cp:revision>
  <dcterms:created xsi:type="dcterms:W3CDTF">2014-04-04T18:24:00Z</dcterms:created>
  <dcterms:modified xsi:type="dcterms:W3CDTF">2014-04-25T18:41:00Z</dcterms:modified>
</cp:coreProperties>
</file>