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2CB7" w:rsidRDefault="00202170">
      <w:r>
        <w:fldChar w:fldCharType="begin"/>
      </w:r>
      <w:r>
        <w:instrText xml:space="preserve"> HYPERLINK "</w:instrText>
      </w:r>
      <w:r w:rsidRPr="00202170">
        <w:instrText>https://www.ibm.com/communities/analytics/watson-analytics-blog/predictive-insights-in-the-telco-customer-churn-data-set/</w:instrText>
      </w:r>
      <w:r>
        <w:instrText xml:space="preserve">" </w:instrText>
      </w:r>
      <w:r>
        <w:fldChar w:fldCharType="separate"/>
      </w:r>
      <w:r w:rsidRPr="000453D8">
        <w:rPr>
          <w:rStyle w:val="Hyperlink"/>
        </w:rPr>
        <w:t>https://www.ibm.com/communities/analytics/watson-analytics-blog/predictive-insights-in-the-telco-customer-churn-data-set/</w:t>
      </w:r>
      <w:r>
        <w:fldChar w:fldCharType="end"/>
      </w:r>
    </w:p>
    <w:p w:rsidR="00202170" w:rsidRDefault="00202170" w:rsidP="00202170">
      <w:pPr>
        <w:pStyle w:val="Heading1"/>
        <w:spacing w:before="0" w:beforeAutospacing="0" w:after="0" w:afterAutospacing="0"/>
        <w:textAlignment w:val="baseline"/>
        <w:rPr>
          <w:sz w:val="36"/>
          <w:szCs w:val="36"/>
        </w:rPr>
      </w:pPr>
      <w:r>
        <w:rPr>
          <w:sz w:val="36"/>
          <w:szCs w:val="36"/>
        </w:rPr>
        <w:t>Using Customer Behavior Data to Improve Customer Retention</w:t>
      </w:r>
    </w:p>
    <w:p w:rsidR="00202170" w:rsidRDefault="00202170" w:rsidP="00202170">
      <w:pPr>
        <w:spacing w:line="750" w:lineRule="atLeast"/>
        <w:textAlignment w:val="baseline"/>
        <w:rPr>
          <w:sz w:val="24"/>
          <w:szCs w:val="24"/>
        </w:rPr>
      </w:pPr>
      <w:r>
        <w:rPr>
          <w:noProof/>
          <w:bdr w:val="none" w:sz="0" w:space="0" w:color="auto" w:frame="1"/>
        </w:rPr>
        <w:drawing>
          <wp:inline distT="0" distB="0" distL="0" distR="0">
            <wp:extent cx="1428750" cy="1428750"/>
            <wp:effectExtent l="0" t="0" r="0" b="0"/>
            <wp:docPr id="12" name="Picture 12"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bdr w:val="none" w:sz="0" w:space="0" w:color="auto" w:frame="1"/>
        </w:rPr>
        <w:t> McKinley Stacker IV</w:t>
      </w:r>
    </w:p>
    <w:p w:rsidR="00202170" w:rsidRDefault="00202170" w:rsidP="00202170">
      <w:pPr>
        <w:spacing w:line="240" w:lineRule="auto"/>
        <w:jc w:val="right"/>
        <w:textAlignment w:val="baseline"/>
      </w:pPr>
      <w:r>
        <w:rPr>
          <w:sz w:val="18"/>
          <w:szCs w:val="18"/>
          <w:bdr w:val="none" w:sz="0" w:space="0" w:color="auto" w:frame="1"/>
        </w:rPr>
        <w:t> Apr 15, 2015</w:t>
      </w:r>
      <w:proofErr w:type="gramStart"/>
      <w:r>
        <w:t> </w:t>
      </w:r>
      <w:r>
        <w:rPr>
          <w:sz w:val="18"/>
          <w:szCs w:val="18"/>
          <w:bdr w:val="none" w:sz="0" w:space="0" w:color="auto" w:frame="1"/>
        </w:rPr>
        <w:t> 40826</w:t>
      </w:r>
      <w:proofErr w:type="gramEnd"/>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We’ve uploaded some sample data sets in the IBM Watson Analytics community for you to work with as you learn more about Watson Analytics. This expert blog uses the </w:t>
      </w:r>
      <w:hyperlink r:id="rId6" w:tgtFrame="_blank" w:history="1">
        <w:r>
          <w:rPr>
            <w:rStyle w:val="Hyperlink"/>
            <w:rFonts w:ascii="Arial" w:hAnsi="Arial" w:cs="Arial"/>
            <w:color w:val="3B6CAA"/>
            <w:sz w:val="27"/>
            <w:szCs w:val="27"/>
            <w:bdr w:val="none" w:sz="0" w:space="0" w:color="auto" w:frame="1"/>
          </w:rPr>
          <w:t>Telco Customer Churn data set</w:t>
        </w:r>
      </w:hyperlink>
      <w:r>
        <w:rPr>
          <w:rFonts w:ascii="Arial" w:hAnsi="Arial" w:cs="Arial"/>
          <w:color w:val="666666"/>
          <w:sz w:val="27"/>
          <w:szCs w:val="27"/>
        </w:rPr>
        <w:t>.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"https://community.watsonanalytics.com/wp-content/uploads/2015/03/WA_Fn-UseC_-Telco-Customer-Churn.xlsx" </w:instrText>
      </w:r>
      <w:r>
        <w:rPr>
          <w:rFonts w:ascii="Arial" w:hAnsi="Arial" w:cs="Arial"/>
          <w:color w:val="666666"/>
          <w:sz w:val="27"/>
          <w:szCs w:val="27"/>
        </w:rPr>
        <w:fldChar w:fldCharType="separate"/>
      </w:r>
      <w:r>
        <w:rPr>
          <w:rStyle w:val="Hyperlink"/>
          <w:rFonts w:ascii="Arial" w:hAnsi="Arial" w:cs="Arial"/>
          <w:color w:val="3B6CAA"/>
          <w:sz w:val="27"/>
          <w:szCs w:val="27"/>
          <w:bdr w:val="none" w:sz="0" w:space="0" w:color="auto" w:frame="1"/>
        </w:rPr>
        <w:t>WA_Fn</w:t>
      </w:r>
      <w:proofErr w:type="spellEnd"/>
      <w:r>
        <w:rPr>
          <w:rStyle w:val="Hyperlink"/>
          <w:rFonts w:ascii="Arial" w:hAnsi="Arial" w:cs="Arial"/>
          <w:color w:val="3B6CAA"/>
          <w:sz w:val="27"/>
          <w:szCs w:val="27"/>
          <w:bdr w:val="none" w:sz="0" w:space="0" w:color="auto" w:frame="1"/>
        </w:rPr>
        <w:t>-</w:t>
      </w:r>
      <w:proofErr w:type="spellStart"/>
      <w:r>
        <w:rPr>
          <w:rStyle w:val="Hyperlink"/>
          <w:rFonts w:ascii="Arial" w:hAnsi="Arial" w:cs="Arial"/>
          <w:color w:val="3B6CAA"/>
          <w:sz w:val="27"/>
          <w:szCs w:val="27"/>
          <w:bdr w:val="none" w:sz="0" w:space="0" w:color="auto" w:frame="1"/>
        </w:rPr>
        <w:t>UseC</w:t>
      </w:r>
      <w:proofErr w:type="spellEnd"/>
      <w:r>
        <w:rPr>
          <w:rStyle w:val="Hyperlink"/>
          <w:rFonts w:ascii="Arial" w:hAnsi="Arial" w:cs="Arial"/>
          <w:color w:val="3B6CAA"/>
          <w:sz w:val="27"/>
          <w:szCs w:val="27"/>
          <w:bdr w:val="none" w:sz="0" w:space="0" w:color="auto" w:frame="1"/>
        </w:rPr>
        <w:t>_-Telco-Customer-Churn</w:t>
      </w:r>
      <w:r>
        <w:rPr>
          <w:rFonts w:ascii="Arial" w:hAnsi="Arial" w:cs="Arial"/>
          <w:color w:val="666666"/>
          <w:sz w:val="27"/>
          <w:szCs w:val="27"/>
        </w:rPr>
        <w:fldChar w:fldCharType="end"/>
      </w:r>
    </w:p>
    <w:p w:rsidR="00202170" w:rsidRDefault="00202170" w:rsidP="00202170">
      <w:pPr>
        <w:pStyle w:val="Heading2"/>
        <w:shd w:val="clear" w:color="auto" w:fill="FFFFFF"/>
        <w:spacing w:before="0" w:beforeAutospacing="0" w:after="0" w:afterAutospacing="0" w:line="630" w:lineRule="atLeast"/>
        <w:textAlignment w:val="baseline"/>
        <w:rPr>
          <w:rFonts w:ascii="Arial" w:hAnsi="Arial" w:cs="Arial"/>
          <w:b w:val="0"/>
          <w:bCs w:val="0"/>
          <w:color w:val="333333"/>
          <w:sz w:val="45"/>
          <w:szCs w:val="45"/>
        </w:rPr>
      </w:pPr>
      <w:r>
        <w:rPr>
          <w:rFonts w:ascii="Arial" w:hAnsi="Arial" w:cs="Arial"/>
          <w:b w:val="0"/>
          <w:bCs w:val="0"/>
          <w:color w:val="333333"/>
          <w:sz w:val="45"/>
          <w:szCs w:val="45"/>
        </w:rPr>
        <w:t>What’s in the Telco Customer Churn data set?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This data set provides info to help you predict behavior to retain customers. You can analyze all relevant customer data and develop focused customer retention programs.</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A telecommunications company is concerned about the number of customers leaving their landline business for cable competitors. They need to understand who is leaving. Imagine that you’re an analyst at this company and you have to find out who is leaving and why.</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The data set includes information about:</w:t>
      </w:r>
    </w:p>
    <w:p w:rsidR="00202170" w:rsidRDefault="00202170" w:rsidP="00202170">
      <w:pPr>
        <w:numPr>
          <w:ilvl w:val="0"/>
          <w:numId w:val="1"/>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Customers who left within the last month – the column is called Churn</w:t>
      </w:r>
    </w:p>
    <w:p w:rsidR="00202170" w:rsidRDefault="00202170" w:rsidP="00202170">
      <w:pPr>
        <w:numPr>
          <w:ilvl w:val="0"/>
          <w:numId w:val="1"/>
        </w:numPr>
        <w:shd w:val="clear" w:color="auto" w:fill="FFFFFF"/>
        <w:spacing w:after="0" w:line="240" w:lineRule="auto"/>
        <w:ind w:left="0"/>
        <w:textAlignment w:val="baseline"/>
        <w:rPr>
          <w:rFonts w:ascii="Arial" w:hAnsi="Arial" w:cs="Arial"/>
          <w:color w:val="959595"/>
        </w:rPr>
      </w:pPr>
      <w:r>
        <w:rPr>
          <w:rFonts w:ascii="Arial" w:hAnsi="Arial" w:cs="Arial"/>
          <w:color w:val="959595"/>
        </w:rPr>
        <w:t>Services that each customer has signed up for – phone, multiple lines, internet, online security, online backup, device protection, tech support, and streaming TV and movies</w:t>
      </w:r>
    </w:p>
    <w:p w:rsidR="00202170" w:rsidRDefault="00202170" w:rsidP="00202170">
      <w:pPr>
        <w:numPr>
          <w:ilvl w:val="0"/>
          <w:numId w:val="1"/>
        </w:numPr>
        <w:shd w:val="clear" w:color="auto" w:fill="FFFFFF"/>
        <w:spacing w:after="0" w:line="240" w:lineRule="auto"/>
        <w:ind w:left="0"/>
        <w:textAlignment w:val="baseline"/>
        <w:rPr>
          <w:rFonts w:ascii="Arial" w:hAnsi="Arial" w:cs="Arial"/>
          <w:color w:val="959595"/>
        </w:rPr>
      </w:pPr>
      <w:r>
        <w:rPr>
          <w:rFonts w:ascii="Arial" w:hAnsi="Arial" w:cs="Arial"/>
          <w:color w:val="959595"/>
        </w:rPr>
        <w:t>Customer account information – how long they’ve been a customer, contract, payment method, paperless billing, monthly charges, and total charges</w:t>
      </w:r>
    </w:p>
    <w:p w:rsidR="00202170" w:rsidRDefault="00202170" w:rsidP="00202170">
      <w:pPr>
        <w:numPr>
          <w:ilvl w:val="0"/>
          <w:numId w:val="1"/>
        </w:numPr>
        <w:shd w:val="clear" w:color="auto" w:fill="FFFFFF"/>
        <w:spacing w:after="0" w:line="240" w:lineRule="auto"/>
        <w:ind w:left="0"/>
        <w:textAlignment w:val="baseline"/>
        <w:rPr>
          <w:rFonts w:ascii="Arial" w:hAnsi="Arial" w:cs="Arial"/>
          <w:color w:val="959595"/>
        </w:rPr>
      </w:pPr>
      <w:r>
        <w:rPr>
          <w:rFonts w:ascii="Arial" w:hAnsi="Arial" w:cs="Arial"/>
          <w:color w:val="959595"/>
        </w:rPr>
        <w:t>Demographic info about customers – gender, age range, and if they have partners and dependents</w:t>
      </w:r>
    </w:p>
    <w:p w:rsidR="00202170" w:rsidRDefault="00202170" w:rsidP="00202170">
      <w:pPr>
        <w:pStyle w:val="Heading2"/>
        <w:shd w:val="clear" w:color="auto" w:fill="FFFFFF"/>
        <w:spacing w:before="0" w:beforeAutospacing="0" w:after="0" w:afterAutospacing="0" w:line="630" w:lineRule="atLeast"/>
        <w:textAlignment w:val="baseline"/>
        <w:rPr>
          <w:rFonts w:ascii="Arial" w:hAnsi="Arial" w:cs="Arial"/>
          <w:b w:val="0"/>
          <w:bCs w:val="0"/>
          <w:color w:val="333333"/>
          <w:sz w:val="45"/>
          <w:szCs w:val="45"/>
        </w:rPr>
      </w:pPr>
      <w:r>
        <w:rPr>
          <w:rFonts w:ascii="Arial" w:hAnsi="Arial" w:cs="Arial"/>
          <w:b w:val="0"/>
          <w:bCs w:val="0"/>
          <w:color w:val="333333"/>
          <w:sz w:val="45"/>
          <w:szCs w:val="45"/>
        </w:rPr>
        <w:t>If you don’t have the data set…</w:t>
      </w:r>
    </w:p>
    <w:p w:rsidR="00202170" w:rsidRDefault="00202170" w:rsidP="00202170">
      <w:pPr>
        <w:numPr>
          <w:ilvl w:val="0"/>
          <w:numId w:val="2"/>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Go to </w:t>
      </w:r>
      <w:hyperlink r:id="rId7" w:history="1">
        <w:r>
          <w:rPr>
            <w:rStyle w:val="Hyperlink"/>
            <w:rFonts w:ascii="Arial" w:hAnsi="Arial" w:cs="Arial"/>
            <w:color w:val="3B6CAA"/>
            <w:bdr w:val="none" w:sz="0" w:space="0" w:color="auto" w:frame="1"/>
          </w:rPr>
          <w:t>https://community.watsonanalytics.com/resources/</w:t>
        </w:r>
      </w:hyperlink>
    </w:p>
    <w:p w:rsidR="00202170" w:rsidRDefault="00202170" w:rsidP="00202170">
      <w:pPr>
        <w:numPr>
          <w:ilvl w:val="0"/>
          <w:numId w:val="2"/>
        </w:numPr>
        <w:shd w:val="clear" w:color="auto" w:fill="FFFFFF"/>
        <w:spacing w:after="0" w:line="240" w:lineRule="auto"/>
        <w:ind w:left="0"/>
        <w:textAlignment w:val="baseline"/>
        <w:rPr>
          <w:rFonts w:ascii="Arial" w:hAnsi="Arial" w:cs="Arial"/>
          <w:color w:val="959595"/>
        </w:rPr>
      </w:pPr>
      <w:r>
        <w:rPr>
          <w:rFonts w:ascii="Arial" w:hAnsi="Arial" w:cs="Arial"/>
          <w:color w:val="959595"/>
        </w:rPr>
        <w:lastRenderedPageBreak/>
        <w:t>Download the </w:t>
      </w:r>
      <w:hyperlink r:id="rId8" w:tgtFrame="_blank" w:history="1">
        <w:r>
          <w:rPr>
            <w:rStyle w:val="Strong"/>
            <w:rFonts w:ascii="Arial" w:hAnsi="Arial" w:cs="Arial"/>
            <w:color w:val="3B6CAA"/>
            <w:bdr w:val="none" w:sz="0" w:space="0" w:color="auto" w:frame="1"/>
          </w:rPr>
          <w:t>Telco Customer Churn</w:t>
        </w:r>
      </w:hyperlink>
      <w:r>
        <w:rPr>
          <w:rFonts w:ascii="Arial" w:hAnsi="Arial" w:cs="Arial"/>
          <w:color w:val="959595"/>
        </w:rPr>
        <w:t> sample data file.</w:t>
      </w:r>
    </w:p>
    <w:p w:rsidR="00202170" w:rsidRDefault="00202170" w:rsidP="00202170">
      <w:pPr>
        <w:numPr>
          <w:ilvl w:val="0"/>
          <w:numId w:val="2"/>
        </w:numPr>
        <w:shd w:val="clear" w:color="auto" w:fill="FFFFFF"/>
        <w:spacing w:after="0" w:line="240" w:lineRule="auto"/>
        <w:ind w:left="0"/>
        <w:textAlignment w:val="baseline"/>
        <w:rPr>
          <w:rFonts w:ascii="Arial" w:hAnsi="Arial" w:cs="Arial"/>
          <w:color w:val="959595"/>
        </w:rPr>
      </w:pPr>
      <w:r>
        <w:rPr>
          <w:rFonts w:ascii="Arial" w:hAnsi="Arial" w:cs="Arial"/>
          <w:color w:val="959595"/>
        </w:rPr>
        <w:t>In Watson Analytics, tap </w:t>
      </w:r>
      <w:r>
        <w:rPr>
          <w:rStyle w:val="Strong"/>
          <w:rFonts w:ascii="Arial" w:hAnsi="Arial" w:cs="Arial"/>
          <w:color w:val="959595"/>
          <w:bdr w:val="none" w:sz="0" w:space="0" w:color="auto" w:frame="1"/>
        </w:rPr>
        <w:t>Add</w:t>
      </w:r>
      <w:r>
        <w:rPr>
          <w:rFonts w:ascii="Arial" w:hAnsi="Arial" w:cs="Arial"/>
          <w:color w:val="959595"/>
        </w:rPr>
        <w:t> and upload Telco Customer Churn.</w:t>
      </w:r>
      <w:r>
        <w:rPr>
          <w:rFonts w:ascii="Arial" w:hAnsi="Arial" w:cs="Arial"/>
          <w:color w:val="959595"/>
        </w:rPr>
        <w:br/>
        <w:t>The filename is a bit longer: WA_Fn-UseC_-Telco-Customer-Churn.csv.</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drawing>
          <wp:inline distT="0" distB="0" distL="0" distR="0">
            <wp:extent cx="9753600" cy="5543550"/>
            <wp:effectExtent l="0" t="0" r="0" b="0"/>
            <wp:docPr id="11" name="Picture 11" descr="WelcomeWithBannerSmallSiz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WithBannerSmallSiz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53600" cy="5543550"/>
                    </a:xfrm>
                    <a:prstGeom prst="rect">
                      <a:avLst/>
                    </a:prstGeom>
                    <a:noFill/>
                    <a:ln>
                      <a:noFill/>
                    </a:ln>
                  </pic:spPr>
                </pic:pic>
              </a:graphicData>
            </a:graphic>
          </wp:inline>
        </w:drawing>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The data set appears as a tile in the Welcome page and you’re ready to get to work.</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lastRenderedPageBreak/>
        <w:drawing>
          <wp:inline distT="0" distB="0" distL="0" distR="0">
            <wp:extent cx="2438400" cy="3248025"/>
            <wp:effectExtent l="0" t="0" r="0" b="9525"/>
            <wp:docPr id="10" name="Picture 10" descr="WA_Fn-UseC_-Telc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_Fn-UseC_-Telco">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3248025"/>
                    </a:xfrm>
                    <a:prstGeom prst="rect">
                      <a:avLst/>
                    </a:prstGeom>
                    <a:noFill/>
                    <a:ln>
                      <a:noFill/>
                    </a:ln>
                  </pic:spPr>
                </pic:pic>
              </a:graphicData>
            </a:graphic>
          </wp:inline>
        </w:drawing>
      </w:r>
    </w:p>
    <w:p w:rsidR="00202170" w:rsidRDefault="00202170" w:rsidP="00202170">
      <w:pPr>
        <w:pStyle w:val="Heading2"/>
        <w:shd w:val="clear" w:color="auto" w:fill="FFFFFF"/>
        <w:spacing w:before="0" w:beforeAutospacing="0" w:after="0" w:afterAutospacing="0" w:line="630" w:lineRule="atLeast"/>
        <w:textAlignment w:val="baseline"/>
        <w:rPr>
          <w:rFonts w:ascii="Arial" w:hAnsi="Arial" w:cs="Arial"/>
          <w:b w:val="0"/>
          <w:bCs w:val="0"/>
          <w:color w:val="333333"/>
          <w:sz w:val="45"/>
          <w:szCs w:val="45"/>
        </w:rPr>
      </w:pPr>
      <w:r>
        <w:rPr>
          <w:rFonts w:ascii="Arial" w:hAnsi="Arial" w:cs="Arial"/>
          <w:b w:val="0"/>
          <w:bCs w:val="0"/>
          <w:color w:val="333333"/>
          <w:sz w:val="45"/>
          <w:szCs w:val="45"/>
        </w:rPr>
        <w:t>Which customers are likely to leave?</w:t>
      </w:r>
    </w:p>
    <w:p w:rsidR="00202170" w:rsidRDefault="00202170" w:rsidP="00202170">
      <w:pPr>
        <w:numPr>
          <w:ilvl w:val="0"/>
          <w:numId w:val="3"/>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 xml:space="preserve">To find the answer to this question, tap the </w:t>
      </w:r>
      <w:proofErr w:type="spellStart"/>
      <w:r>
        <w:rPr>
          <w:rFonts w:ascii="Arial" w:hAnsi="Arial" w:cs="Arial"/>
          <w:color w:val="959595"/>
        </w:rPr>
        <w:t>WA_Fn</w:t>
      </w:r>
      <w:proofErr w:type="spellEnd"/>
      <w:r>
        <w:rPr>
          <w:rFonts w:ascii="Arial" w:hAnsi="Arial" w:cs="Arial"/>
          <w:color w:val="959595"/>
        </w:rPr>
        <w:t>-</w:t>
      </w:r>
      <w:proofErr w:type="spellStart"/>
      <w:r>
        <w:rPr>
          <w:rFonts w:ascii="Arial" w:hAnsi="Arial" w:cs="Arial"/>
          <w:color w:val="959595"/>
        </w:rPr>
        <w:t>UseC</w:t>
      </w:r>
      <w:proofErr w:type="spellEnd"/>
      <w:r>
        <w:rPr>
          <w:rFonts w:ascii="Arial" w:hAnsi="Arial" w:cs="Arial"/>
          <w:color w:val="959595"/>
        </w:rPr>
        <w:t>_-Telco-Customer-Churn tile and tap </w:t>
      </w:r>
      <w:r>
        <w:rPr>
          <w:rStyle w:val="Strong"/>
          <w:rFonts w:ascii="Arial" w:hAnsi="Arial" w:cs="Arial"/>
          <w:color w:val="959595"/>
          <w:bdr w:val="none" w:sz="0" w:space="0" w:color="auto" w:frame="1"/>
        </w:rPr>
        <w:t>Prediction</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lastRenderedPageBreak/>
        <w:drawing>
          <wp:inline distT="0" distB="0" distL="0" distR="0">
            <wp:extent cx="9753600" cy="6791325"/>
            <wp:effectExtent l="0" t="0" r="0" b="9525"/>
            <wp:docPr id="9" name="Picture 9" descr="Predic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dic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6791325"/>
                    </a:xfrm>
                    <a:prstGeom prst="rect">
                      <a:avLst/>
                    </a:prstGeom>
                    <a:noFill/>
                    <a:ln>
                      <a:noFill/>
                    </a:ln>
                  </pic:spPr>
                </pic:pic>
              </a:graphicData>
            </a:graphic>
          </wp:inline>
        </w:drawing>
      </w:r>
      <w:r>
        <w:rPr>
          <w:rFonts w:ascii="Arial" w:hAnsi="Arial" w:cs="Arial"/>
          <w:color w:val="666666"/>
          <w:sz w:val="27"/>
          <w:szCs w:val="27"/>
        </w:rPr>
        <w:br/>
        <w:t>You want to learn more about customers who’ve left the company in the past month – this is the target that you want to investigate. The data is in the column called Churn, which is the column we’ve already picked as the target for the prediction. Let’s find out which variables influence customers who leave.</w:t>
      </w:r>
    </w:p>
    <w:p w:rsidR="00202170" w:rsidRDefault="00202170" w:rsidP="00202170">
      <w:pPr>
        <w:numPr>
          <w:ilvl w:val="0"/>
          <w:numId w:val="4"/>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lastRenderedPageBreak/>
        <w:t>Name the prediction and tap </w:t>
      </w:r>
      <w:r>
        <w:rPr>
          <w:rStyle w:val="Strong"/>
          <w:rFonts w:ascii="Arial" w:hAnsi="Arial" w:cs="Arial"/>
          <w:color w:val="959595"/>
          <w:bdr w:val="none" w:sz="0" w:space="0" w:color="auto" w:frame="1"/>
        </w:rPr>
        <w:t>Create Prediction</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Watson Analytics analyzes the data and generates visualizations to provide insights into this issue.</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The spiral shows you the top predictors, or key drivers, of churn in color; other drivers appear in gray. The closer the driver is to the center of the spiral, the stronger the predictive strength of the driver is.</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drawing>
          <wp:inline distT="0" distB="0" distL="0" distR="0">
            <wp:extent cx="9753600" cy="5695950"/>
            <wp:effectExtent l="0" t="0" r="0" b="0"/>
            <wp:docPr id="8" name="Picture 8" descr="Predictive strengt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ive strength">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5695950"/>
                    </a:xfrm>
                    <a:prstGeom prst="rect">
                      <a:avLst/>
                    </a:prstGeom>
                    <a:noFill/>
                    <a:ln>
                      <a:noFill/>
                    </a:ln>
                  </pic:spPr>
                </pic:pic>
              </a:graphicData>
            </a:graphic>
          </wp:inline>
        </w:drawing>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 </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 xml:space="preserve">The key drivers are tenure, contract, and online security. The visualizations to the right of the spiral show how one driver at a time drives churn. The blue or </w:t>
      </w:r>
      <w:r>
        <w:rPr>
          <w:rFonts w:ascii="Arial" w:hAnsi="Arial" w:cs="Arial"/>
          <w:color w:val="666666"/>
          <w:sz w:val="27"/>
          <w:szCs w:val="27"/>
        </w:rPr>
        <w:lastRenderedPageBreak/>
        <w:t>green dots in the upper right of the visualizations identify which driver is being shown.</w:t>
      </w:r>
    </w:p>
    <w:p w:rsidR="00202170" w:rsidRDefault="00202170" w:rsidP="00202170">
      <w:pPr>
        <w:numPr>
          <w:ilvl w:val="0"/>
          <w:numId w:val="5"/>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Tap </w:t>
      </w:r>
      <w:r>
        <w:rPr>
          <w:rStyle w:val="Strong"/>
          <w:rFonts w:ascii="Arial" w:hAnsi="Arial" w:cs="Arial"/>
          <w:color w:val="959595"/>
          <w:bdr w:val="none" w:sz="0" w:space="0" w:color="auto" w:frame="1"/>
        </w:rPr>
        <w:t>tenure drives Churn</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This new visualization shows that customers who have been customers for shorter periods are more likely to leave.</w:t>
      </w:r>
      <w:r>
        <w:rPr>
          <w:rFonts w:ascii="Arial" w:hAnsi="Arial" w:cs="Arial"/>
          <w:color w:val="666666"/>
          <w:sz w:val="27"/>
          <w:szCs w:val="27"/>
        </w:rPr>
        <w:br/>
      </w:r>
      <w:r>
        <w:rPr>
          <w:rFonts w:ascii="Arial" w:hAnsi="Arial" w:cs="Arial"/>
          <w:noProof/>
          <w:color w:val="3B6CAA"/>
          <w:sz w:val="27"/>
          <w:szCs w:val="27"/>
          <w:bdr w:val="none" w:sz="0" w:space="0" w:color="auto" w:frame="1"/>
        </w:rPr>
        <w:drawing>
          <wp:inline distT="0" distB="0" distL="0" distR="0">
            <wp:extent cx="9753600" cy="5705475"/>
            <wp:effectExtent l="0" t="0" r="0" b="9525"/>
            <wp:docPr id="7" name="Picture 7" descr="Chur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ur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53600" cy="5705475"/>
                    </a:xfrm>
                    <a:prstGeom prst="rect">
                      <a:avLst/>
                    </a:prstGeom>
                    <a:noFill/>
                    <a:ln>
                      <a:noFill/>
                    </a:ln>
                  </pic:spPr>
                </pic:pic>
              </a:graphicData>
            </a:graphic>
          </wp:inline>
        </w:drawing>
      </w:r>
    </w:p>
    <w:p w:rsidR="00202170" w:rsidRDefault="00202170" w:rsidP="00202170">
      <w:pPr>
        <w:numPr>
          <w:ilvl w:val="0"/>
          <w:numId w:val="6"/>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Close this visualization by tapping the X in its upper right corner.</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You can look at the visualizations for the other drivers on your own. Let’s move on and explore churn in more depth.</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To the left of the spiral are options for creating visualizations that show more than one driver at a time.</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lastRenderedPageBreak/>
        <w:drawing>
          <wp:inline distT="0" distB="0" distL="0" distR="0">
            <wp:extent cx="1495425" cy="1447800"/>
            <wp:effectExtent l="0" t="0" r="9525" b="0"/>
            <wp:docPr id="6" name="Picture 6" descr="Drive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ve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1447800"/>
                    </a:xfrm>
                    <a:prstGeom prst="rect">
                      <a:avLst/>
                    </a:prstGeom>
                    <a:noFill/>
                    <a:ln>
                      <a:noFill/>
                    </a:ln>
                  </pic:spPr>
                </pic:pic>
              </a:graphicData>
            </a:graphic>
          </wp:inline>
        </w:drawing>
      </w:r>
    </w:p>
    <w:p w:rsidR="00202170" w:rsidRDefault="00202170" w:rsidP="00202170">
      <w:pPr>
        <w:numPr>
          <w:ilvl w:val="0"/>
          <w:numId w:val="7"/>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Let’s go straight to the deeper and more predictive analysis of the data. Tap </w:t>
      </w:r>
      <w:r>
        <w:rPr>
          <w:rStyle w:val="Strong"/>
          <w:rFonts w:ascii="Arial" w:hAnsi="Arial" w:cs="Arial"/>
          <w:color w:val="959595"/>
          <w:bdr w:val="none" w:sz="0" w:space="0" w:color="auto" w:frame="1"/>
        </w:rPr>
        <w:t>Combination</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 xml:space="preserve">You get a new set of visualizations on the right, including a decision </w:t>
      </w:r>
      <w:proofErr w:type="gramStart"/>
      <w:r>
        <w:rPr>
          <w:rFonts w:ascii="Arial" w:hAnsi="Arial" w:cs="Arial"/>
          <w:color w:val="666666"/>
          <w:sz w:val="27"/>
          <w:szCs w:val="27"/>
        </w:rPr>
        <w:t>tree, that</w:t>
      </w:r>
      <w:proofErr w:type="gramEnd"/>
      <w:r>
        <w:rPr>
          <w:rFonts w:ascii="Arial" w:hAnsi="Arial" w:cs="Arial"/>
          <w:color w:val="666666"/>
          <w:sz w:val="27"/>
          <w:szCs w:val="27"/>
        </w:rPr>
        <w:t xml:space="preserve"> show the combination of variables that influence your target.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drawing>
          <wp:inline distT="0" distB="0" distL="0" distR="0">
            <wp:extent cx="9753600" cy="5676900"/>
            <wp:effectExtent l="0" t="0" r="0" b="0"/>
            <wp:docPr id="5" name="Picture 5" descr="Variabl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iabl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5676900"/>
                    </a:xfrm>
                    <a:prstGeom prst="rect">
                      <a:avLst/>
                    </a:prstGeom>
                    <a:noFill/>
                    <a:ln>
                      <a:noFill/>
                    </a:ln>
                  </pic:spPr>
                </pic:pic>
              </a:graphicData>
            </a:graphic>
          </wp:inline>
        </w:drawing>
      </w:r>
    </w:p>
    <w:p w:rsidR="00202170" w:rsidRDefault="00202170" w:rsidP="00202170">
      <w:pPr>
        <w:numPr>
          <w:ilvl w:val="0"/>
          <w:numId w:val="8"/>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Let’s look at the combination of key drivers that influence whether customers leave. Tap the decision tree.</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lastRenderedPageBreak/>
        <w:drawing>
          <wp:inline distT="0" distB="0" distL="0" distR="0">
            <wp:extent cx="9753600" cy="5686425"/>
            <wp:effectExtent l="0" t="0" r="0" b="9525"/>
            <wp:docPr id="4" name="Picture 4" descr="Tre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5686425"/>
                    </a:xfrm>
                    <a:prstGeom prst="rect">
                      <a:avLst/>
                    </a:prstGeom>
                    <a:noFill/>
                    <a:ln>
                      <a:noFill/>
                    </a:ln>
                  </pic:spPr>
                </pic:pic>
              </a:graphicData>
            </a:graphic>
          </wp:inline>
        </w:drawing>
      </w:r>
    </w:p>
    <w:p w:rsidR="00202170" w:rsidRDefault="00202170" w:rsidP="00202170">
      <w:pPr>
        <w:numPr>
          <w:ilvl w:val="0"/>
          <w:numId w:val="9"/>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Let’s look at a word cloud about the key factors that influence churn. Tap </w:t>
      </w:r>
      <w:r>
        <w:rPr>
          <w:rStyle w:val="Strong"/>
          <w:rFonts w:ascii="Arial" w:hAnsi="Arial" w:cs="Arial"/>
          <w:color w:val="959595"/>
          <w:bdr w:val="none" w:sz="0" w:space="0" w:color="auto" w:frame="1"/>
        </w:rPr>
        <w:t>Predictor Importance</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Contract, Internet Service, Tenure, and Total Charges are the most important factors.</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lastRenderedPageBreak/>
        <w:drawing>
          <wp:inline distT="0" distB="0" distL="0" distR="0">
            <wp:extent cx="9753600" cy="5686425"/>
            <wp:effectExtent l="0" t="0" r="0" b="9525"/>
            <wp:docPr id="3" name="Picture 3" descr="Impor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an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5686425"/>
                    </a:xfrm>
                    <a:prstGeom prst="rect">
                      <a:avLst/>
                    </a:prstGeom>
                    <a:noFill/>
                    <a:ln>
                      <a:noFill/>
                    </a:ln>
                  </pic:spPr>
                </pic:pic>
              </a:graphicData>
            </a:graphic>
          </wp:inline>
        </w:drawing>
      </w:r>
    </w:p>
    <w:p w:rsidR="00202170" w:rsidRDefault="00202170" w:rsidP="00202170">
      <w:pPr>
        <w:numPr>
          <w:ilvl w:val="0"/>
          <w:numId w:val="10"/>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Let’s get some more details on who is leaving so we can predict who is likely to leave in the future. Tap </w:t>
      </w:r>
      <w:r>
        <w:rPr>
          <w:rStyle w:val="Strong"/>
          <w:rFonts w:ascii="Arial" w:hAnsi="Arial" w:cs="Arial"/>
          <w:color w:val="959595"/>
          <w:bdr w:val="none" w:sz="0" w:space="0" w:color="auto" w:frame="1"/>
        </w:rPr>
        <w:t>Top Decision Rules</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The rules are specific and detailed, and are sorted by accuracy. They currently focus on customers who do not leave. We need to change that.</w:t>
      </w:r>
    </w:p>
    <w:p w:rsidR="00202170" w:rsidRDefault="00202170" w:rsidP="00202170">
      <w:pPr>
        <w:numPr>
          <w:ilvl w:val="0"/>
          <w:numId w:val="11"/>
        </w:numPr>
        <w:shd w:val="clear" w:color="auto" w:fill="FFFFFF"/>
        <w:spacing w:after="0" w:line="240" w:lineRule="auto"/>
        <w:ind w:left="0"/>
        <w:textAlignment w:val="baseline"/>
        <w:rPr>
          <w:rFonts w:ascii="Arial" w:hAnsi="Arial" w:cs="Arial"/>
          <w:color w:val="959595"/>
          <w:sz w:val="24"/>
          <w:szCs w:val="24"/>
        </w:rPr>
      </w:pPr>
      <w:r>
        <w:rPr>
          <w:rFonts w:ascii="Arial" w:hAnsi="Arial" w:cs="Arial"/>
          <w:color w:val="959595"/>
        </w:rPr>
        <w:t>Change the </w:t>
      </w:r>
      <w:r>
        <w:rPr>
          <w:rStyle w:val="Strong"/>
          <w:rFonts w:ascii="Arial" w:hAnsi="Arial" w:cs="Arial"/>
          <w:color w:val="959595"/>
          <w:bdr w:val="none" w:sz="0" w:space="0" w:color="auto" w:frame="1"/>
        </w:rPr>
        <w:t>No</w:t>
      </w:r>
      <w:r>
        <w:rPr>
          <w:rFonts w:ascii="Arial" w:hAnsi="Arial" w:cs="Arial"/>
          <w:color w:val="959595"/>
        </w:rPr>
        <w:t> to </w:t>
      </w:r>
      <w:r>
        <w:rPr>
          <w:rStyle w:val="Strong"/>
          <w:rFonts w:ascii="Arial" w:hAnsi="Arial" w:cs="Arial"/>
          <w:color w:val="959595"/>
          <w:bdr w:val="none" w:sz="0" w:space="0" w:color="auto" w:frame="1"/>
        </w:rPr>
        <w:t>Yes</w:t>
      </w:r>
      <w:r>
        <w:rPr>
          <w:rFonts w:ascii="Arial" w:hAnsi="Arial" w:cs="Arial"/>
          <w:color w:val="959595"/>
        </w:rPr>
        <w:t>.</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drawing>
          <wp:inline distT="0" distB="0" distL="0" distR="0">
            <wp:extent cx="9753600" cy="1219200"/>
            <wp:effectExtent l="0" t="0" r="0" b="0"/>
            <wp:docPr id="2" name="Picture 2" descr="NoY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Ye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1219200"/>
                    </a:xfrm>
                    <a:prstGeom prst="rect">
                      <a:avLst/>
                    </a:prstGeom>
                    <a:noFill/>
                    <a:ln>
                      <a:noFill/>
                    </a:ln>
                  </pic:spPr>
                </pic:pic>
              </a:graphicData>
            </a:graphic>
          </wp:inline>
        </w:drawing>
      </w:r>
      <w:r>
        <w:rPr>
          <w:rFonts w:ascii="Arial" w:hAnsi="Arial" w:cs="Arial"/>
          <w:color w:val="666666"/>
          <w:sz w:val="27"/>
          <w:szCs w:val="27"/>
        </w:rPr>
        <w:br/>
        <w:t xml:space="preserve">A clearer view emerges. Customers who leave tend to be ones who are on a </w:t>
      </w:r>
      <w:r>
        <w:rPr>
          <w:rFonts w:ascii="Arial" w:hAnsi="Arial" w:cs="Arial"/>
          <w:color w:val="666666"/>
          <w:sz w:val="27"/>
          <w:szCs w:val="27"/>
        </w:rPr>
        <w:lastRenderedPageBreak/>
        <w:t>month-to-month contract, have fiber optic internet service, and have been customers for shorter periods.</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color w:val="666666"/>
          <w:sz w:val="27"/>
          <w:szCs w:val="27"/>
        </w:rPr>
        <w:t>You can now predict which customers are at risk to churn. Use the decision rules to identify customers who fit the churn profile so you can proactively offer them an incentive to stay.</w:t>
      </w:r>
    </w:p>
    <w:p w:rsidR="00202170" w:rsidRDefault="00202170" w:rsidP="00202170">
      <w:pPr>
        <w:pStyle w:val="NormalWeb"/>
        <w:shd w:val="clear" w:color="auto" w:fill="FFFFFF"/>
        <w:spacing w:before="0" w:beforeAutospacing="0" w:after="0" w:afterAutospacing="0" w:line="420" w:lineRule="atLeast"/>
        <w:textAlignment w:val="baseline"/>
        <w:rPr>
          <w:rFonts w:ascii="Arial" w:hAnsi="Arial" w:cs="Arial"/>
          <w:color w:val="666666"/>
          <w:sz w:val="27"/>
          <w:szCs w:val="27"/>
        </w:rPr>
      </w:pPr>
      <w:r>
        <w:rPr>
          <w:rFonts w:ascii="Arial" w:hAnsi="Arial" w:cs="Arial"/>
          <w:noProof/>
          <w:color w:val="3B6CAA"/>
          <w:sz w:val="27"/>
          <w:szCs w:val="27"/>
          <w:bdr w:val="none" w:sz="0" w:space="0" w:color="auto" w:frame="1"/>
        </w:rPr>
        <w:drawing>
          <wp:inline distT="0" distB="0" distL="0" distR="0">
            <wp:extent cx="9753600" cy="5686425"/>
            <wp:effectExtent l="0" t="0" r="0" b="9525"/>
            <wp:docPr id="1" name="Picture 1" descr="Profi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fil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5686425"/>
                    </a:xfrm>
                    <a:prstGeom prst="rect">
                      <a:avLst/>
                    </a:prstGeom>
                    <a:noFill/>
                    <a:ln>
                      <a:noFill/>
                    </a:ln>
                  </pic:spPr>
                </pic:pic>
              </a:graphicData>
            </a:graphic>
          </wp:inline>
        </w:drawing>
      </w:r>
    </w:p>
    <w:p w:rsidR="00202170" w:rsidRDefault="00202170">
      <w:bookmarkStart w:id="0" w:name="_GoBack"/>
      <w:bookmarkEnd w:id="0"/>
    </w:p>
    <w:sectPr w:rsidR="002021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60AE3"/>
    <w:multiLevelType w:val="multilevel"/>
    <w:tmpl w:val="A0382B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6690E"/>
    <w:multiLevelType w:val="multilevel"/>
    <w:tmpl w:val="11BE0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B703B"/>
    <w:multiLevelType w:val="multilevel"/>
    <w:tmpl w:val="B9102E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BB0994"/>
    <w:multiLevelType w:val="multilevel"/>
    <w:tmpl w:val="6B3C5E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00102A"/>
    <w:multiLevelType w:val="multilevel"/>
    <w:tmpl w:val="9E9C55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131FF2"/>
    <w:multiLevelType w:val="multilevel"/>
    <w:tmpl w:val="773A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F7B08"/>
    <w:multiLevelType w:val="multilevel"/>
    <w:tmpl w:val="74C4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4C325A"/>
    <w:multiLevelType w:val="multilevel"/>
    <w:tmpl w:val="ACD6431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A82DB7"/>
    <w:multiLevelType w:val="multilevel"/>
    <w:tmpl w:val="206E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0B7205"/>
    <w:multiLevelType w:val="multilevel"/>
    <w:tmpl w:val="0D4684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B6316D"/>
    <w:multiLevelType w:val="multilevel"/>
    <w:tmpl w:val="AFE45E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6"/>
  </w:num>
  <w:num w:numId="4">
    <w:abstractNumId w:val="4"/>
  </w:num>
  <w:num w:numId="5">
    <w:abstractNumId w:val="0"/>
  </w:num>
  <w:num w:numId="6">
    <w:abstractNumId w:val="3"/>
  </w:num>
  <w:num w:numId="7">
    <w:abstractNumId w:val="10"/>
  </w:num>
  <w:num w:numId="8">
    <w:abstractNumId w:val="1"/>
  </w:num>
  <w:num w:numId="9">
    <w:abstractNumId w:val="2"/>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170"/>
    <w:rsid w:val="00032CB7"/>
    <w:rsid w:val="0020217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85AE6E-2CD9-4680-94AE-1A67812D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021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021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2170"/>
    <w:rPr>
      <w:color w:val="0563C1" w:themeColor="hyperlink"/>
      <w:u w:val="single"/>
    </w:rPr>
  </w:style>
  <w:style w:type="character" w:customStyle="1" w:styleId="Heading1Char">
    <w:name w:val="Heading 1 Char"/>
    <w:basedOn w:val="DefaultParagraphFont"/>
    <w:link w:val="Heading1"/>
    <w:uiPriority w:val="9"/>
    <w:rsid w:val="002021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21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21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21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146568">
      <w:bodyDiv w:val="1"/>
      <w:marLeft w:val="0"/>
      <w:marRight w:val="0"/>
      <w:marTop w:val="0"/>
      <w:marBottom w:val="0"/>
      <w:divBdr>
        <w:top w:val="none" w:sz="0" w:space="0" w:color="auto"/>
        <w:left w:val="none" w:sz="0" w:space="0" w:color="auto"/>
        <w:bottom w:val="none" w:sz="0" w:space="0" w:color="auto"/>
        <w:right w:val="none" w:sz="0" w:space="0" w:color="auto"/>
      </w:divBdr>
      <w:divsChild>
        <w:div w:id="997995406">
          <w:marLeft w:val="0"/>
          <w:marRight w:val="0"/>
          <w:marTop w:val="0"/>
          <w:marBottom w:val="0"/>
          <w:divBdr>
            <w:top w:val="none" w:sz="0" w:space="0" w:color="auto"/>
            <w:left w:val="none" w:sz="0" w:space="0" w:color="auto"/>
            <w:bottom w:val="none" w:sz="0" w:space="0" w:color="auto"/>
            <w:right w:val="none" w:sz="0" w:space="0" w:color="auto"/>
          </w:divBdr>
          <w:divsChild>
            <w:div w:id="1964574158">
              <w:marLeft w:val="0"/>
              <w:marRight w:val="0"/>
              <w:marTop w:val="0"/>
              <w:marBottom w:val="0"/>
              <w:divBdr>
                <w:top w:val="none" w:sz="0" w:space="0" w:color="auto"/>
                <w:left w:val="none" w:sz="0" w:space="0" w:color="auto"/>
                <w:bottom w:val="none" w:sz="0" w:space="0" w:color="auto"/>
                <w:right w:val="none" w:sz="0" w:space="0" w:color="auto"/>
              </w:divBdr>
            </w:div>
          </w:divsChild>
        </w:div>
        <w:div w:id="740753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watsonanalytics.com/wp-content/uploads/2015/03/WA_Fn-UseC_-Telco-Customer-Churn.csv" TargetMode="External"/><Relationship Id="rId13" Type="http://schemas.openxmlformats.org/officeDocument/2006/relationships/hyperlink" Target="https://community.watsonanalytics.com/wp-content/uploads/2015/04/wa_telco3.jpg" TargetMode="External"/><Relationship Id="rId18" Type="http://schemas.openxmlformats.org/officeDocument/2006/relationships/image" Target="media/image6.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community.watsonanalytics.com/wp-content/uploads/2015/04/wa_telco7.jpg" TargetMode="External"/><Relationship Id="rId7" Type="http://schemas.openxmlformats.org/officeDocument/2006/relationships/hyperlink" Target="https://community.watsonanalytics.com/resources/" TargetMode="External"/><Relationship Id="rId12" Type="http://schemas.openxmlformats.org/officeDocument/2006/relationships/image" Target="media/image3.jpeg"/><Relationship Id="rId17" Type="http://schemas.openxmlformats.org/officeDocument/2006/relationships/hyperlink" Target="https://community.watsonanalytics.com/wp-content/uploads/2015/04/wa_telco5.jpg" TargetMode="External"/><Relationship Id="rId25" Type="http://schemas.openxmlformats.org/officeDocument/2006/relationships/hyperlink" Target="https://community.watsonanalytics.com/wp-content/uploads/2015/04/wa_telco9.jp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community.watsonanalytics.com/wp-content/uploads/2015/04/wa_telco11.jpg" TargetMode="External"/><Relationship Id="rId1" Type="http://schemas.openxmlformats.org/officeDocument/2006/relationships/numbering" Target="numbering.xml"/><Relationship Id="rId6" Type="http://schemas.openxmlformats.org/officeDocument/2006/relationships/hyperlink" Target="https://community.watsonanalytics.com/wp-content/uploads/2015/03/WA_Fn-UseC_-Telco-Customer-Churn.csv?cm_mc_uid=69935033363515266084359&amp;cm_mc_sid_50200000=69650671526608435948&amp;cm_mc_sid_52640000=87743891526608435956" TargetMode="External"/><Relationship Id="rId11" Type="http://schemas.openxmlformats.org/officeDocument/2006/relationships/hyperlink" Target="https://community.watsonanalytics.com/wp-content/uploads/2015/04/wa_telco2.jpg"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community.watsonanalytics.com/wp-content/uploads/2015/04/wa_telco4.jpg" TargetMode="External"/><Relationship Id="rId23" Type="http://schemas.openxmlformats.org/officeDocument/2006/relationships/hyperlink" Target="https://community.watsonanalytics.com/wp-content/uploads/2015/04/wa_telco8.jpg" TargetMode="External"/><Relationship Id="rId28"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s://community.watsonanalytics.com/wp-content/uploads/2015/04/wa_telco6.jp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mmunity.watsonanalytics.com/wp-content/uploads/2015/04/WelcomeWithBannerSmallSize.pn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community.watsonanalytics.com/wp-content/uploads/2015/04/wa_telco10.jpg" TargetMode="External"/><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Doris Du</dc:creator>
  <cp:keywords/>
  <dc:description/>
  <cp:lastModifiedBy>Doris Du</cp:lastModifiedBy>
  <cp:revision>1</cp:revision>
  <dcterms:created xsi:type="dcterms:W3CDTF">2018-05-18T02:26:00Z</dcterms:created>
  <dcterms:modified xsi:type="dcterms:W3CDTF">2018-05-18T02:29:00Z</dcterms:modified>
</cp:coreProperties>
</file>