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16998E">
      <w:pPr>
        <w:spacing w:line="480" w:lineRule="auto"/>
        <w:jc w:val="left"/>
        <w:rPr>
          <w:rFonts w:hint="eastAsia"/>
        </w:rPr>
      </w:pPr>
      <w:r>
        <w:drawing>
          <wp:inline distT="0" distB="0" distL="114300" distR="114300">
            <wp:extent cx="3167380" cy="755650"/>
            <wp:effectExtent l="0" t="0" r="0" b="6350"/>
            <wp:docPr id="1" name="图片 1" descr="校徽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
                    <pic:cNvPicPr>
                      <a:picLocks noChangeAspect="1"/>
                    </pic:cNvPicPr>
                  </pic:nvPicPr>
                  <pic:blipFill>
                    <a:blip r:embed="rId8"/>
                    <a:srcRect l="4962" t="34566" b="34973"/>
                    <a:stretch>
                      <a:fillRect/>
                    </a:stretch>
                  </pic:blipFill>
                  <pic:spPr>
                    <a:xfrm>
                      <a:off x="0" y="0"/>
                      <a:ext cx="3167380" cy="755650"/>
                    </a:xfrm>
                    <a:prstGeom prst="rect">
                      <a:avLst/>
                    </a:prstGeom>
                    <a:noFill/>
                    <a:ln>
                      <a:noFill/>
                    </a:ln>
                  </pic:spPr>
                </pic:pic>
              </a:graphicData>
            </a:graphic>
          </wp:inline>
        </w:drawing>
      </w:r>
    </w:p>
    <w:p w14:paraId="788F2908">
      <w:pPr>
        <w:pStyle w:val="8"/>
        <w:ind w:left="23"/>
        <w:jc w:val="center"/>
        <w:rPr>
          <w:sz w:val="36"/>
          <w:szCs w:val="36"/>
        </w:rPr>
      </w:pPr>
    </w:p>
    <w:p w14:paraId="502B42D4">
      <w:pPr>
        <w:pStyle w:val="8"/>
        <w:ind w:left="23"/>
        <w:jc w:val="center"/>
        <w:rPr>
          <w:sz w:val="36"/>
          <w:szCs w:val="36"/>
        </w:rPr>
      </w:pPr>
    </w:p>
    <w:p w14:paraId="0EB82219">
      <w:pPr>
        <w:pStyle w:val="8"/>
        <w:ind w:left="23"/>
        <w:jc w:val="center"/>
        <w:rPr>
          <w:rFonts w:hint="eastAsia"/>
          <w:sz w:val="36"/>
          <w:szCs w:val="36"/>
        </w:rPr>
      </w:pPr>
    </w:p>
    <w:p w14:paraId="6CAA4867">
      <w:pPr>
        <w:pStyle w:val="8"/>
        <w:tabs>
          <w:tab w:val="left" w:pos="1650"/>
        </w:tabs>
        <w:ind w:left="23"/>
        <w:jc w:val="center"/>
        <w:rPr>
          <w:rFonts w:hint="default" w:ascii="Times New Roman" w:hAnsi="Times New Roman" w:eastAsia="黑体"/>
          <w:bCs/>
          <w:sz w:val="44"/>
          <w:szCs w:val="44"/>
          <w:lang w:val="en-US" w:eastAsia="zh-CN"/>
        </w:rPr>
      </w:pPr>
      <w:r>
        <w:rPr>
          <w:rFonts w:hint="eastAsia"/>
          <w:sz w:val="52"/>
          <w:szCs w:val="52"/>
          <w:lang w:eastAsia="zh-CN"/>
        </w:rPr>
        <w:t>《</w:t>
      </w:r>
      <w:r>
        <w:rPr>
          <w:rFonts w:hint="eastAsia"/>
          <w:sz w:val="52"/>
          <w:szCs w:val="52"/>
          <w:lang w:val="en-US" w:eastAsia="zh-CN"/>
        </w:rPr>
        <w:t>大数据可视化</w:t>
      </w:r>
      <w:r>
        <w:rPr>
          <w:rFonts w:hint="eastAsia" w:hAnsi="Courier New" w:eastAsia="宋体" w:cs="Times New Roman"/>
          <w:sz w:val="52"/>
          <w:szCs w:val="52"/>
          <w:lang w:eastAsia="zh-CN"/>
        </w:rPr>
        <w:t>》</w:t>
      </w:r>
      <w:r>
        <w:rPr>
          <w:rFonts w:hint="eastAsia" w:hAnsi="Courier New" w:eastAsia="宋体" w:cs="Times New Roman"/>
          <w:sz w:val="52"/>
          <w:szCs w:val="52"/>
          <w:lang w:val="en-US" w:eastAsia="zh-CN"/>
        </w:rPr>
        <w:t>综合设计报告</w:t>
      </w:r>
      <w:r>
        <w:rPr>
          <w:rFonts w:hint="eastAsia" w:cs="Times New Roman"/>
          <w:sz w:val="52"/>
          <w:szCs w:val="52"/>
          <w:lang w:val="en-US" w:eastAsia="zh-CN"/>
        </w:rPr>
        <w:t>二</w:t>
      </w:r>
    </w:p>
    <w:p w14:paraId="7603770E">
      <w:pPr>
        <w:pStyle w:val="8"/>
        <w:snapToGrid w:val="0"/>
        <w:spacing w:line="220" w:lineRule="exact"/>
        <w:ind w:left="23"/>
        <w:jc w:val="center"/>
        <w:rPr>
          <w:rFonts w:hint="eastAsia"/>
        </w:rPr>
      </w:pPr>
    </w:p>
    <w:p w14:paraId="27E31455">
      <w:pPr>
        <w:pStyle w:val="8"/>
        <w:snapToGrid w:val="0"/>
        <w:spacing w:line="220" w:lineRule="exact"/>
        <w:ind w:left="23"/>
        <w:jc w:val="center"/>
        <w:rPr>
          <w:rFonts w:hint="eastAsia"/>
        </w:rPr>
      </w:pPr>
    </w:p>
    <w:p w14:paraId="61636A43">
      <w:pPr>
        <w:pStyle w:val="8"/>
        <w:tabs>
          <w:tab w:val="left" w:pos="1650"/>
        </w:tabs>
        <w:jc w:val="both"/>
        <w:rPr>
          <w:rFonts w:hint="default" w:hAnsi="Courier New" w:eastAsia="宋体" w:cs="Times New Roman"/>
          <w:sz w:val="52"/>
          <w:szCs w:val="52"/>
          <w:lang w:val="en-US" w:eastAsia="zh-CN"/>
        </w:rPr>
      </w:pPr>
      <w:r>
        <w:rPr>
          <w:rFonts w:hint="eastAsia" w:hAnsi="Courier New" w:eastAsia="宋体" w:cs="Times New Roman"/>
          <w:sz w:val="52"/>
          <w:szCs w:val="52"/>
          <w:lang w:val="en-US" w:eastAsia="zh-CN"/>
        </w:rPr>
        <w:t>题目：半导体外延层</w:t>
      </w:r>
      <w:r>
        <w:rPr>
          <w:rFonts w:hint="eastAsia" w:cs="Times New Roman"/>
          <w:sz w:val="52"/>
          <w:szCs w:val="52"/>
          <w:lang w:val="en-US" w:eastAsia="zh-CN"/>
        </w:rPr>
        <w:t>可视化光学测厚</w:t>
      </w:r>
      <w:r>
        <w:rPr>
          <w:rFonts w:hint="eastAsia" w:hAnsi="Courier New" w:eastAsia="宋体" w:cs="Times New Roman"/>
          <w:sz w:val="52"/>
          <w:szCs w:val="52"/>
          <w:lang w:val="en-US" w:eastAsia="zh-CN"/>
        </w:rPr>
        <w:t>系统</w:t>
      </w:r>
    </w:p>
    <w:p w14:paraId="0C5D14A5">
      <w:pPr>
        <w:pStyle w:val="8"/>
        <w:snapToGrid w:val="0"/>
        <w:spacing w:line="220" w:lineRule="exact"/>
        <w:ind w:left="23"/>
        <w:jc w:val="center"/>
        <w:rPr>
          <w:rFonts w:hint="eastAsia"/>
        </w:rPr>
      </w:pPr>
    </w:p>
    <w:p w14:paraId="248A837C">
      <w:pPr>
        <w:pStyle w:val="8"/>
        <w:snapToGrid w:val="0"/>
        <w:spacing w:line="220" w:lineRule="exact"/>
        <w:ind w:left="23"/>
        <w:jc w:val="center"/>
        <w:rPr>
          <w:rFonts w:hint="eastAsia"/>
        </w:rPr>
      </w:pPr>
    </w:p>
    <w:p w14:paraId="6FB9ABD6">
      <w:pPr>
        <w:pStyle w:val="8"/>
        <w:snapToGrid w:val="0"/>
        <w:spacing w:line="220" w:lineRule="exact"/>
        <w:ind w:left="23"/>
        <w:jc w:val="center"/>
        <w:rPr>
          <w:rFonts w:hint="eastAsia"/>
        </w:rPr>
      </w:pPr>
    </w:p>
    <w:p w14:paraId="0D5DB106">
      <w:pPr>
        <w:pStyle w:val="8"/>
        <w:snapToGrid w:val="0"/>
        <w:spacing w:line="220" w:lineRule="exact"/>
        <w:ind w:left="23"/>
        <w:jc w:val="center"/>
        <w:rPr>
          <w:rFonts w:hint="eastAsia"/>
        </w:rPr>
      </w:pPr>
    </w:p>
    <w:p w14:paraId="2176F4B0">
      <w:pPr>
        <w:pStyle w:val="8"/>
        <w:snapToGrid w:val="0"/>
        <w:spacing w:line="220" w:lineRule="exact"/>
        <w:ind w:left="23"/>
        <w:jc w:val="left"/>
        <w:rPr>
          <w:rFonts w:hint="eastAsia"/>
        </w:rPr>
      </w:pPr>
    </w:p>
    <w:p w14:paraId="27B6B0D9">
      <w:pPr>
        <w:pStyle w:val="8"/>
        <w:snapToGrid w:val="0"/>
        <w:spacing w:line="220" w:lineRule="exact"/>
        <w:ind w:left="23"/>
        <w:jc w:val="left"/>
        <w:rPr>
          <w:rFonts w:hint="eastAsia" w:ascii="黑体" w:eastAsia="黑体"/>
          <w:sz w:val="32"/>
          <w:szCs w:val="32"/>
          <w:lang w:val="en-US" w:eastAsia="zh-CN"/>
        </w:rPr>
      </w:pPr>
    </w:p>
    <w:p w14:paraId="65020BB8">
      <w:pPr>
        <w:pStyle w:val="8"/>
        <w:keepNext w:val="0"/>
        <w:keepLines w:val="0"/>
        <w:pageBreakBefore w:val="0"/>
        <w:widowControl w:val="0"/>
        <w:kinsoku/>
        <w:wordWrap/>
        <w:overflowPunct/>
        <w:topLinePunct w:val="0"/>
        <w:autoSpaceDE/>
        <w:autoSpaceDN/>
        <w:bidi w:val="0"/>
        <w:adjustRightInd/>
        <w:snapToGrid w:val="0"/>
        <w:spacing w:line="360" w:lineRule="auto"/>
        <w:ind w:left="23" w:firstLine="2240" w:firstLineChars="700"/>
        <w:jc w:val="left"/>
        <w:textAlignment w:val="auto"/>
        <w:rPr>
          <w:rFonts w:hint="eastAsia" w:ascii="黑体" w:hAnsi="Courier New" w:eastAsia="黑体" w:cs="Times New Roman"/>
          <w:sz w:val="32"/>
          <w:szCs w:val="32"/>
          <w:lang w:val="en-US" w:eastAsia="zh-CN"/>
        </w:rPr>
      </w:pPr>
      <w:r>
        <w:rPr>
          <w:rFonts w:hint="eastAsia" w:ascii="黑体" w:hAnsi="Courier New" w:eastAsia="黑体" w:cs="Times New Roman"/>
          <w:sz w:val="32"/>
          <w:szCs w:val="32"/>
          <w:lang w:val="en-US" w:eastAsia="zh-CN"/>
        </w:rPr>
        <w:t>学   院</w:t>
      </w:r>
      <w:r>
        <w:rPr>
          <w:rFonts w:hint="eastAsia" w:ascii="黑体" w:eastAsia="黑体" w:cs="Times New Roman"/>
          <w:sz w:val="32"/>
          <w:szCs w:val="32"/>
          <w:lang w:val="en-US" w:eastAsia="zh-CN"/>
        </w:rPr>
        <w:t xml:space="preserve"> </w:t>
      </w:r>
      <w:r>
        <w:rPr>
          <w:rFonts w:hint="eastAsia" w:ascii="黑体" w:eastAsia="黑体" w:cs="Times New Roman"/>
          <w:sz w:val="32"/>
          <w:szCs w:val="32"/>
          <w:u w:val="single"/>
          <w:lang w:val="en-US" w:eastAsia="zh-CN"/>
        </w:rPr>
        <w:t xml:space="preserve">计算机科学与技术/人工智能学院  </w:t>
      </w:r>
      <w:r>
        <w:rPr>
          <w:rFonts w:hint="eastAsia" w:ascii="黑体" w:hAnsi="Courier New" w:eastAsia="黑体" w:cs="Times New Roman"/>
          <w:sz w:val="32"/>
          <w:szCs w:val="32"/>
          <w:u w:val="single"/>
          <w:lang w:val="en-US" w:eastAsia="zh-CN"/>
        </w:rPr>
        <w:t xml:space="preserve"> </w:t>
      </w:r>
      <w:r>
        <w:rPr>
          <w:rFonts w:hint="eastAsia" w:ascii="黑体" w:hAnsi="Courier New" w:eastAsia="黑体" w:cs="Times New Roman"/>
          <w:sz w:val="32"/>
          <w:szCs w:val="32"/>
          <w:lang w:val="en-US" w:eastAsia="zh-CN"/>
        </w:rPr>
        <w:t xml:space="preserve">             </w:t>
      </w:r>
    </w:p>
    <w:p w14:paraId="60494B10">
      <w:pPr>
        <w:pStyle w:val="8"/>
        <w:snapToGrid w:val="0"/>
        <w:spacing w:line="220" w:lineRule="exact"/>
        <w:ind w:left="23"/>
        <w:jc w:val="left"/>
        <w:rPr>
          <w:rFonts w:hint="eastAsia"/>
          <w:sz w:val="32"/>
          <w:szCs w:val="32"/>
        </w:rPr>
      </w:pPr>
    </w:p>
    <w:p w14:paraId="56C35872">
      <w:pPr>
        <w:pStyle w:val="8"/>
        <w:keepNext w:val="0"/>
        <w:keepLines w:val="0"/>
        <w:pageBreakBefore w:val="0"/>
        <w:widowControl w:val="0"/>
        <w:kinsoku/>
        <w:wordWrap/>
        <w:overflowPunct/>
        <w:topLinePunct w:val="0"/>
        <w:autoSpaceDE/>
        <w:autoSpaceDN/>
        <w:bidi w:val="0"/>
        <w:adjustRightInd/>
        <w:snapToGrid w:val="0"/>
        <w:spacing w:line="360" w:lineRule="auto"/>
        <w:ind w:left="23" w:firstLine="2240" w:firstLineChars="700"/>
        <w:jc w:val="left"/>
        <w:textAlignment w:val="auto"/>
        <w:rPr>
          <w:rFonts w:hint="default" w:ascii="黑体" w:eastAsia="黑体"/>
          <w:sz w:val="32"/>
          <w:szCs w:val="32"/>
          <w:u w:val="single"/>
          <w:lang w:val="en-US"/>
        </w:rPr>
      </w:pPr>
      <w:r>
        <w:rPr>
          <w:rFonts w:hint="eastAsia" w:ascii="黑体" w:eastAsia="黑体"/>
          <w:sz w:val="32"/>
          <w:szCs w:val="32"/>
          <w:lang w:val="en-US" w:eastAsia="zh-CN"/>
        </w:rPr>
        <w:t xml:space="preserve">班   级 </w:t>
      </w:r>
      <w:r>
        <w:rPr>
          <w:rFonts w:hint="eastAsia" w:ascii="黑体" w:eastAsia="黑体"/>
          <w:sz w:val="32"/>
          <w:szCs w:val="32"/>
          <w:u w:val="single"/>
          <w:lang w:val="en-US" w:eastAsia="zh-CN"/>
        </w:rPr>
        <w:t xml:space="preserve">数据科学与大数据技术23-2班  </w:t>
      </w:r>
      <w:r>
        <w:rPr>
          <w:rFonts w:hint="eastAsia" w:ascii="黑体" w:eastAsia="黑体"/>
          <w:color w:val="FFFFFF" w:themeColor="background1"/>
          <w:sz w:val="10"/>
          <w:szCs w:val="10"/>
          <w:u w:val="single"/>
          <w:lang w:val="en-US" w:eastAsia="zh-CN"/>
          <w14:textFill>
            <w14:solidFill>
              <w14:schemeClr w14:val="bg1"/>
            </w14:solidFill>
          </w14:textFill>
        </w:rPr>
        <w:t>.</w:t>
      </w:r>
    </w:p>
    <w:p w14:paraId="7581D6D4">
      <w:pPr>
        <w:pStyle w:val="8"/>
        <w:keepNext w:val="0"/>
        <w:keepLines w:val="0"/>
        <w:pageBreakBefore w:val="0"/>
        <w:widowControl w:val="0"/>
        <w:kinsoku/>
        <w:wordWrap/>
        <w:overflowPunct/>
        <w:topLinePunct w:val="0"/>
        <w:autoSpaceDE/>
        <w:autoSpaceDN/>
        <w:bidi w:val="0"/>
        <w:adjustRightInd/>
        <w:snapToGrid w:val="0"/>
        <w:spacing w:line="360" w:lineRule="auto"/>
        <w:ind w:left="23" w:firstLine="2240" w:firstLineChars="700"/>
        <w:jc w:val="left"/>
        <w:textAlignment w:val="auto"/>
        <w:rPr>
          <w:rFonts w:hint="eastAsia" w:ascii="黑体" w:eastAsia="黑体"/>
          <w:sz w:val="32"/>
          <w:szCs w:val="32"/>
          <w:u w:val="single"/>
        </w:rPr>
      </w:pPr>
      <w:r>
        <w:rPr>
          <w:rFonts w:hint="eastAsia" w:ascii="黑体" w:eastAsia="黑体"/>
          <w:sz w:val="32"/>
          <w:szCs w:val="32"/>
          <w:lang w:val="en-US" w:eastAsia="zh-CN"/>
        </w:rPr>
        <w:t>姓   名</w:t>
      </w:r>
      <w:r>
        <w:rPr>
          <w:rFonts w:hint="eastAsia" w:ascii="黑体" w:eastAsia="黑体"/>
          <w:sz w:val="32"/>
          <w:szCs w:val="32"/>
          <w:u w:val="single"/>
        </w:rPr>
        <w:t xml:space="preserve"> </w:t>
      </w:r>
      <w:r>
        <w:rPr>
          <w:rFonts w:hint="eastAsia" w:ascii="黑体" w:eastAsia="黑体"/>
          <w:sz w:val="32"/>
          <w:szCs w:val="32"/>
          <w:u w:val="single"/>
          <w:lang w:val="en-US" w:eastAsia="zh-CN"/>
        </w:rPr>
        <w:t xml:space="preserve">          李端宸             </w:t>
      </w:r>
      <w:r>
        <w:rPr>
          <w:rFonts w:hint="eastAsia" w:ascii="黑体" w:eastAsia="黑体"/>
          <w:color w:val="FFFFFF" w:themeColor="background1"/>
          <w:sz w:val="10"/>
          <w:szCs w:val="10"/>
          <w:u w:val="single"/>
          <w:lang w:val="en-US" w:eastAsia="zh-CN"/>
          <w14:textFill>
            <w14:solidFill>
              <w14:schemeClr w14:val="bg1"/>
            </w14:solidFill>
          </w14:textFill>
        </w:rPr>
        <w:t>.</w:t>
      </w:r>
      <w:r>
        <w:rPr>
          <w:rFonts w:hint="eastAsia" w:ascii="黑体" w:eastAsia="黑体"/>
          <w:sz w:val="32"/>
          <w:szCs w:val="32"/>
          <w:u w:val="single"/>
          <w:lang w:val="en-US" w:eastAsia="zh-CN"/>
        </w:rPr>
        <w:t xml:space="preserve">                                      </w:t>
      </w:r>
      <w:r>
        <w:rPr>
          <w:rFonts w:hint="eastAsia" w:ascii="黑体" w:eastAsia="黑体"/>
          <w:sz w:val="32"/>
          <w:szCs w:val="32"/>
          <w:u w:val="single"/>
        </w:rPr>
        <w:t xml:space="preserve"> </w:t>
      </w:r>
      <w:r>
        <w:rPr>
          <w:rFonts w:hint="eastAsia" w:ascii="黑体" w:eastAsia="黑体"/>
          <w:sz w:val="32"/>
          <w:szCs w:val="32"/>
          <w:u w:val="single"/>
          <w:lang w:val="en-US" w:eastAsia="zh-CN"/>
        </w:rPr>
        <w:t xml:space="preserve">  </w:t>
      </w:r>
      <w:r>
        <w:rPr>
          <w:rFonts w:hint="eastAsia" w:ascii="黑体" w:eastAsia="黑体"/>
          <w:sz w:val="32"/>
          <w:szCs w:val="32"/>
          <w:u w:val="single"/>
        </w:rPr>
        <w:t xml:space="preserve">            </w:t>
      </w:r>
    </w:p>
    <w:p w14:paraId="273548DA">
      <w:pPr>
        <w:pStyle w:val="8"/>
        <w:keepNext w:val="0"/>
        <w:keepLines w:val="0"/>
        <w:pageBreakBefore w:val="0"/>
        <w:widowControl w:val="0"/>
        <w:kinsoku/>
        <w:wordWrap/>
        <w:overflowPunct/>
        <w:topLinePunct w:val="0"/>
        <w:autoSpaceDE/>
        <w:autoSpaceDN/>
        <w:bidi w:val="0"/>
        <w:adjustRightInd/>
        <w:snapToGrid w:val="0"/>
        <w:spacing w:line="360" w:lineRule="auto"/>
        <w:ind w:firstLine="2240" w:firstLineChars="700"/>
        <w:jc w:val="left"/>
        <w:textAlignment w:val="auto"/>
        <w:rPr>
          <w:rFonts w:hint="eastAsia" w:ascii="黑体" w:eastAsia="黑体"/>
          <w:sz w:val="32"/>
          <w:szCs w:val="32"/>
          <w:u w:val="single"/>
        </w:rPr>
      </w:pPr>
      <w:r>
        <w:rPr>
          <w:rFonts w:hint="eastAsia" w:ascii="黑体" w:eastAsia="黑体"/>
          <w:sz w:val="32"/>
          <w:szCs w:val="32"/>
        </w:rPr>
        <w:t>学   号</w:t>
      </w:r>
      <w:r>
        <w:rPr>
          <w:rFonts w:hint="eastAsia" w:ascii="黑体" w:eastAsia="黑体"/>
          <w:sz w:val="32"/>
          <w:szCs w:val="32"/>
          <w:u w:val="single"/>
        </w:rPr>
        <w:t xml:space="preserve"> </w:t>
      </w:r>
      <w:r>
        <w:rPr>
          <w:rFonts w:hint="eastAsia" w:ascii="黑体" w:eastAsia="黑体"/>
          <w:sz w:val="32"/>
          <w:szCs w:val="32"/>
          <w:u w:val="single"/>
          <w:lang w:val="en-US" w:eastAsia="zh-CN"/>
        </w:rPr>
        <w:t xml:space="preserve"> </w:t>
      </w:r>
      <w:r>
        <w:rPr>
          <w:rFonts w:hint="eastAsia" w:ascii="黑体" w:eastAsia="黑体"/>
          <w:sz w:val="32"/>
          <w:szCs w:val="32"/>
          <w:u w:val="single"/>
        </w:rPr>
        <w:t xml:space="preserve">   </w:t>
      </w:r>
      <w:r>
        <w:rPr>
          <w:rFonts w:hint="eastAsia" w:ascii="黑体" w:eastAsia="黑体"/>
          <w:sz w:val="32"/>
          <w:szCs w:val="32"/>
          <w:u w:val="single"/>
          <w:lang w:val="en-US" w:eastAsia="zh-CN"/>
        </w:rPr>
        <w:t xml:space="preserve">     14233516            </w:t>
      </w:r>
      <w:r>
        <w:rPr>
          <w:rFonts w:hint="eastAsia" w:ascii="黑体" w:eastAsia="黑体"/>
          <w:color w:val="FFFFFF" w:themeColor="background1"/>
          <w:sz w:val="10"/>
          <w:szCs w:val="10"/>
          <w:u w:val="single"/>
          <w:lang w:val="en-US" w:eastAsia="zh-CN"/>
          <w14:textFill>
            <w14:solidFill>
              <w14:schemeClr w14:val="bg1"/>
            </w14:solidFill>
          </w14:textFill>
        </w:rPr>
        <w:t>.</w:t>
      </w:r>
      <w:r>
        <w:rPr>
          <w:rFonts w:hint="eastAsia" w:ascii="黑体" w:eastAsia="黑体"/>
          <w:sz w:val="32"/>
          <w:szCs w:val="32"/>
          <w:u w:val="single"/>
          <w:lang w:val="en-US" w:eastAsia="zh-CN"/>
        </w:rPr>
        <w:t xml:space="preserve">   </w:t>
      </w:r>
      <w:r>
        <w:rPr>
          <w:rFonts w:hint="eastAsia" w:ascii="黑体" w:eastAsia="黑体"/>
          <w:sz w:val="32"/>
          <w:szCs w:val="32"/>
          <w:u w:val="single"/>
        </w:rPr>
        <w:t xml:space="preserve">          </w:t>
      </w:r>
    </w:p>
    <w:p w14:paraId="37A11D33">
      <w:pPr>
        <w:pStyle w:val="8"/>
        <w:keepNext w:val="0"/>
        <w:keepLines w:val="0"/>
        <w:pageBreakBefore w:val="0"/>
        <w:widowControl w:val="0"/>
        <w:kinsoku/>
        <w:wordWrap/>
        <w:overflowPunct/>
        <w:topLinePunct w:val="0"/>
        <w:autoSpaceDE/>
        <w:autoSpaceDN/>
        <w:bidi w:val="0"/>
        <w:adjustRightInd/>
        <w:snapToGrid w:val="0"/>
        <w:spacing w:line="360" w:lineRule="auto"/>
        <w:ind w:left="23"/>
        <w:jc w:val="left"/>
        <w:textAlignment w:val="auto"/>
        <w:rPr>
          <w:rFonts w:hint="eastAsia"/>
        </w:rPr>
      </w:pPr>
      <w:r>
        <w:rPr>
          <w:rFonts w:hint="eastAsia"/>
          <w:sz w:val="30"/>
          <w:szCs w:val="30"/>
        </w:rPr>
        <w:t xml:space="preserve">    </w:t>
      </w:r>
    </w:p>
    <w:p w14:paraId="78D3ECB6">
      <w:pPr>
        <w:pStyle w:val="8"/>
        <w:snapToGrid w:val="0"/>
        <w:jc w:val="both"/>
        <w:rPr>
          <w:rFonts w:hint="eastAsia"/>
        </w:rPr>
      </w:pPr>
    </w:p>
    <w:p w14:paraId="3C6B4EE4">
      <w:pPr>
        <w:pStyle w:val="8"/>
        <w:snapToGrid w:val="0"/>
        <w:jc w:val="both"/>
        <w:rPr>
          <w:rFonts w:hint="eastAsia"/>
        </w:rPr>
      </w:pPr>
    </w:p>
    <w:p w14:paraId="2D04632C">
      <w:pPr>
        <w:pStyle w:val="8"/>
        <w:snapToGrid w:val="0"/>
        <w:jc w:val="both"/>
        <w:rPr>
          <w:rFonts w:hint="eastAsia"/>
        </w:rPr>
      </w:pPr>
    </w:p>
    <w:p w14:paraId="4C686823">
      <w:pPr>
        <w:pStyle w:val="8"/>
        <w:snapToGrid w:val="0"/>
        <w:jc w:val="both"/>
        <w:rPr>
          <w:rFonts w:hint="eastAsia"/>
        </w:rPr>
      </w:pPr>
    </w:p>
    <w:p w14:paraId="7BA45971">
      <w:pPr>
        <w:pStyle w:val="8"/>
        <w:snapToGrid w:val="0"/>
        <w:spacing w:line="300" w:lineRule="auto"/>
        <w:ind w:left="25"/>
        <w:jc w:val="center"/>
        <w:rPr>
          <w:rFonts w:hint="eastAsia" w:ascii="楷体_GB2312" w:eastAsia="楷体_GB2312"/>
          <w:sz w:val="36"/>
          <w:szCs w:val="36"/>
          <w:lang w:val="en-US" w:eastAsia="zh-CN"/>
        </w:rPr>
      </w:pPr>
      <w:r>
        <w:rPr>
          <w:rFonts w:hint="eastAsia" w:ascii="楷体_GB2312" w:eastAsia="楷体_GB2312"/>
          <w:sz w:val="36"/>
          <w:szCs w:val="36"/>
        </w:rPr>
        <w:t>中国矿业大学</w:t>
      </w:r>
      <w:r>
        <w:rPr>
          <w:rFonts w:hint="eastAsia" w:ascii="楷体_GB2312" w:eastAsia="楷体_GB2312"/>
          <w:sz w:val="36"/>
          <w:szCs w:val="36"/>
          <w:lang w:val="en-US" w:eastAsia="zh-CN"/>
        </w:rPr>
        <w:t xml:space="preserve">  </w:t>
      </w:r>
    </w:p>
    <w:p w14:paraId="47DD7FA2">
      <w:pPr>
        <w:pStyle w:val="8"/>
        <w:snapToGrid w:val="0"/>
        <w:spacing w:line="300" w:lineRule="auto"/>
        <w:ind w:left="25"/>
        <w:jc w:val="center"/>
        <w:rPr>
          <w:rFonts w:hint="eastAsia" w:ascii="宋体" w:hAnsi="Courier New" w:eastAsia="楷体_GB2312"/>
          <w:sz w:val="24"/>
          <w:lang w:val="en-US" w:eastAsia="zh-CN"/>
        </w:rPr>
        <w:sectPr>
          <w:pgSz w:w="11906" w:h="16838"/>
          <w:pgMar w:top="1440" w:right="1797" w:bottom="1440" w:left="1797" w:header="851" w:footer="992" w:gutter="0"/>
          <w:cols w:space="720" w:num="1"/>
          <w:docGrid w:type="lines" w:linePitch="312" w:charSpace="0"/>
        </w:sectPr>
      </w:pPr>
      <w:r>
        <w:rPr>
          <w:rFonts w:hint="eastAsia" w:ascii="楷体_GB2312" w:eastAsia="楷体_GB2312"/>
          <w:sz w:val="36"/>
          <w:szCs w:val="36"/>
          <w:lang w:val="en-US" w:eastAsia="zh-CN"/>
        </w:rPr>
        <w:t>2026</w:t>
      </w:r>
      <w:r>
        <w:rPr>
          <w:rFonts w:hint="eastAsia" w:ascii="楷体_GB2312" w:eastAsia="楷体_GB2312"/>
          <w:sz w:val="36"/>
          <w:szCs w:val="36"/>
        </w:rPr>
        <w:t>年</w:t>
      </w:r>
    </w:p>
    <w:p w14:paraId="1FD677B9">
      <w:pPr>
        <w:rPr>
          <w:rFonts w:hint="eastAsia"/>
          <w:lang w:val="en-US" w:eastAsia="zh-CN"/>
        </w:rPr>
      </w:pPr>
    </w:p>
    <w:sdt>
      <w:sdtPr>
        <w:rPr>
          <w:rFonts w:hint="eastAsia" w:ascii="黑体" w:hAnsi="黑体" w:eastAsia="黑体" w:cs="黑体"/>
          <w:kern w:val="2"/>
          <w:sz w:val="36"/>
          <w:szCs w:val="36"/>
          <w:lang w:val="en-US" w:eastAsia="zh-CN" w:bidi="ar-SA"/>
        </w:rPr>
        <w:id w:val="178906849"/>
        <w15:color w:val="DBDBDB"/>
        <w:docPartObj>
          <w:docPartGallery w:val="Table of Contents"/>
          <w:docPartUnique/>
        </w:docPartObj>
      </w:sdtPr>
      <w:sdtEndPr>
        <w:rPr>
          <w:rFonts w:hint="eastAsia" w:ascii="Times New Roman" w:hAnsi="Times New Roman" w:eastAsia="宋体" w:cs="黑体"/>
          <w:kern w:val="2"/>
          <w:sz w:val="24"/>
          <w:szCs w:val="24"/>
          <w:lang w:val="en-US" w:eastAsia="zh-CN" w:bidi="ar-SA"/>
        </w:rPr>
      </w:sdtEndPr>
      <w:sdtContent>
        <w:p w14:paraId="31593CCD">
          <w:pPr>
            <w:spacing w:before="0" w:beforeLines="0" w:after="0" w:afterLines="0" w:line="240" w:lineRule="auto"/>
            <w:ind w:left="0" w:leftChars="0" w:right="0" w:rightChars="0" w:firstLine="0" w:firstLineChars="0"/>
            <w:jc w:val="center"/>
            <w:rPr>
              <w:rFonts w:hint="eastAsia" w:ascii="Times New Roman" w:hAnsi="Times New Roman" w:eastAsia="宋体" w:cs="Times New Roman"/>
              <w:kern w:val="2"/>
              <w:sz w:val="24"/>
              <w:szCs w:val="24"/>
              <w:lang w:val="en-US" w:eastAsia="zh-CN" w:bidi="ar-SA"/>
            </w:rPr>
          </w:pPr>
          <w:r>
            <w:rPr>
              <w:rFonts w:hint="eastAsia" w:ascii="黑体" w:hAnsi="黑体" w:eastAsia="黑体" w:cs="黑体"/>
              <w:sz w:val="36"/>
              <w:szCs w:val="36"/>
            </w:rPr>
            <w:t>目</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录</w:t>
          </w:r>
          <w:r>
            <w:rPr>
              <w:rFonts w:hint="eastAsia"/>
            </w:rPr>
            <w:fldChar w:fldCharType="begin"/>
          </w:r>
          <w:r>
            <w:rPr>
              <w:rFonts w:hint="eastAsia"/>
            </w:rPr>
            <w:instrText xml:space="preserve">TOC \o "1-3" \h \u </w:instrText>
          </w:r>
          <w:r>
            <w:rPr>
              <w:rFonts w:hint="eastAsia"/>
            </w:rPr>
            <w:fldChar w:fldCharType="separate"/>
          </w:r>
        </w:p>
        <w:p w14:paraId="4BF98141">
          <w:pPr>
            <w:pStyle w:val="13"/>
            <w:tabs>
              <w:tab w:val="right" w:leader="dot" w:pos="8312"/>
            </w:tabs>
          </w:pPr>
          <w:r>
            <w:rPr>
              <w:rFonts w:hint="eastAsia"/>
            </w:rPr>
            <w:fldChar w:fldCharType="begin"/>
          </w:r>
          <w:r>
            <w:rPr>
              <w:rFonts w:hint="eastAsia"/>
            </w:rPr>
            <w:instrText xml:space="preserve"> HYPERLINK \l _Toc24459 </w:instrText>
          </w:r>
          <w:r>
            <w:rPr>
              <w:rFonts w:hint="eastAsia"/>
            </w:rPr>
            <w:fldChar w:fldCharType="separate"/>
          </w:r>
          <w:r>
            <w:rPr>
              <w:rFonts w:hint="eastAsia"/>
              <w:lang w:val="en-US" w:eastAsia="zh-CN"/>
            </w:rPr>
            <w:t>1.背景及功能概要</w:t>
          </w:r>
          <w:r>
            <w:tab/>
          </w:r>
          <w:r>
            <w:fldChar w:fldCharType="begin"/>
          </w:r>
          <w:r>
            <w:instrText xml:space="preserve"> PAGEREF _Toc24459 \h </w:instrText>
          </w:r>
          <w:r>
            <w:fldChar w:fldCharType="separate"/>
          </w:r>
          <w:r>
            <w:t>1</w:t>
          </w:r>
          <w:r>
            <w:fldChar w:fldCharType="end"/>
          </w:r>
          <w:r>
            <w:rPr>
              <w:rFonts w:hint="eastAsia"/>
            </w:rPr>
            <w:fldChar w:fldCharType="end"/>
          </w:r>
        </w:p>
        <w:p w14:paraId="58936A74">
          <w:pPr>
            <w:pStyle w:val="7"/>
            <w:tabs>
              <w:tab w:val="right" w:leader="dot" w:pos="8312"/>
            </w:tabs>
          </w:pPr>
          <w:r>
            <w:rPr>
              <w:rFonts w:hint="eastAsia"/>
            </w:rPr>
            <w:fldChar w:fldCharType="begin"/>
          </w:r>
          <w:r>
            <w:rPr>
              <w:rFonts w:hint="eastAsia"/>
            </w:rPr>
            <w:instrText xml:space="preserve"> HYPERLINK \l _Toc21789 </w:instrText>
          </w:r>
          <w:r>
            <w:rPr>
              <w:rFonts w:hint="eastAsia"/>
            </w:rPr>
            <w:fldChar w:fldCharType="separate"/>
          </w:r>
          <w:r>
            <w:rPr>
              <w:rFonts w:hint="eastAsia"/>
              <w:lang w:val="en-US" w:eastAsia="zh-CN"/>
            </w:rPr>
            <w:t>1.1背景</w:t>
          </w:r>
          <w:r>
            <w:tab/>
          </w:r>
          <w:r>
            <w:fldChar w:fldCharType="begin"/>
          </w:r>
          <w:r>
            <w:instrText xml:space="preserve"> PAGEREF _Toc21789 \h </w:instrText>
          </w:r>
          <w:r>
            <w:fldChar w:fldCharType="separate"/>
          </w:r>
          <w:r>
            <w:t>1</w:t>
          </w:r>
          <w:r>
            <w:fldChar w:fldCharType="end"/>
          </w:r>
          <w:r>
            <w:rPr>
              <w:rFonts w:hint="eastAsia"/>
            </w:rPr>
            <w:fldChar w:fldCharType="end"/>
          </w:r>
        </w:p>
        <w:p w14:paraId="038F6E16">
          <w:pPr>
            <w:pStyle w:val="7"/>
            <w:tabs>
              <w:tab w:val="right" w:leader="dot" w:pos="8312"/>
            </w:tabs>
          </w:pPr>
          <w:r>
            <w:rPr>
              <w:rFonts w:hint="eastAsia"/>
            </w:rPr>
            <w:fldChar w:fldCharType="begin"/>
          </w:r>
          <w:r>
            <w:rPr>
              <w:rFonts w:hint="eastAsia"/>
            </w:rPr>
            <w:instrText xml:space="preserve"> HYPERLINK \l _Toc8037 </w:instrText>
          </w:r>
          <w:r>
            <w:rPr>
              <w:rFonts w:hint="eastAsia"/>
            </w:rPr>
            <w:fldChar w:fldCharType="separate"/>
          </w:r>
          <w:r>
            <w:rPr>
              <w:rFonts w:hint="eastAsia"/>
              <w:lang w:val="en-US" w:eastAsia="zh-CN"/>
            </w:rPr>
            <w:t>1.2功能概要</w:t>
          </w:r>
          <w:r>
            <w:tab/>
          </w:r>
          <w:r>
            <w:fldChar w:fldCharType="begin"/>
          </w:r>
          <w:r>
            <w:instrText xml:space="preserve"> PAGEREF _Toc8037 \h </w:instrText>
          </w:r>
          <w:r>
            <w:fldChar w:fldCharType="separate"/>
          </w:r>
          <w:r>
            <w:t>2</w:t>
          </w:r>
          <w:r>
            <w:fldChar w:fldCharType="end"/>
          </w:r>
          <w:r>
            <w:rPr>
              <w:rFonts w:hint="eastAsia"/>
            </w:rPr>
            <w:fldChar w:fldCharType="end"/>
          </w:r>
        </w:p>
        <w:p w14:paraId="37618694">
          <w:pPr>
            <w:pStyle w:val="13"/>
            <w:tabs>
              <w:tab w:val="right" w:leader="dot" w:pos="8312"/>
            </w:tabs>
          </w:pPr>
          <w:r>
            <w:rPr>
              <w:rFonts w:hint="eastAsia"/>
            </w:rPr>
            <w:fldChar w:fldCharType="begin"/>
          </w:r>
          <w:r>
            <w:rPr>
              <w:rFonts w:hint="eastAsia"/>
            </w:rPr>
            <w:instrText xml:space="preserve"> HYPERLINK \l _Toc32262 </w:instrText>
          </w:r>
          <w:r>
            <w:rPr>
              <w:rFonts w:hint="eastAsia"/>
            </w:rPr>
            <w:fldChar w:fldCharType="separate"/>
          </w:r>
          <w:r>
            <w:rPr>
              <w:rFonts w:hint="eastAsia"/>
              <w:lang w:val="en-US" w:eastAsia="zh-CN"/>
            </w:rPr>
            <w:t>2.可视化系统设计</w:t>
          </w:r>
          <w:r>
            <w:tab/>
          </w:r>
          <w:r>
            <w:fldChar w:fldCharType="begin"/>
          </w:r>
          <w:r>
            <w:instrText xml:space="preserve"> PAGEREF _Toc32262 \h </w:instrText>
          </w:r>
          <w:r>
            <w:fldChar w:fldCharType="separate"/>
          </w:r>
          <w:r>
            <w:t>3</w:t>
          </w:r>
          <w:r>
            <w:fldChar w:fldCharType="end"/>
          </w:r>
          <w:r>
            <w:rPr>
              <w:rFonts w:hint="eastAsia"/>
            </w:rPr>
            <w:fldChar w:fldCharType="end"/>
          </w:r>
        </w:p>
        <w:p w14:paraId="2432A763">
          <w:pPr>
            <w:pStyle w:val="7"/>
            <w:tabs>
              <w:tab w:val="right" w:leader="dot" w:pos="8312"/>
            </w:tabs>
          </w:pPr>
          <w:r>
            <w:rPr>
              <w:rFonts w:hint="eastAsia"/>
            </w:rPr>
            <w:fldChar w:fldCharType="begin"/>
          </w:r>
          <w:r>
            <w:rPr>
              <w:rFonts w:hint="eastAsia"/>
            </w:rPr>
            <w:instrText xml:space="preserve"> HYPERLINK \l _Toc11880 </w:instrText>
          </w:r>
          <w:r>
            <w:rPr>
              <w:rFonts w:hint="eastAsia"/>
            </w:rPr>
            <w:fldChar w:fldCharType="separate"/>
          </w:r>
          <w:r>
            <w:rPr>
              <w:rFonts w:hint="eastAsia"/>
              <w:lang w:val="en-US" w:eastAsia="zh-CN"/>
            </w:rPr>
            <w:t>2.1 概要设计</w:t>
          </w:r>
          <w:r>
            <w:tab/>
          </w:r>
          <w:r>
            <w:fldChar w:fldCharType="begin"/>
          </w:r>
          <w:r>
            <w:instrText xml:space="preserve"> PAGEREF _Toc11880 \h </w:instrText>
          </w:r>
          <w:r>
            <w:fldChar w:fldCharType="separate"/>
          </w:r>
          <w:r>
            <w:t>3</w:t>
          </w:r>
          <w:r>
            <w:fldChar w:fldCharType="end"/>
          </w:r>
          <w:r>
            <w:rPr>
              <w:rFonts w:hint="eastAsia"/>
            </w:rPr>
            <w:fldChar w:fldCharType="end"/>
          </w:r>
        </w:p>
        <w:p w14:paraId="4B243625">
          <w:pPr>
            <w:pStyle w:val="7"/>
            <w:tabs>
              <w:tab w:val="right" w:leader="dot" w:pos="8312"/>
            </w:tabs>
          </w:pPr>
          <w:r>
            <w:rPr>
              <w:rFonts w:hint="eastAsia"/>
            </w:rPr>
            <w:fldChar w:fldCharType="begin"/>
          </w:r>
          <w:r>
            <w:rPr>
              <w:rFonts w:hint="eastAsia"/>
            </w:rPr>
            <w:instrText xml:space="preserve"> HYPERLINK \l _Toc27237 </w:instrText>
          </w:r>
          <w:r>
            <w:rPr>
              <w:rFonts w:hint="eastAsia"/>
            </w:rPr>
            <w:fldChar w:fldCharType="separate"/>
          </w:r>
          <w:r>
            <w:rPr>
              <w:rFonts w:hint="eastAsia"/>
              <w:lang w:val="en-US" w:eastAsia="zh-CN"/>
            </w:rPr>
            <w:t>2.2 核心算法设计</w:t>
          </w:r>
          <w:r>
            <w:tab/>
          </w:r>
          <w:r>
            <w:fldChar w:fldCharType="begin"/>
          </w:r>
          <w:r>
            <w:instrText xml:space="preserve"> PAGEREF _Toc27237 \h </w:instrText>
          </w:r>
          <w:r>
            <w:fldChar w:fldCharType="separate"/>
          </w:r>
          <w:r>
            <w:t>3</w:t>
          </w:r>
          <w:r>
            <w:fldChar w:fldCharType="end"/>
          </w:r>
          <w:r>
            <w:rPr>
              <w:rFonts w:hint="eastAsia"/>
            </w:rPr>
            <w:fldChar w:fldCharType="end"/>
          </w:r>
        </w:p>
        <w:p w14:paraId="6E5F356F">
          <w:pPr>
            <w:pStyle w:val="7"/>
            <w:tabs>
              <w:tab w:val="right" w:leader="dot" w:pos="8312"/>
            </w:tabs>
          </w:pPr>
          <w:r>
            <w:rPr>
              <w:rFonts w:hint="eastAsia"/>
            </w:rPr>
            <w:fldChar w:fldCharType="begin"/>
          </w:r>
          <w:r>
            <w:rPr>
              <w:rFonts w:hint="eastAsia"/>
            </w:rPr>
            <w:instrText xml:space="preserve"> HYPERLINK \l _Toc31023 </w:instrText>
          </w:r>
          <w:r>
            <w:rPr>
              <w:rFonts w:hint="eastAsia"/>
            </w:rPr>
            <w:fldChar w:fldCharType="separate"/>
          </w:r>
          <w:r>
            <w:rPr>
              <w:rFonts w:hint="eastAsia"/>
              <w:lang w:val="en-US" w:eastAsia="zh-CN"/>
            </w:rPr>
            <w:t xml:space="preserve">2.3 </w:t>
          </w:r>
          <w:r>
            <w:t>固定折射率反演</w:t>
          </w:r>
          <w:r>
            <w:rPr>
              <w:rFonts w:hint="eastAsia"/>
              <w:lang w:val="en-US" w:eastAsia="zh-CN"/>
            </w:rPr>
            <w:t>与联合</w:t>
          </w:r>
          <w:r>
            <w:t>反演</w:t>
          </w:r>
          <w:r>
            <w:rPr>
              <w:rFonts w:hint="eastAsia"/>
              <w:lang w:val="en-US" w:eastAsia="zh-CN"/>
            </w:rPr>
            <w:t>算法</w:t>
          </w:r>
          <w:r>
            <w:tab/>
          </w:r>
          <w:r>
            <w:fldChar w:fldCharType="begin"/>
          </w:r>
          <w:r>
            <w:instrText xml:space="preserve"> PAGEREF _Toc31023 \h </w:instrText>
          </w:r>
          <w:r>
            <w:fldChar w:fldCharType="separate"/>
          </w:r>
          <w:r>
            <w:t>5</w:t>
          </w:r>
          <w:r>
            <w:fldChar w:fldCharType="end"/>
          </w:r>
          <w:r>
            <w:rPr>
              <w:rFonts w:hint="eastAsia"/>
            </w:rPr>
            <w:fldChar w:fldCharType="end"/>
          </w:r>
        </w:p>
        <w:p w14:paraId="499DB71D">
          <w:pPr>
            <w:pStyle w:val="13"/>
            <w:tabs>
              <w:tab w:val="right" w:leader="dot" w:pos="8312"/>
            </w:tabs>
          </w:pPr>
          <w:r>
            <w:rPr>
              <w:rFonts w:hint="eastAsia"/>
            </w:rPr>
            <w:fldChar w:fldCharType="begin"/>
          </w:r>
          <w:r>
            <w:rPr>
              <w:rFonts w:hint="eastAsia"/>
            </w:rPr>
            <w:instrText xml:space="preserve"> HYPERLINK \l _Toc17916 </w:instrText>
          </w:r>
          <w:r>
            <w:rPr>
              <w:rFonts w:hint="eastAsia"/>
            </w:rPr>
            <w:fldChar w:fldCharType="separate"/>
          </w:r>
          <w:r>
            <w:rPr>
              <w:rFonts w:hint="eastAsia"/>
              <w:lang w:val="en-US" w:eastAsia="zh-CN"/>
            </w:rPr>
            <w:t>3.可视化实现及验证</w:t>
          </w:r>
          <w:r>
            <w:tab/>
          </w:r>
          <w:r>
            <w:fldChar w:fldCharType="begin"/>
          </w:r>
          <w:r>
            <w:instrText xml:space="preserve"> PAGEREF _Toc17916 \h </w:instrText>
          </w:r>
          <w:r>
            <w:fldChar w:fldCharType="separate"/>
          </w:r>
          <w:r>
            <w:t>7</w:t>
          </w:r>
          <w:r>
            <w:fldChar w:fldCharType="end"/>
          </w:r>
          <w:r>
            <w:rPr>
              <w:rFonts w:hint="eastAsia"/>
            </w:rPr>
            <w:fldChar w:fldCharType="end"/>
          </w:r>
        </w:p>
        <w:p w14:paraId="1C1D4F20">
          <w:pPr>
            <w:pStyle w:val="7"/>
            <w:tabs>
              <w:tab w:val="right" w:leader="dot" w:pos="8312"/>
            </w:tabs>
          </w:pPr>
          <w:r>
            <w:rPr>
              <w:rFonts w:hint="eastAsia"/>
            </w:rPr>
            <w:fldChar w:fldCharType="begin"/>
          </w:r>
          <w:r>
            <w:rPr>
              <w:rFonts w:hint="eastAsia"/>
            </w:rPr>
            <w:instrText xml:space="preserve"> HYPERLINK \l _Toc28612 </w:instrText>
          </w:r>
          <w:r>
            <w:rPr>
              <w:rFonts w:hint="eastAsia"/>
            </w:rPr>
            <w:fldChar w:fldCharType="separate"/>
          </w:r>
          <w:r>
            <w:rPr>
              <w:rFonts w:hint="eastAsia"/>
              <w:lang w:val="en-US" w:eastAsia="zh-CN"/>
            </w:rPr>
            <w:t>3.1 可视化实现</w:t>
          </w:r>
          <w:r>
            <w:tab/>
          </w:r>
          <w:r>
            <w:fldChar w:fldCharType="begin"/>
          </w:r>
          <w:r>
            <w:instrText xml:space="preserve"> PAGEREF _Toc28612 \h </w:instrText>
          </w:r>
          <w:r>
            <w:fldChar w:fldCharType="separate"/>
          </w:r>
          <w:r>
            <w:t>7</w:t>
          </w:r>
          <w:r>
            <w:fldChar w:fldCharType="end"/>
          </w:r>
          <w:r>
            <w:rPr>
              <w:rFonts w:hint="eastAsia"/>
            </w:rPr>
            <w:fldChar w:fldCharType="end"/>
          </w:r>
        </w:p>
        <w:p w14:paraId="7D69F652">
          <w:pPr>
            <w:pStyle w:val="7"/>
            <w:tabs>
              <w:tab w:val="right" w:leader="dot" w:pos="8312"/>
            </w:tabs>
          </w:pPr>
          <w:r>
            <w:rPr>
              <w:rFonts w:hint="eastAsia"/>
            </w:rPr>
            <w:fldChar w:fldCharType="begin"/>
          </w:r>
          <w:r>
            <w:rPr>
              <w:rFonts w:hint="eastAsia"/>
            </w:rPr>
            <w:instrText xml:space="preserve"> HYPERLINK \l _Toc3793 </w:instrText>
          </w:r>
          <w:r>
            <w:rPr>
              <w:rFonts w:hint="eastAsia"/>
            </w:rPr>
            <w:fldChar w:fldCharType="separate"/>
          </w:r>
          <w:r>
            <w:rPr>
              <w:rFonts w:hint="eastAsia"/>
              <w:lang w:val="en-US" w:eastAsia="zh-CN"/>
            </w:rPr>
            <w:t>3.2运行截图</w:t>
          </w:r>
          <w:r>
            <w:tab/>
          </w:r>
          <w:r>
            <w:fldChar w:fldCharType="begin"/>
          </w:r>
          <w:r>
            <w:instrText xml:space="preserve"> PAGEREF _Toc3793 \h </w:instrText>
          </w:r>
          <w:r>
            <w:fldChar w:fldCharType="separate"/>
          </w:r>
          <w:r>
            <w:t>13</w:t>
          </w:r>
          <w:r>
            <w:fldChar w:fldCharType="end"/>
          </w:r>
          <w:r>
            <w:rPr>
              <w:rFonts w:hint="eastAsia"/>
            </w:rPr>
            <w:fldChar w:fldCharType="end"/>
          </w:r>
        </w:p>
        <w:p w14:paraId="727DB9CF">
          <w:pPr>
            <w:pStyle w:val="13"/>
            <w:tabs>
              <w:tab w:val="right" w:leader="dot" w:pos="8312"/>
            </w:tabs>
          </w:pPr>
          <w:r>
            <w:rPr>
              <w:rFonts w:hint="eastAsia"/>
            </w:rPr>
            <w:fldChar w:fldCharType="begin"/>
          </w:r>
          <w:r>
            <w:rPr>
              <w:rFonts w:hint="eastAsia"/>
            </w:rPr>
            <w:instrText xml:space="preserve"> HYPERLINK \l _Toc13740 </w:instrText>
          </w:r>
          <w:r>
            <w:rPr>
              <w:rFonts w:hint="eastAsia"/>
            </w:rPr>
            <w:fldChar w:fldCharType="separate"/>
          </w:r>
          <w:r>
            <w:rPr>
              <w:rFonts w:hint="eastAsia"/>
              <w:lang w:val="en-US" w:eastAsia="zh-CN"/>
            </w:rPr>
            <w:t>4.总结及体会</w:t>
          </w:r>
          <w:r>
            <w:tab/>
          </w:r>
          <w:r>
            <w:fldChar w:fldCharType="begin"/>
          </w:r>
          <w:r>
            <w:instrText xml:space="preserve"> PAGEREF _Toc13740 \h </w:instrText>
          </w:r>
          <w:r>
            <w:fldChar w:fldCharType="separate"/>
          </w:r>
          <w:r>
            <w:t>14</w:t>
          </w:r>
          <w:r>
            <w:fldChar w:fldCharType="end"/>
          </w:r>
          <w:r>
            <w:rPr>
              <w:rFonts w:hint="eastAsia"/>
            </w:rPr>
            <w:fldChar w:fldCharType="end"/>
          </w:r>
        </w:p>
        <w:p w14:paraId="58FFDEF5">
          <w:pPr>
            <w:spacing w:before="0" w:beforeLines="0" w:after="0" w:afterLines="0" w:line="240" w:lineRule="auto"/>
            <w:ind w:left="0" w:leftChars="0" w:right="0" w:rightChars="0" w:firstLine="0" w:firstLineChars="0"/>
            <w:jc w:val="center"/>
            <w:rPr>
              <w:rFonts w:hint="eastAsia" w:ascii="Times New Roman" w:hAnsi="Times New Roman" w:eastAsia="宋体"/>
              <w:kern w:val="2"/>
              <w:sz w:val="24"/>
              <w:szCs w:val="24"/>
              <w:lang w:val="en-US" w:eastAsia="zh-CN" w:bidi="ar-SA"/>
            </w:rPr>
            <w:sectPr>
              <w:footerReference r:id="rId5" w:type="default"/>
              <w:pgSz w:w="11906" w:h="16838"/>
              <w:pgMar w:top="1440" w:right="1797" w:bottom="1440" w:left="1797" w:header="851" w:footer="992" w:gutter="0"/>
              <w:pgNumType w:fmt="decimal" w:start="1"/>
              <w:cols w:space="720" w:num="1"/>
              <w:docGrid w:type="lines" w:linePitch="312" w:charSpace="0"/>
            </w:sectPr>
          </w:pPr>
          <w:r>
            <w:rPr>
              <w:rFonts w:hint="eastAsia"/>
            </w:rPr>
            <w:fldChar w:fldCharType="end"/>
          </w:r>
        </w:p>
      </w:sdtContent>
    </w:sdt>
    <w:p w14:paraId="337B0FC3">
      <w:pPr>
        <w:pStyle w:val="2"/>
        <w:bidi w:val="0"/>
        <w:jc w:val="center"/>
        <w:rPr>
          <w:rFonts w:hint="eastAsia"/>
          <w:lang w:val="en-US" w:eastAsia="zh-CN"/>
        </w:rPr>
      </w:pPr>
      <w:bookmarkStart w:id="0" w:name="_Toc23563"/>
      <w:bookmarkStart w:id="1" w:name="_Toc23788"/>
      <w:bookmarkStart w:id="2" w:name="_Toc11822"/>
      <w:r>
        <w:rPr>
          <w:rFonts w:hint="eastAsia"/>
          <w:lang w:val="en-US" w:eastAsia="zh-CN"/>
        </w:rPr>
        <w:t>半导体外延层可视化光学测厚系统</w:t>
      </w:r>
      <w:bookmarkEnd w:id="0"/>
      <w:bookmarkEnd w:id="1"/>
      <w:bookmarkEnd w:id="2"/>
    </w:p>
    <w:p w14:paraId="797B1E85">
      <w:pPr>
        <w:pStyle w:val="2"/>
        <w:bidi w:val="0"/>
        <w:jc w:val="center"/>
        <w:rPr>
          <w:rFonts w:hint="eastAsia" w:ascii="黑体" w:eastAsia="黑体"/>
          <w:b/>
          <w:sz w:val="36"/>
          <w:szCs w:val="36"/>
        </w:rPr>
      </w:pPr>
    </w:p>
    <w:p w14:paraId="46E701F0">
      <w:pPr>
        <w:pStyle w:val="3"/>
        <w:numPr>
          <w:ilvl w:val="0"/>
          <w:numId w:val="0"/>
        </w:numPr>
        <w:bidi w:val="0"/>
        <w:rPr>
          <w:rFonts w:hint="eastAsia"/>
          <w:lang w:val="en-US" w:eastAsia="zh-CN"/>
        </w:rPr>
      </w:pPr>
      <w:bookmarkStart w:id="3" w:name="_Toc24459"/>
      <w:r>
        <w:rPr>
          <w:rFonts w:hint="eastAsia"/>
          <w:lang w:val="en-US" w:eastAsia="zh-CN"/>
        </w:rPr>
        <w:t>1.背景及功能概要</w:t>
      </w:r>
      <w:bookmarkEnd w:id="3"/>
    </w:p>
    <w:p w14:paraId="4FCC36D8">
      <w:pPr>
        <w:pStyle w:val="4"/>
        <w:bidi w:val="0"/>
        <w:rPr>
          <w:rFonts w:hint="eastAsia"/>
          <w:lang w:val="en-US" w:eastAsia="zh-CN"/>
        </w:rPr>
      </w:pPr>
      <w:bookmarkStart w:id="4" w:name="_Toc21789"/>
      <w:r>
        <w:rPr>
          <w:rFonts w:hint="eastAsia"/>
          <w:lang w:val="en-US" w:eastAsia="zh-CN"/>
        </w:rPr>
        <w:t>1.1背景</w:t>
      </w:r>
      <w:bookmarkEnd w:id="4"/>
    </w:p>
    <w:p w14:paraId="0F59FECC">
      <w:pPr>
        <w:numPr>
          <w:ilvl w:val="0"/>
          <w:numId w:val="0"/>
        </w:numPr>
        <w:ind w:leftChars="0"/>
        <w:rPr>
          <w:rFonts w:hint="default"/>
          <w:lang w:val="en-US" w:eastAsia="zh-CN"/>
        </w:rPr>
      </w:pPr>
      <w:r>
        <w:rPr>
          <w:rFonts w:hint="default"/>
          <w:lang w:val="en-US" w:eastAsia="zh-CN"/>
        </w:rPr>
        <w:t>半导体外延生长工艺是制备高性能光电器件、功率器件和射频器件的核心技术。外延层厚度直接影响器件的阈值电压、载流子迁移率、热阻以及量子效率等关键性能指标，其均匀性和重复性是工艺良率的主要制约因素。传统测量手段</w:t>
      </w:r>
      <w:r>
        <w:rPr>
          <w:rFonts w:hint="eastAsia"/>
          <w:lang w:val="en-US" w:eastAsia="zh-CN"/>
        </w:rPr>
        <w:t>，</w:t>
      </w:r>
      <w:r>
        <w:rPr>
          <w:rFonts w:hint="default"/>
          <w:lang w:val="en-US" w:eastAsia="zh-CN"/>
        </w:rPr>
        <w:t>如扫描电子显微镜SEM、透射电子显微镜TEM虽精度高，但属于破坏性、有损检测，无法实现原位、在线或整片晶圆的快速Mapping。相比之下，光学无损测量技术</w:t>
      </w:r>
      <w:r>
        <w:rPr>
          <w:rFonts w:hint="eastAsia"/>
          <w:lang w:val="en-US" w:eastAsia="zh-CN"/>
        </w:rPr>
        <w:t>，</w:t>
      </w:r>
      <w:r>
        <w:rPr>
          <w:rFonts w:hint="default"/>
          <w:lang w:val="en-US" w:eastAsia="zh-CN"/>
        </w:rPr>
        <w:t>如红外反射光谱、傅里叶变换红外光谱FTIR、紫外-可见反射谱</w:t>
      </w:r>
      <w:r>
        <w:rPr>
          <w:rFonts w:hint="eastAsia"/>
          <w:lang w:val="en-US" w:eastAsia="zh-CN"/>
        </w:rPr>
        <w:t xml:space="preserve"> </w:t>
      </w:r>
      <w:r>
        <w:rPr>
          <w:rFonts w:hint="default"/>
          <w:lang w:val="en-US" w:eastAsia="zh-CN"/>
        </w:rPr>
        <w:t>基于薄膜干涉原理，具有非接触、快速、高通量、无需真空环境等显著优势，已成为半导体行业标准检测手段。</w:t>
      </w:r>
    </w:p>
    <w:p w14:paraId="1A157771">
      <w:pPr>
        <w:numPr>
          <w:ilvl w:val="0"/>
          <w:numId w:val="0"/>
        </w:numPr>
        <w:ind w:leftChars="0"/>
        <w:rPr>
          <w:rFonts w:hint="default"/>
          <w:lang w:val="en-US" w:eastAsia="zh-CN"/>
        </w:rPr>
      </w:pPr>
      <w:r>
        <w:rPr>
          <w:rFonts w:hint="default"/>
          <w:lang w:val="en-US" w:eastAsia="zh-CN"/>
        </w:rPr>
        <w:t>光学测厚的核心物理基础是</w:t>
      </w:r>
      <w:r>
        <w:rPr>
          <w:rFonts w:hint="default"/>
          <w:b/>
          <w:bCs/>
          <w:lang w:val="en-US" w:eastAsia="zh-CN"/>
        </w:rPr>
        <w:t>法布里-珀罗（Fabry-Perot）</w:t>
      </w:r>
      <w:r>
        <w:rPr>
          <w:rFonts w:hint="default"/>
          <w:lang w:val="en-US" w:eastAsia="zh-CN"/>
        </w:rPr>
        <w:t>干涉：在空气/外延层/衬底三层结构中，入射光在上下界面发生多次反射与透射，叠加形成振荡的反射率光谱。反射率R(ν)随波数ν的周期性变化Δν满足近似关系：</w:t>
      </w:r>
    </w:p>
    <w:p w14:paraId="272044F3">
      <w:pPr>
        <w:keepNext w:val="0"/>
        <w:keepLines w:val="0"/>
        <w:widowControl/>
        <w:numPr>
          <w:ilvl w:val="0"/>
          <w:numId w:val="0"/>
        </w:numPr>
        <w:suppressLineNumbers w:val="0"/>
        <w:ind w:leftChars="0"/>
        <w:jc w:val="left"/>
        <w:rPr>
          <w:rFonts w:hint="default" w:hAnsi="Cambria Math" w:eastAsia="宋体"/>
          <w:i w:val="0"/>
          <w:sz w:val="24"/>
        </w:rPr>
      </w:pPr>
      <m:oMathPara>
        <m:oMath>
          <m:r>
            <m:rPr/>
            <w:rPr>
              <w:rFonts w:hint="default" w:ascii="Cambria Math" w:hAnsi="Cambria Math" w:eastAsia="宋体"/>
              <w:sz w:val="24"/>
            </w:rPr>
            <m:t>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e>
              </m:func>
              <m:r>
                <m:rPr/>
                <w:rPr>
                  <w:rFonts w:hint="default" w:ascii="Cambria Math" w:hAnsi="Cambria Math" w:eastAsia="宋体"/>
                  <w:sz w:val="24"/>
                </w:rPr>
                <m:t>⋅</m:t>
              </m:r>
              <m:r>
                <m:rPr>
                  <m:sty m:val="p"/>
                </m:rPr>
                <w:rPr>
                  <w:rFonts w:hint="default" w:ascii="Cambria Math" w:hAnsi="Cambria Math" w:eastAsia="宋体"/>
                  <w:sz w:val="24"/>
                </w:rPr>
                <m:t>Δ</m:t>
              </m:r>
              <m:r>
                <m:rPr/>
                <w:rPr>
                  <w:rFonts w:hint="default" w:ascii="Cambria Math" w:hAnsi="Cambria Math" w:eastAsia="宋体"/>
                  <w:sz w:val="24"/>
                </w:rPr>
                <m:t>ν</m:t>
              </m:r>
              <m:ctrlPr>
                <w:rPr>
                  <w:rFonts w:hint="default" w:ascii="Cambria Math" w:hAnsi="Cambria Math" w:eastAsia="宋体"/>
                  <w:sz w:val="24"/>
                </w:rPr>
              </m:ctrlPr>
            </m:den>
          </m:f>
          <m:r>
            <m:rPr/>
            <w:rPr>
              <w:rFonts w:hint="default" w:ascii="Cambria Math" w:hAnsi="Cambria Math" w:eastAsia="宋体"/>
              <w:sz w:val="24"/>
            </w:rPr>
            <m:t>​</m:t>
          </m:r>
        </m:oMath>
      </m:oMathPara>
    </w:p>
    <w:p w14:paraId="40DFD33A">
      <w:pPr>
        <w:keepNext w:val="0"/>
        <w:keepLines w:val="0"/>
        <w:widowControl/>
        <w:numPr>
          <w:ilvl w:val="0"/>
          <w:numId w:val="0"/>
        </w:numPr>
        <w:suppressLineNumbers w:val="0"/>
        <w:ind w:leftChars="0"/>
        <w:jc w:val="left"/>
        <w:rPr>
          <w:rFonts w:hint="default" w:hAnsi="Cambria Math" w:eastAsia="宋体"/>
          <w:i w:val="0"/>
          <w:sz w:val="24"/>
          <w:lang w:val="en-US" w:eastAsia="zh-CN"/>
        </w:rPr>
      </w:pPr>
      <w:r>
        <w:rPr>
          <w:rFonts w:hint="default" w:hAnsi="Cambria Math" w:eastAsia="宋体"/>
          <w:i w:val="0"/>
          <w:sz w:val="24"/>
          <w:lang w:val="en-US" w:eastAsia="zh-CN"/>
        </w:rPr>
        <w:t>其中d为外延层厚度，n₁为外延层折射率，θ₁为薄膜内折射角</w:t>
      </w:r>
    </w:p>
    <w:p w14:paraId="03B860E7">
      <w:pPr>
        <w:keepNext w:val="0"/>
        <w:keepLines w:val="0"/>
        <w:widowControl/>
        <w:numPr>
          <w:ilvl w:val="0"/>
          <w:numId w:val="0"/>
        </w:numPr>
        <w:suppressLineNumbers w:val="0"/>
        <w:ind w:leftChars="0"/>
        <w:jc w:val="left"/>
        <w:rPr>
          <w:rFonts w:hint="default" w:hAnsi="Cambria Math" w:eastAsia="宋体"/>
          <w:i w:val="0"/>
          <w:sz w:val="24"/>
          <w:lang w:val="en-US" w:eastAsia="zh-CN"/>
        </w:rPr>
      </w:pPr>
      <w:r>
        <w:rPr>
          <w:rFonts w:hint="eastAsia" w:hAnsi="Cambria Math"/>
          <w:i w:val="0"/>
          <w:sz w:val="24"/>
          <w:lang w:val="en-US" w:eastAsia="zh-CN"/>
        </w:rPr>
        <w:t>其中</w:t>
      </w:r>
      <w:r>
        <w:rPr>
          <w:rFonts w:hint="default" w:hAnsi="Cambria Math" w:eastAsia="宋体"/>
          <w:i w:val="0"/>
          <w:sz w:val="24"/>
          <w:lang w:val="en-US" w:eastAsia="zh-CN"/>
        </w:rPr>
        <w:t>θ₁由斯涅尔定律</w:t>
      </w:r>
      <w:r>
        <w:rPr>
          <w:rFonts w:hint="eastAsia" w:hAnsi="Cambria Math"/>
          <w:i w:val="0"/>
          <w:sz w:val="24"/>
          <w:lang w:val="en-US" w:eastAsia="zh-CN"/>
        </w:rPr>
        <w:t xml:space="preserve"> </w:t>
      </w:r>
      <w:r>
        <w:rPr>
          <w:rFonts w:hint="default" w:hAnsi="Cambria Math" w:eastAsia="宋体"/>
          <w:i w:val="0"/>
          <w:sz w:val="24"/>
          <w:lang w:val="en-US" w:eastAsia="zh-CN"/>
        </w:rPr>
        <w:t>n₀sinθ₀ = n₁sinθ₁</w:t>
      </w:r>
      <w:r>
        <w:rPr>
          <w:rFonts w:hint="eastAsia" w:hAnsi="Cambria Math"/>
          <w:i w:val="0"/>
          <w:sz w:val="24"/>
          <w:lang w:val="en-US" w:eastAsia="zh-CN"/>
        </w:rPr>
        <w:t xml:space="preserve"> </w:t>
      </w:r>
      <w:r>
        <w:rPr>
          <w:rFonts w:hint="default" w:hAnsi="Cambria Math" w:eastAsia="宋体"/>
          <w:i w:val="0"/>
          <w:sz w:val="24"/>
          <w:lang w:val="en-US" w:eastAsia="zh-CN"/>
        </w:rPr>
        <w:t>确定。</w:t>
      </w:r>
    </w:p>
    <w:p w14:paraId="4115BCA7">
      <w:pPr>
        <w:keepNext w:val="0"/>
        <w:keepLines w:val="0"/>
        <w:widowControl/>
        <w:numPr>
          <w:ilvl w:val="0"/>
          <w:numId w:val="0"/>
        </w:numPr>
        <w:suppressLineNumbers w:val="0"/>
        <w:ind w:leftChars="0"/>
        <w:jc w:val="left"/>
        <w:rPr>
          <w:rFonts w:hint="default" w:hAnsi="Cambria Math" w:eastAsia="宋体"/>
          <w:i w:val="0"/>
          <w:sz w:val="24"/>
          <w:lang w:val="en-US" w:eastAsia="zh-CN"/>
        </w:rPr>
      </w:pPr>
      <w:r>
        <w:rPr>
          <w:rFonts w:hint="default" w:hAnsi="Cambria Math" w:eastAsia="宋体"/>
          <w:i w:val="0"/>
          <w:sz w:val="24"/>
          <w:lang w:val="en-US" w:eastAsia="zh-CN"/>
        </w:rPr>
        <w:t>当入射角θ₀较大或材料色散显著时，需采用</w:t>
      </w:r>
      <w:r>
        <w:rPr>
          <w:rFonts w:hint="default" w:hAnsi="Cambria Math" w:eastAsia="宋体"/>
          <w:b/>
          <w:bCs/>
          <w:i w:val="0"/>
          <w:sz w:val="24"/>
          <w:lang w:val="en-US" w:eastAsia="zh-CN"/>
        </w:rPr>
        <w:t>传输矩阵法</w:t>
      </w:r>
      <w:r>
        <w:rPr>
          <w:rFonts w:hint="default" w:hAnsi="Cambria Math" w:eastAsia="宋体"/>
          <w:i w:val="0"/>
          <w:sz w:val="24"/>
          <w:lang w:val="en-US" w:eastAsia="zh-CN"/>
        </w:rPr>
        <w:t>（Transfer Matrix Method, TMM）进行精确建模，以考虑s/p偏振、多次反射相干叠加及界面菲涅尔系数。</w:t>
      </w:r>
    </w:p>
    <w:p w14:paraId="65DFCED9">
      <w:pPr>
        <w:numPr>
          <w:ilvl w:val="0"/>
          <w:numId w:val="0"/>
        </w:numPr>
        <w:ind w:leftChars="0"/>
        <w:rPr>
          <w:rFonts w:hint="eastAsia" w:hAnsi="Cambria Math"/>
          <w:i w:val="0"/>
          <w:sz w:val="24"/>
          <w:lang w:val="en-US" w:eastAsia="zh-CN"/>
        </w:rPr>
      </w:pPr>
      <w:r>
        <w:rPr>
          <w:rFonts w:hint="default" w:hAnsi="Cambria Math" w:eastAsia="宋体"/>
          <w:i w:val="0"/>
          <w:sz w:val="24"/>
          <w:lang w:val="en-US" w:eastAsia="zh-CN"/>
        </w:rPr>
        <w:t>本文</w:t>
      </w:r>
      <w:r>
        <w:rPr>
          <w:rFonts w:hint="eastAsia" w:hAnsi="Cambria Math"/>
          <w:i w:val="0"/>
          <w:sz w:val="24"/>
          <w:lang w:val="en-US" w:eastAsia="zh-CN"/>
        </w:rPr>
        <w:t>的EPI-Vision对于该测厚过程提供了可视化演示，为半导体光学计量提供交互式分析平台。</w:t>
      </w:r>
    </w:p>
    <w:p w14:paraId="1BF22398">
      <w:pPr>
        <w:numPr>
          <w:ilvl w:val="0"/>
          <w:numId w:val="0"/>
        </w:numPr>
        <w:ind w:leftChars="0"/>
        <w:rPr>
          <w:rFonts w:hint="eastAsia" w:hAnsi="Cambria Math"/>
          <w:i w:val="0"/>
          <w:sz w:val="24"/>
          <w:lang w:val="en-US" w:eastAsia="zh-CN"/>
        </w:rPr>
      </w:pPr>
    </w:p>
    <w:p w14:paraId="660094D0">
      <w:pPr>
        <w:numPr>
          <w:ilvl w:val="0"/>
          <w:numId w:val="0"/>
        </w:numPr>
        <w:ind w:leftChars="0"/>
        <w:rPr>
          <w:rFonts w:hint="default"/>
          <w:lang w:val="en-US" w:eastAsia="zh-CN"/>
        </w:rPr>
      </w:pPr>
    </w:p>
    <w:p w14:paraId="733E5127">
      <w:pPr>
        <w:pStyle w:val="4"/>
        <w:numPr>
          <w:ilvl w:val="0"/>
          <w:numId w:val="0"/>
        </w:numPr>
        <w:bidi w:val="0"/>
        <w:ind w:leftChars="0"/>
        <w:outlineLvl w:val="2"/>
        <w:rPr>
          <w:rFonts w:hint="eastAsia"/>
          <w:lang w:val="en-US" w:eastAsia="zh-CN"/>
        </w:rPr>
      </w:pPr>
      <w:bookmarkStart w:id="5" w:name="_Toc8037"/>
      <w:r>
        <w:rPr>
          <w:rFonts w:hint="eastAsia"/>
          <w:lang w:val="en-US" w:eastAsia="zh-CN"/>
        </w:rPr>
        <w:t>1.2功能概要</w:t>
      </w:r>
      <w:bookmarkEnd w:id="5"/>
    </w:p>
    <w:p w14:paraId="01DAE375">
      <w:pPr>
        <w:jc w:val="center"/>
      </w:pPr>
      <w:r>
        <w:drawing>
          <wp:inline distT="0" distB="0" distL="114300" distR="114300">
            <wp:extent cx="4713605" cy="2219960"/>
            <wp:effectExtent l="0" t="0" r="10795"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4713605" cy="2219960"/>
                    </a:xfrm>
                    <a:prstGeom prst="rect">
                      <a:avLst/>
                    </a:prstGeom>
                    <a:noFill/>
                    <a:ln>
                      <a:noFill/>
                    </a:ln>
                  </pic:spPr>
                </pic:pic>
              </a:graphicData>
            </a:graphic>
          </wp:inline>
        </w:drawing>
      </w:r>
    </w:p>
    <w:p w14:paraId="3E501BFF">
      <w:pPr>
        <w:pStyle w:val="6"/>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p>
    <w:p w14:paraId="0CC87804">
      <w:pPr>
        <w:rPr>
          <w:rFonts w:hint="default"/>
          <w:lang w:val="en-US" w:eastAsia="zh-CN"/>
        </w:rPr>
      </w:pPr>
      <w:r>
        <w:rPr>
          <w:rFonts w:hint="eastAsia"/>
          <w:lang w:val="en-US" w:eastAsia="zh-CN"/>
        </w:rPr>
        <w:t>本系统是基于大数据可视化设计1，EPI-Vision平台迭代更新而成的Web版本EPI-Vision Pro，算法部分并未做更新，对于可视化功能以及可交互性，追溯记忆功能进行了改进与增加。</w:t>
      </w:r>
    </w:p>
    <w:p w14:paraId="3BEDA1B9">
      <w:pPr>
        <w:rPr>
          <w:rFonts w:hint="default"/>
          <w:lang w:val="en-US" w:eastAsia="zh-CN"/>
        </w:rPr>
      </w:pPr>
      <w:r>
        <w:rPr>
          <w:rFonts w:hint="eastAsia"/>
          <w:lang w:val="en-US" w:eastAsia="zh-CN"/>
        </w:rPr>
        <w:t>EPI-Vision Pro功能如下：</w:t>
      </w:r>
    </w:p>
    <w:p w14:paraId="0E4F271D">
      <w:pPr>
        <w:rPr>
          <w:rFonts w:hint="default"/>
          <w:lang w:val="en-US" w:eastAsia="zh-CN"/>
        </w:rPr>
      </w:pPr>
      <w:r>
        <w:rPr>
          <w:rFonts w:hint="default"/>
          <w:b/>
          <w:bCs/>
          <w:lang w:val="en-US" w:eastAsia="zh-CN"/>
        </w:rPr>
        <w:t>严谨的数据与材料</w:t>
      </w:r>
      <w:r>
        <w:rPr>
          <w:rFonts w:hint="eastAsia"/>
          <w:b/>
          <w:bCs/>
          <w:lang w:val="en-US" w:eastAsia="zh-CN"/>
        </w:rPr>
        <w:t>管理</w:t>
      </w:r>
      <w:r>
        <w:rPr>
          <w:rFonts w:hint="default"/>
          <w:lang w:val="en-US" w:eastAsia="zh-CN"/>
        </w:rPr>
        <w:t>： 支持 CSV/Excel 格式的光谱数据规范化导入与同源替换。系统注重核心数据的信噪比与质量，在进入核心分析前可对光谱极值与噪声进行针对性的数据清洗与预处理；同时内置支持 CRUD 操作的折射率材料库，便于在分析和仿真中快速实例化调用。</w:t>
      </w:r>
    </w:p>
    <w:p w14:paraId="681A875B">
      <w:pPr>
        <w:rPr>
          <w:rFonts w:hint="default"/>
          <w:lang w:val="en-US" w:eastAsia="zh-CN"/>
        </w:rPr>
      </w:pPr>
      <w:r>
        <w:rPr>
          <w:rFonts w:hint="default"/>
          <w:b/>
          <w:bCs/>
          <w:lang w:val="en-US" w:eastAsia="zh-CN"/>
        </w:rPr>
        <w:t>双轨厚度反演计算</w:t>
      </w:r>
      <w:r>
        <w:rPr>
          <w:rFonts w:hint="default"/>
          <w:lang w:val="en-US" w:eastAsia="zh-CN"/>
        </w:rPr>
        <w:t>： 提供</w:t>
      </w:r>
      <w:r>
        <w:rPr>
          <w:rFonts w:hint="default"/>
          <w:b/>
          <w:bCs/>
          <w:lang w:val="en-US" w:eastAsia="zh-CN"/>
        </w:rPr>
        <w:t>峰值间距法</w:t>
      </w:r>
      <w:r>
        <w:rPr>
          <w:rFonts w:hint="default"/>
          <w:lang w:val="en-US" w:eastAsia="zh-CN"/>
        </w:rPr>
        <w:t>与</w:t>
      </w:r>
      <w:r>
        <w:rPr>
          <w:rFonts w:hint="default"/>
          <w:b/>
          <w:bCs/>
          <w:lang w:val="en-US" w:eastAsia="zh-CN"/>
        </w:rPr>
        <w:t>TMM（传输矩阵法）</w:t>
      </w:r>
      <w:r>
        <w:rPr>
          <w:rFonts w:hint="default"/>
          <w:lang w:val="en-US" w:eastAsia="zh-CN"/>
        </w:rPr>
        <w:t>拟合两种核心计算路径。支持固定折射率反演以及复杂的厚度-折射率联合反演，满足不同精度的参数提取需求。</w:t>
      </w:r>
    </w:p>
    <w:p w14:paraId="1CC951A8">
      <w:pPr>
        <w:rPr>
          <w:rFonts w:hint="default"/>
          <w:lang w:val="en-US" w:eastAsia="zh-CN"/>
        </w:rPr>
      </w:pPr>
      <w:r>
        <w:rPr>
          <w:rFonts w:hint="default"/>
          <w:b/>
          <w:bCs/>
          <w:lang w:val="en-US" w:eastAsia="zh-CN"/>
        </w:rPr>
        <w:t>全景多视图可视化大屏：</w:t>
      </w:r>
      <w:r>
        <w:rPr>
          <w:rFonts w:hint="default"/>
          <w:lang w:val="en-US" w:eastAsia="zh-CN"/>
        </w:rPr>
        <w:t xml:space="preserve"> 突破单一的光谱展示，不仅提供精确的干涉拟合曲线与自动峰值标注，更支持一键切换至光路仿真、晶圆均匀性分布、原子晶格结构、驻波场形态以及色散建模等多专业视图，直观解析底层物理机制。</w:t>
      </w:r>
    </w:p>
    <w:p w14:paraId="39913B3E">
      <w:pPr>
        <w:rPr>
          <w:rFonts w:hint="default"/>
          <w:lang w:val="en-US" w:eastAsia="zh-CN"/>
        </w:rPr>
      </w:pPr>
      <w:r>
        <w:rPr>
          <w:rFonts w:hint="default"/>
          <w:b/>
          <w:bCs/>
          <w:lang w:val="en-US" w:eastAsia="zh-CN"/>
        </w:rPr>
        <w:t>全链路追溯与实验室仿真：</w:t>
      </w:r>
      <w:r>
        <w:rPr>
          <w:rFonts w:hint="default"/>
          <w:lang w:val="en-US" w:eastAsia="zh-CN"/>
        </w:rPr>
        <w:t xml:space="preserve"> 系统自动对每一次分析的参数与结果生成数据快照，支持实验回放与</w:t>
      </w:r>
      <w:r>
        <w:rPr>
          <w:rFonts w:hint="eastAsia"/>
          <w:lang w:val="en-US" w:eastAsia="zh-CN"/>
        </w:rPr>
        <w:t>M</w:t>
      </w:r>
      <w:r>
        <w:rPr>
          <w:rFonts w:hint="default"/>
          <w:lang w:val="en-US" w:eastAsia="zh-CN"/>
        </w:rPr>
        <w:t>atplotlib拟合图导出。独立的实验室仿真器支持基于 Snell 定律和 TMM 模型的正向参数调节与示意光谱生成</w:t>
      </w:r>
      <w:r>
        <w:rPr>
          <w:rFonts w:hint="eastAsia"/>
          <w:lang w:val="en-US" w:eastAsia="zh-CN"/>
        </w:rPr>
        <w:t>。</w:t>
      </w:r>
    </w:p>
    <w:p w14:paraId="5D33C5B0">
      <w:pPr>
        <w:pStyle w:val="3"/>
        <w:bidi w:val="0"/>
        <w:rPr>
          <w:rFonts w:hint="eastAsia"/>
          <w:lang w:val="en-US" w:eastAsia="zh-CN"/>
        </w:rPr>
      </w:pPr>
      <w:bookmarkStart w:id="6" w:name="_Toc32262"/>
      <w:r>
        <w:rPr>
          <w:rFonts w:hint="eastAsia"/>
          <w:lang w:val="en-US" w:eastAsia="zh-CN"/>
        </w:rPr>
        <w:t>2.可视化系统设计</w:t>
      </w:r>
      <w:bookmarkEnd w:id="6"/>
    </w:p>
    <w:p w14:paraId="172BC96C">
      <w:pPr>
        <w:pStyle w:val="4"/>
        <w:bidi w:val="0"/>
        <w:rPr>
          <w:rFonts w:hint="eastAsia"/>
          <w:lang w:val="en-US" w:eastAsia="zh-CN"/>
        </w:rPr>
      </w:pPr>
      <w:bookmarkStart w:id="7" w:name="_Toc11880"/>
      <w:r>
        <w:rPr>
          <w:rFonts w:hint="eastAsia"/>
          <w:lang w:val="en-US" w:eastAsia="zh-CN"/>
        </w:rPr>
        <w:t>2.1 概要设计</w:t>
      </w:r>
      <w:bookmarkEnd w:id="7"/>
      <w:bookmarkStart w:id="14" w:name="_GoBack"/>
      <w:bookmarkEnd w:id="14"/>
    </w:p>
    <w:p w14:paraId="265A8A3A">
      <w:pPr>
        <w:jc w:val="center"/>
      </w:pPr>
      <w:r>
        <w:drawing>
          <wp:inline distT="0" distB="0" distL="114300" distR="114300">
            <wp:extent cx="4912995" cy="2436495"/>
            <wp:effectExtent l="0" t="0" r="190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4912995" cy="2436495"/>
                    </a:xfrm>
                    <a:prstGeom prst="rect">
                      <a:avLst/>
                    </a:prstGeom>
                    <a:noFill/>
                    <a:ln>
                      <a:noFill/>
                    </a:ln>
                  </pic:spPr>
                </pic:pic>
              </a:graphicData>
            </a:graphic>
          </wp:inline>
        </w:drawing>
      </w:r>
    </w:p>
    <w:p w14:paraId="4B686F26">
      <w:pPr>
        <w:pStyle w:val="6"/>
        <w:jc w:val="center"/>
      </w:pPr>
      <w:r>
        <w:t xml:space="preserve">图 </w:t>
      </w:r>
      <w:r>
        <w:fldChar w:fldCharType="begin"/>
      </w:r>
      <w:r>
        <w:instrText xml:space="preserve"> SEQ 图 \* ARABIC </w:instrText>
      </w:r>
      <w:r>
        <w:fldChar w:fldCharType="separate"/>
      </w:r>
      <w:r>
        <w:t>2</w:t>
      </w:r>
      <w:r>
        <w:fldChar w:fldCharType="end"/>
      </w:r>
    </w:p>
    <w:p w14:paraId="35ADA4EE">
      <w:pPr>
        <w:jc w:val="left"/>
        <w:rPr>
          <w:rFonts w:hint="eastAsia"/>
          <w:lang w:eastAsia="zh-CN"/>
        </w:rPr>
      </w:pPr>
    </w:p>
    <w:p w14:paraId="5750E961">
      <w:pPr>
        <w:jc w:val="left"/>
        <w:rPr>
          <w:rFonts w:hint="eastAsia"/>
          <w:lang w:val="en-US" w:eastAsia="zh-CN"/>
        </w:rPr>
      </w:pPr>
      <w:r>
        <w:rPr>
          <w:rFonts w:hint="eastAsia"/>
          <w:b/>
          <w:bCs/>
          <w:lang w:val="en-US" w:eastAsia="zh-CN"/>
        </w:rPr>
        <w:t>后端</w:t>
      </w:r>
      <w:r>
        <w:rPr>
          <w:rFonts w:hint="eastAsia"/>
          <w:lang w:val="en-US" w:eastAsia="zh-CN"/>
        </w:rPr>
        <w:t>： 以 Python 3 和 Flask 为核心驱动。通过集成 Pandas、NumPy 和 SciPy 构建强大的数据预处理与科学计算引擎；利用 SQLAlchemy 对接 SQLite 数据库，实现轻量级、本地化的数据与历史记录持久化。</w:t>
      </w:r>
    </w:p>
    <w:p w14:paraId="5B405EA3">
      <w:pPr>
        <w:jc w:val="left"/>
        <w:rPr>
          <w:rFonts w:hint="eastAsia"/>
          <w:lang w:val="en-US" w:eastAsia="zh-CN"/>
        </w:rPr>
      </w:pPr>
      <w:r>
        <w:rPr>
          <w:rFonts w:hint="eastAsia"/>
          <w:b/>
          <w:bCs/>
          <w:lang w:val="en-US" w:eastAsia="zh-CN"/>
        </w:rPr>
        <w:t>前端：</w:t>
      </w:r>
      <w:r>
        <w:rPr>
          <w:rFonts w:hint="eastAsia"/>
          <w:lang w:val="en-US" w:eastAsia="zh-CN"/>
        </w:rPr>
        <w:t xml:space="preserve"> 采用原生 HTML/JS/CSS 结合页面模板构建模块化 UI。在可视化渲染层，深度整合 ECharts / ECharts-GL、Three.js 以及 GSAP，实现从基础二维干涉曲线到复杂三维物理场的跨维度呈现。</w:t>
      </w:r>
    </w:p>
    <w:p w14:paraId="4412F223">
      <w:pPr>
        <w:jc w:val="left"/>
        <w:rPr>
          <w:rFonts w:hint="eastAsia"/>
          <w:lang w:val="en-US" w:eastAsia="zh-CN"/>
        </w:rPr>
      </w:pPr>
    </w:p>
    <w:p w14:paraId="16532E8D">
      <w:pPr>
        <w:pStyle w:val="4"/>
        <w:bidi w:val="0"/>
        <w:rPr>
          <w:rFonts w:hint="eastAsia"/>
          <w:lang w:val="en-US" w:eastAsia="zh-CN"/>
        </w:rPr>
      </w:pPr>
      <w:bookmarkStart w:id="8" w:name="_Toc27237"/>
      <w:r>
        <w:rPr>
          <w:rFonts w:hint="eastAsia"/>
          <w:lang w:val="en-US" w:eastAsia="zh-CN"/>
        </w:rPr>
        <w:t>2.2 核心算法设计</w:t>
      </w:r>
      <w:bookmarkEnd w:id="8"/>
    </w:p>
    <w:p w14:paraId="750A6677">
      <w:pPr>
        <w:rPr>
          <w:rFonts w:hint="eastAsia"/>
          <w:lang w:val="en-US" w:eastAsia="zh-CN"/>
        </w:rPr>
      </w:pPr>
      <w:r>
        <w:rPr>
          <w:rFonts w:hint="eastAsia"/>
          <w:lang w:val="en-US" w:eastAsia="zh-CN"/>
        </w:rPr>
        <w:t>本系统的核心计算引擎主要由两种测厚算法构成：用于实现毫秒级响应的</w:t>
      </w:r>
      <w:r>
        <w:rPr>
          <w:rFonts w:hint="eastAsia"/>
          <w:b/>
          <w:bCs/>
          <w:lang w:val="en-US" w:eastAsia="zh-CN"/>
        </w:rPr>
        <w:t>峰值间距法</w:t>
      </w:r>
      <w:r>
        <w:rPr>
          <w:rFonts w:hint="eastAsia"/>
          <w:b w:val="0"/>
          <w:bCs w:val="0"/>
          <w:lang w:val="en-US" w:eastAsia="zh-CN"/>
        </w:rPr>
        <w:t>运算</w:t>
      </w:r>
      <w:r>
        <w:rPr>
          <w:rFonts w:hint="eastAsia"/>
          <w:lang w:val="en-US" w:eastAsia="zh-CN"/>
        </w:rPr>
        <w:t>，以及用于高精度参数反演的</w:t>
      </w:r>
      <w:r>
        <w:rPr>
          <w:rFonts w:hint="eastAsia"/>
          <w:b/>
          <w:bCs/>
          <w:lang w:val="en-US" w:eastAsia="zh-CN"/>
        </w:rPr>
        <w:t xml:space="preserve">传输矩阵法 (TMM) </w:t>
      </w:r>
      <w:r>
        <w:rPr>
          <w:rFonts w:hint="eastAsia"/>
          <w:lang w:val="en-US" w:eastAsia="zh-CN"/>
        </w:rPr>
        <w:t>拟合。这两种算法在控制层与模型层中协同工作，为前端的动态可视化提供数据支撑。</w:t>
      </w:r>
    </w:p>
    <w:p w14:paraId="73CF7660">
      <w:pPr>
        <w:pStyle w:val="5"/>
        <w:bidi w:val="0"/>
        <w:rPr>
          <w:rFonts w:hint="default"/>
          <w:lang w:val="en-US" w:eastAsia="zh-CN"/>
        </w:rPr>
      </w:pPr>
      <w:r>
        <w:rPr>
          <w:rFonts w:hint="eastAsia"/>
          <w:lang w:val="en-US" w:eastAsia="zh-CN"/>
        </w:rPr>
        <w:t xml:space="preserve">2.2.1 </w:t>
      </w:r>
      <w:r>
        <w:t>峰值间距法极速运算模块</w:t>
      </w:r>
    </w:p>
    <w:p w14:paraId="323B5332">
      <w:pPr>
        <w:jc w:val="left"/>
        <w:rPr>
          <w:rFonts w:hint="eastAsia"/>
          <w:lang w:val="en-US" w:eastAsia="zh-CN"/>
        </w:rPr>
      </w:pPr>
      <w:r>
        <w:rPr>
          <w:rFonts w:hint="eastAsia"/>
          <w:lang w:val="en-US" w:eastAsia="zh-CN"/>
        </w:rPr>
        <w:t>该算法基于多光束干涉的基本物理图像，利用反射光谱中相邻干涉峰之间的波数差来快速推算外延层的厚度 。</w:t>
      </w:r>
    </w:p>
    <w:p w14:paraId="1C74A726">
      <w:pPr>
        <w:keepNext w:val="0"/>
        <w:keepLines w:val="0"/>
        <w:widowControl/>
        <w:suppressLineNumbers w:val="0"/>
        <w:spacing w:before="0" w:beforeAutospacing="0" w:line="12" w:lineRule="atLeast"/>
        <w:jc w:val="left"/>
        <w:rPr>
          <w:rFonts w:hint="default" w:hAnsi="Cambria Math" w:eastAsia="sans-serif"/>
          <w:i w:val="0"/>
          <w:sz w:val="24"/>
        </w:rPr>
      </w:pPr>
      <m:oMathPara>
        <m:oMath>
          <m:r>
            <m:rPr/>
            <w:rPr>
              <w:rFonts w:hint="default" w:ascii="Cambria Math" w:hAnsi="Cambria Math" w:eastAsia="sans-serif"/>
              <w:sz w:val="24"/>
            </w:rPr>
            <m:t>d=</m:t>
          </m:r>
          <m:f>
            <m:fPr>
              <m:ctrlPr>
                <w:rPr>
                  <w:rFonts w:hint="default" w:ascii="Cambria Math" w:hAnsi="Cambria Math" w:eastAsia="sans-serif"/>
                  <w:i/>
                  <w:sz w:val="24"/>
                </w:rPr>
              </m:ctrlPr>
            </m:fPr>
            <m:num>
              <m:r>
                <m:rPr/>
                <w:rPr>
                  <w:rFonts w:hint="default" w:ascii="Cambria Math" w:hAnsi="Cambria Math" w:eastAsia="sans-serif"/>
                  <w:sz w:val="24"/>
                </w:rPr>
                <m:t>10000</m:t>
              </m:r>
              <m:ctrlPr>
                <w:rPr>
                  <w:rFonts w:ascii="Cambria Math" w:hAnsi="Cambria Math" w:eastAsia="sans-serif"/>
                  <w:sz w:val="24"/>
                </w:rPr>
              </m:ctrlPr>
            </m:num>
            <m:den>
              <m:r>
                <m:rPr/>
                <w:rPr>
                  <w:rFonts w:hint="default" w:ascii="Cambria Math" w:hAnsi="Cambria Math" w:eastAsia="sans-serif"/>
                  <w:sz w:val="24"/>
                </w:rPr>
                <m:t>2⋅n⋅</m:t>
              </m:r>
              <m:func>
                <m:funcPr>
                  <m:ctrlPr>
                    <w:rPr>
                      <w:rFonts w:hint="default" w:ascii="Cambria Math" w:hAnsi="Cambria Math" w:eastAsia="sans-serif"/>
                      <w:sz w:val="24"/>
                    </w:rPr>
                  </m:ctrlPr>
                </m:funcPr>
                <m:fName>
                  <m:r>
                    <m:rPr>
                      <m:sty m:val="p"/>
                    </m:rPr>
                    <w:rPr>
                      <w:rFonts w:hint="default" w:ascii="Cambria Math" w:hAnsi="Cambria Math" w:eastAsia="sans-serif"/>
                      <w:sz w:val="24"/>
                    </w:rPr>
                    <m:t>cos</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r>
                <m:rPr/>
                <w:rPr>
                  <w:rFonts w:hint="default" w:ascii="Cambria Math" w:hAnsi="Cambria Math" w:eastAsia="sans-serif"/>
                  <w:sz w:val="24"/>
                </w:rPr>
                <m:t>θ')⋅</m:t>
              </m:r>
              <m:r>
                <m:rPr>
                  <m:sty m:val="p"/>
                </m:rPr>
                <w:rPr>
                  <w:rFonts w:hint="default" w:ascii="Cambria Math" w:hAnsi="Cambria Math" w:eastAsia="sans-serif"/>
                  <w:sz w:val="24"/>
                </w:rPr>
                <m:t>Δ</m:t>
              </m:r>
              <m:r>
                <m:rPr/>
                <w:rPr>
                  <w:rFonts w:hint="default" w:ascii="Cambria Math" w:hAnsi="Cambria Math" w:eastAsia="sans-serif"/>
                  <w:sz w:val="24"/>
                </w:rPr>
                <m:t>ν</m:t>
              </m:r>
              <m:ctrlPr>
                <w:rPr>
                  <w:rFonts w:hint="default" w:ascii="Cambria Math" w:hAnsi="Cambria Math" w:eastAsia="sans-serif"/>
                  <w:sz w:val="24"/>
                </w:rPr>
              </m:ctrlPr>
            </m:den>
          </m:f>
        </m:oMath>
      </m:oMathPara>
    </w:p>
    <w:p w14:paraId="483CD43D">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其中：</w:t>
      </w:r>
    </w:p>
    <w:p w14:paraId="770F075E">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d 为待求的外延层厚度（单位：</w:t>
      </w:r>
      <m:oMath>
        <m:r>
          <m:rPr/>
          <w:rPr>
            <w:rFonts w:hint="default" w:ascii="Cambria Math" w:hAnsi="Cambria Math" w:eastAsia="sans-serif"/>
            <w:sz w:val="24"/>
          </w:rPr>
          <m:t>μm</m:t>
        </m:r>
      </m:oMath>
      <w:r>
        <w:rPr>
          <w:rFonts w:hint="eastAsia" w:hAnsi="Cambria Math"/>
          <w:i w:val="0"/>
          <w:sz w:val="24"/>
          <w:lang w:eastAsia="zh-CN"/>
        </w:rPr>
        <w:t>）</w:t>
      </w:r>
    </w:p>
    <w:p w14:paraId="3DA83F25">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 xml:space="preserve">n为材料的折射率 </w:t>
      </w:r>
    </w:p>
    <w:p w14:paraId="3D81642C">
      <w:pPr>
        <w:keepNext w:val="0"/>
        <w:keepLines w:val="0"/>
        <w:widowControl/>
        <w:suppressLineNumbers w:val="0"/>
        <w:spacing w:before="0" w:beforeAutospacing="0" w:line="12" w:lineRule="atLeast"/>
        <w:jc w:val="left"/>
        <w:rPr>
          <w:rFonts w:hint="eastAsia" w:hAnsi="Cambria Math"/>
          <w:i w:val="0"/>
          <w:sz w:val="24"/>
          <w:lang w:val="en-US" w:eastAsia="zh-CN"/>
        </w:rPr>
      </w:pPr>
      <m:oMath>
        <m:r>
          <m:rPr/>
          <w:rPr>
            <w:rFonts w:hint="default" w:ascii="Cambria Math" w:hAnsi="Cambria Math"/>
            <w:sz w:val="24"/>
          </w:rPr>
          <m:t>θ'</m:t>
        </m:r>
      </m:oMath>
      <w:r>
        <w:rPr>
          <w:rFonts w:hint="eastAsia" w:hAnsi="Cambria Math"/>
          <w:i w:val="0"/>
          <w:sz w:val="24"/>
          <w:lang w:val="en-US" w:eastAsia="zh-CN"/>
        </w:rPr>
        <w:t xml:space="preserve"> 为光在薄膜内部的折射角</w:t>
      </w:r>
    </w:p>
    <w:p w14:paraId="37FFE976">
      <w:pPr>
        <w:keepNext w:val="0"/>
        <w:keepLines w:val="0"/>
        <w:widowControl/>
        <w:suppressLineNumbers w:val="0"/>
        <w:spacing w:before="0" w:beforeAutospacing="0" w:line="12" w:lineRule="atLeast"/>
        <w:jc w:val="left"/>
        <w:rPr>
          <w:rFonts w:hint="default" w:hAnsi="Cambria Math" w:eastAsia="sans-serif"/>
          <w:i w:val="0"/>
          <w:sz w:val="24"/>
        </w:rPr>
      </w:pPr>
      <m:oMath>
        <m:r>
          <m:rPr>
            <m:sty m:val="p"/>
          </m:rPr>
          <w:rPr>
            <w:rFonts w:hint="default" w:ascii="Cambria Math" w:hAnsi="Cambria Math" w:eastAsia="sans-serif"/>
            <w:sz w:val="24"/>
          </w:rPr>
          <m:t>Δ</m:t>
        </m:r>
        <m:r>
          <m:rPr/>
          <w:rPr>
            <w:rFonts w:hint="default" w:ascii="Cambria Math" w:hAnsi="Cambria Math" w:eastAsia="sans-serif"/>
            <w:sz w:val="24"/>
          </w:rPr>
          <m:t>ν</m:t>
        </m:r>
      </m:oMath>
      <w:r>
        <w:rPr>
          <w:rFonts w:hint="eastAsia" w:hAnsi="Cambria Math"/>
          <w:i w:val="0"/>
          <w:sz w:val="24"/>
          <w:lang w:val="en-US" w:eastAsia="zh-CN"/>
        </w:rPr>
        <w:t>是</w:t>
      </w:r>
      <w:r>
        <w:rPr>
          <w:rFonts w:ascii="宋体" w:hAnsi="宋体" w:eastAsia="宋体" w:cs="宋体"/>
          <w:sz w:val="24"/>
          <w:szCs w:val="24"/>
        </w:rPr>
        <w:t>相邻干涉峰的波数差</w:t>
      </w:r>
      <m:oMath>
        <m:r>
          <m:rPr>
            <m:sty m:val="p"/>
          </m:rPr>
          <w:rPr>
            <w:rFonts w:hint="default" w:ascii="Cambria Math" w:hAnsi="Cambria Math" w:eastAsia="sans-serif"/>
            <w:sz w:val="24"/>
          </w:rPr>
          <m:t>（单位：</m:t>
        </m:r>
        <m:sSup>
          <m:sSupPr>
            <m:ctrlPr>
              <w:rPr>
                <w:rFonts w:hint="default" w:ascii="Cambria Math" w:hAnsi="Cambria Math" w:eastAsia="sans-serif"/>
                <w:sz w:val="24"/>
              </w:rPr>
            </m:ctrlPr>
          </m:sSupPr>
          <m:e>
            <m:r>
              <m:rPr/>
              <w:rPr>
                <w:rFonts w:hint="default" w:ascii="Cambria Math" w:hAnsi="Cambria Math" w:eastAsia="sans-serif"/>
                <w:sz w:val="24"/>
              </w:rPr>
              <m:t>cm</m:t>
            </m:r>
            <m:ctrlPr>
              <w:rPr>
                <w:rFonts w:ascii="Cambria Math" w:hAnsi="Cambria Math" w:eastAsia="sans-serif"/>
                <w:sz w:val="24"/>
              </w:rPr>
            </m:ctrlPr>
          </m:e>
          <m:sup>
            <m:r>
              <m:rPr/>
              <w:rPr>
                <w:rFonts w:hint="default" w:ascii="Cambria Math" w:hAnsi="Cambria Math" w:eastAsia="sans-serif"/>
                <w:sz w:val="24"/>
              </w:rPr>
              <m:t>−1</m:t>
            </m:r>
            <m:ctrlPr>
              <w:rPr>
                <w:rFonts w:ascii="Cambria Math" w:hAnsi="Cambria Math" w:eastAsia="sans-serif"/>
                <w:sz w:val="24"/>
              </w:rPr>
            </m:ctrlPr>
          </m:sup>
        </m:sSup>
        <m:r>
          <m:rPr>
            <m:sty m:val="p"/>
          </m:rPr>
          <w:rPr>
            <w:rFonts w:hint="default" w:ascii="Cambria Math" w:hAnsi="Cambria Math" w:eastAsia="sans-serif"/>
            <w:sz w:val="24"/>
          </w:rPr>
          <m:t>）</m:t>
        </m:r>
      </m:oMath>
    </w:p>
    <w:p w14:paraId="1BA93263">
      <w:pPr>
        <w:keepNext w:val="0"/>
        <w:keepLines w:val="0"/>
        <w:widowControl/>
        <w:suppressLineNumbers w:val="0"/>
        <w:spacing w:before="0" w:beforeAutospacing="0" w:line="12" w:lineRule="atLeast"/>
        <w:jc w:val="left"/>
        <w:rPr>
          <w:rFonts w:hint="eastAsia" w:hAnsi="Cambria Math" w:eastAsia="sans-serif"/>
          <w:i w:val="0"/>
          <w:sz w:val="24"/>
          <w:lang w:val="en-US" w:eastAsia="zh-CN"/>
        </w:rPr>
      </w:pPr>
      <w:r>
        <w:rPr>
          <w:rFonts w:hint="eastAsia" w:hAnsi="Cambria Math" w:eastAsia="sans-serif"/>
          <w:i w:val="0"/>
          <w:sz w:val="24"/>
          <w:lang w:val="en-US" w:eastAsia="zh-CN"/>
        </w:rPr>
        <w:t>在数据传入计算层后，系统首先调用 SciPy 库中的寻峰算法，对一维实验光谱数组进行遍历，自动识别出所有显著的干涉峰位置 。随后，提取相邻峰的横坐标计算平均差值</w:t>
      </w:r>
      <m:oMath>
        <m:r>
          <m:rPr>
            <m:sty m:val="p"/>
          </m:rPr>
          <w:rPr>
            <w:rFonts w:hint="default" w:ascii="Cambria Math" w:hAnsi="Cambria Math" w:eastAsia="sans-serif"/>
            <w:sz w:val="24"/>
          </w:rPr>
          <m:t>Δ</m:t>
        </m:r>
        <m:r>
          <m:rPr/>
          <w:rPr>
            <w:rFonts w:hint="default" w:ascii="Cambria Math" w:hAnsi="Cambria Math" w:eastAsia="sans-serif"/>
            <w:sz w:val="24"/>
          </w:rPr>
          <m:t>ν</m:t>
        </m:r>
      </m:oMath>
      <w:r>
        <w:rPr>
          <w:rFonts w:hint="eastAsia" w:hAnsi="Cambria Math" w:eastAsia="sans-serif"/>
          <w:i w:val="0"/>
          <w:sz w:val="24"/>
          <w:lang w:val="en-US" w:eastAsia="zh-CN"/>
        </w:rPr>
        <w:t>，并代入上述公式快速输出厚度估算值 。</w:t>
      </w:r>
    </w:p>
    <w:p w14:paraId="455B9D7C">
      <w:pPr>
        <w:pStyle w:val="5"/>
        <w:bidi w:val="0"/>
      </w:pPr>
      <w:r>
        <w:rPr>
          <w:rFonts w:hint="eastAsia"/>
          <w:lang w:val="en-US" w:eastAsia="zh-CN"/>
        </w:rPr>
        <w:t>2.2.2</w:t>
      </w:r>
      <w:r>
        <w:t>传输矩阵法 (TMM) 拟合模块</w:t>
      </w:r>
    </w:p>
    <w:p w14:paraId="458B0070">
      <w:pPr>
        <w:rPr>
          <w:rFonts w:hint="default"/>
          <w:lang w:val="en-US" w:eastAsia="zh-CN"/>
        </w:rPr>
      </w:pPr>
      <w:r>
        <w:rPr>
          <w:rFonts w:hint="default"/>
          <w:lang w:val="en-US" w:eastAsia="zh-CN"/>
        </w:rPr>
        <w:t>与峰值间距法的直接代数计算不同，传输矩阵法采用的是正向物理建模，反向迭代寻优的机制。系统首先利用光在多层膜中的传输矩阵，构建出包含未知数（厚度 d和折射率n）的理论反射光谱模型，随后通过与实验数据比对来反向求解目标参数。</w:t>
      </w:r>
    </w:p>
    <w:p w14:paraId="15AA44F0">
      <w:pPr>
        <w:rPr>
          <w:rFonts w:hint="eastAsia" w:ascii="宋体" w:hAnsi="宋体" w:cs="宋体"/>
          <w:sz w:val="24"/>
          <w:szCs w:val="24"/>
          <w:lang w:eastAsia="zh-CN"/>
        </w:rPr>
      </w:pPr>
      <w:r>
        <w:rPr>
          <w:rFonts w:ascii="宋体" w:hAnsi="宋体" w:eastAsia="宋体" w:cs="宋体"/>
          <w:sz w:val="24"/>
          <w:szCs w:val="24"/>
        </w:rPr>
        <w:t>首先根据斯涅尔折射定律计算各界面的折射角</w:t>
      </w:r>
      <w:r>
        <w:rPr>
          <w:rFonts w:hint="eastAsia" w:ascii="宋体" w:hAnsi="宋体" w:cs="宋体"/>
          <w:sz w:val="24"/>
          <w:szCs w:val="24"/>
          <w:lang w:eastAsia="zh-CN"/>
        </w:rPr>
        <w:t>：</w:t>
      </w:r>
    </w:p>
    <w:p w14:paraId="02E44C28">
      <w:pPr>
        <w:rPr>
          <w:rFonts w:hint="eastAsia" w:ascii="宋体" w:hAnsi="宋体" w:cs="宋体"/>
          <w:sz w:val="24"/>
          <w:szCs w:val="24"/>
          <w:lang w:eastAsia="zh-CN"/>
        </w:rPr>
      </w:pPr>
    </w:p>
    <w:p w14:paraId="1D480FD0">
      <w:pPr>
        <w:keepNext w:val="0"/>
        <w:keepLines w:val="0"/>
        <w:widowControl/>
        <w:suppressLineNumbers w:val="0"/>
        <w:spacing w:before="0" w:beforeAutospacing="0" w:line="12" w:lineRule="atLeast"/>
        <w:jc w:val="left"/>
        <w:rPr>
          <w:rFonts w:hint="default" w:hAnsi="Cambria Math" w:eastAsia="sans-serif"/>
          <w:i w:val="0"/>
          <w:sz w:val="24"/>
        </w:rPr>
      </w:pPr>
      <m:oMathPara>
        <m:oMath>
          <m:sSub>
            <m:sSubPr>
              <m:ctrlPr>
                <w:rPr>
                  <w:rFonts w:hint="default" w:ascii="Cambria Math" w:hAnsi="Cambria Math" w:eastAsia="sans-serif"/>
                  <w:sz w:val="24"/>
                </w:rPr>
              </m:ctrlPr>
            </m:sSubPr>
            <m:e>
              <m:r>
                <m:rPr/>
                <w:rPr>
                  <w:rFonts w:hint="default" w:ascii="Cambria Math" w:hAnsi="Cambria Math" w:eastAsia="sans-serif"/>
                  <w:sz w:val="24"/>
                </w:rPr>
                <m:t>n</m:t>
              </m:r>
              <m:ctrlPr>
                <w:rPr>
                  <w:rFonts w:ascii="Cambria Math" w:hAnsi="Cambria Math" w:eastAsia="sans-serif"/>
                  <w:sz w:val="24"/>
                </w:rPr>
              </m:ctrlPr>
            </m:e>
            <m:sub>
              <m:r>
                <m:rPr/>
                <w:rPr>
                  <w:rFonts w:hint="default" w:ascii="Cambria Math" w:hAnsi="Cambria Math" w:eastAsia="sans-serif"/>
                  <w:sz w:val="24"/>
                </w:rPr>
                <m:t>0</m:t>
              </m:r>
              <m:ctrlPr>
                <w:rPr>
                  <w:rFonts w:ascii="Cambria Math" w:hAnsi="Cambria Math" w:eastAsia="sans-serif"/>
                  <w:sz w:val="24"/>
                </w:rPr>
              </m:ctrlPr>
            </m:sub>
          </m:sSub>
          <m:func>
            <m:funcPr>
              <m:ctrlPr>
                <w:rPr>
                  <w:rFonts w:hint="default" w:ascii="Cambria Math" w:hAnsi="Cambria Math" w:eastAsia="sans-serif"/>
                  <w:sz w:val="24"/>
                </w:rPr>
              </m:ctrlPr>
            </m:funcPr>
            <m:fName>
              <m:r>
                <m:rPr>
                  <m:sty m:val="p"/>
                </m:rPr>
                <w:rPr>
                  <w:rFonts w:hint="default" w:ascii="Cambria Math" w:hAnsi="Cambria Math" w:eastAsia="sans-serif"/>
                  <w:sz w:val="24"/>
                </w:rPr>
                <m:t>sin</m:t>
              </m:r>
              <m:ctrlPr>
                <w:rPr>
                  <w:rFonts w:ascii="Cambria Math" w:hAnsi="Cambria Math" w:eastAsia="sans-serif"/>
                  <w:sz w:val="24"/>
                </w:rPr>
              </m:ctrlPr>
            </m:fName>
            <m:e>
              <m:sSub>
                <m:sSubPr>
                  <m:ctrlPr>
                    <w:rPr>
                      <w:rFonts w:hint="default" w:ascii="Cambria Math" w:hAnsi="Cambria Math" w:eastAsia="sans-serif"/>
                      <w:sz w:val="24"/>
                    </w:rPr>
                  </m:ctrlPr>
                </m:sSubPr>
                <m:e>
                  <m:r>
                    <m:rPr/>
                    <w:rPr>
                      <w:rFonts w:hint="default" w:ascii="Cambria Math" w:hAnsi="Cambria Math" w:eastAsia="sans-serif"/>
                      <w:sz w:val="24"/>
                    </w:rPr>
                    <m:t>θ</m:t>
                  </m:r>
                  <m:ctrlPr>
                    <w:rPr>
                      <w:rFonts w:ascii="Cambria Math" w:hAnsi="Cambria Math" w:eastAsia="sans-serif"/>
                      <w:sz w:val="24"/>
                    </w:rPr>
                  </m:ctrlPr>
                </m:e>
                <m:sub>
                  <m:r>
                    <m:rPr/>
                    <w:rPr>
                      <w:rFonts w:hint="default" w:ascii="Cambria Math" w:hAnsi="Cambria Math" w:eastAsia="sans-serif"/>
                      <w:sz w:val="24"/>
                    </w:rPr>
                    <m:t>0</m:t>
                  </m:r>
                  <m:ctrlPr>
                    <w:rPr>
                      <w:rFonts w:ascii="Cambria Math" w:hAnsi="Cambria Math" w:eastAsia="sans-serif"/>
                      <w:sz w:val="24"/>
                    </w:rPr>
                  </m:ctrlPr>
                </m:sub>
              </m:sSub>
              <m:ctrlPr>
                <w:rPr>
                  <w:rFonts w:hint="default" w:ascii="Cambria Math" w:hAnsi="Cambria Math" w:eastAsia="sans-serif"/>
                  <w:sz w:val="24"/>
                </w:rPr>
              </m:ctrlPr>
            </m:e>
          </m:func>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n</m:t>
              </m:r>
              <m:ctrlPr>
                <w:rPr>
                  <w:rFonts w:hint="default" w:ascii="Cambria Math" w:hAnsi="Cambria Math" w:eastAsia="sans-serif"/>
                  <w:sz w:val="24"/>
                </w:rPr>
              </m:ctrlPr>
            </m:e>
            <m:sub>
              <m:r>
                <m:rPr/>
                <w:rPr>
                  <w:rFonts w:hint="default" w:ascii="Cambria Math" w:hAnsi="Cambria Math" w:eastAsia="sans-serif"/>
                  <w:sz w:val="24"/>
                </w:rPr>
                <m:t>1</m:t>
              </m:r>
              <m:ctrlPr>
                <w:rPr>
                  <w:rFonts w:hint="default" w:ascii="Cambria Math" w:hAnsi="Cambria Math" w:eastAsia="sans-serif"/>
                  <w:sz w:val="24"/>
                </w:rPr>
              </m:ctrlPr>
            </m:sub>
          </m:sSub>
          <m:func>
            <m:funcPr>
              <m:ctrlPr>
                <w:rPr>
                  <w:rFonts w:hint="default" w:ascii="Cambria Math" w:hAnsi="Cambria Math" w:eastAsia="sans-serif"/>
                  <w:sz w:val="24"/>
                </w:rPr>
              </m:ctrlPr>
            </m:funcPr>
            <m:fName>
              <m:r>
                <m:rPr>
                  <m:sty m:val="p"/>
                </m:rPr>
                <w:rPr>
                  <w:rFonts w:hint="default" w:ascii="Cambria Math" w:hAnsi="Cambria Math" w:eastAsia="sans-serif"/>
                  <w:sz w:val="24"/>
                </w:rPr>
                <m:t>sin</m:t>
              </m:r>
              <m:ctrlPr>
                <w:rPr>
                  <w:rFonts w:hint="default" w:ascii="Cambria Math" w:hAnsi="Cambria Math" w:eastAsia="sans-serif"/>
                  <w:sz w:val="24"/>
                </w:rPr>
              </m:ctrlPr>
            </m:fName>
            <m:e>
              <m:sSub>
                <m:sSubPr>
                  <m:ctrlPr>
                    <w:rPr>
                      <w:rFonts w:hint="default" w:ascii="Cambria Math" w:hAnsi="Cambria Math" w:eastAsia="sans-serif"/>
                      <w:sz w:val="24"/>
                    </w:rPr>
                  </m:ctrlPr>
                </m:sSubPr>
                <m:e>
                  <m:r>
                    <m:rPr/>
                    <w:rPr>
                      <w:rFonts w:hint="default" w:ascii="Cambria Math" w:hAnsi="Cambria Math" w:eastAsia="sans-serif"/>
                      <w:sz w:val="24"/>
                    </w:rPr>
                    <m:t>θ</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ctrlPr>
                <w:rPr>
                  <w:rFonts w:hint="default" w:ascii="Cambria Math" w:hAnsi="Cambria Math" w:eastAsia="sans-serif"/>
                  <w:sz w:val="24"/>
                </w:rPr>
              </m:ctrlPr>
            </m:e>
          </m:func>
        </m:oMath>
      </m:oMathPara>
    </w:p>
    <w:p w14:paraId="3093B0E3">
      <w:pPr>
        <w:keepNext w:val="0"/>
        <w:keepLines w:val="0"/>
        <w:widowControl/>
        <w:suppressLineNumbers w:val="0"/>
        <w:spacing w:before="0" w:beforeAutospacing="0" w:line="12" w:lineRule="atLeast"/>
        <w:jc w:val="left"/>
        <w:rPr>
          <w:rFonts w:hint="eastAsia" w:hAnsi="Cambria Math" w:eastAsia="sans-serif"/>
          <w:i w:val="0"/>
          <w:sz w:val="24"/>
          <w:lang w:val="en-US" w:eastAsia="zh-CN"/>
        </w:rPr>
      </w:pPr>
    </w:p>
    <w:p w14:paraId="5D15F50F">
      <w:pPr>
        <w:rPr>
          <w:rFonts w:hint="eastAsia"/>
          <w:lang w:val="en-US" w:eastAsia="zh-CN"/>
        </w:rPr>
      </w:pPr>
      <w:r>
        <w:rPr>
          <w:rFonts w:hint="default"/>
          <w:lang w:val="en-US" w:eastAsia="zh-CN"/>
        </w:rPr>
        <w:t>外延层的厚度 d 是决定内部光程差与干涉条纹密度的绝对核心。光穿越外延层的相位延迟量</w:t>
      </w:r>
      <w:r>
        <w:rPr>
          <w:rFonts w:hint="eastAsia"/>
          <w:lang w:val="en-US" w:eastAsia="zh-CN"/>
        </w:rPr>
        <w:t xml:space="preserve"> </w:t>
      </w:r>
      <m:oMath>
        <m:r>
          <m:rPr/>
          <w:rPr>
            <w:rFonts w:hint="default" w:ascii="Cambria Math"/>
          </w:rPr>
          <m:t>β</m:t>
        </m:r>
      </m:oMath>
      <w:r>
        <w:rPr>
          <w:rFonts w:hint="default"/>
          <w:lang w:val="en-US" w:eastAsia="zh-CN"/>
        </w:rPr>
        <w:t xml:space="preserve"> 定义为</w:t>
      </w:r>
      <w:r>
        <w:rPr>
          <w:rFonts w:hint="eastAsia"/>
          <w:lang w:val="en-US" w:eastAsia="zh-CN"/>
        </w:rPr>
        <w:t>：</w:t>
      </w:r>
    </w:p>
    <w:p w14:paraId="05AFECAB">
      <w:pPr>
        <w:rPr>
          <w:rFonts w:hint="eastAsia"/>
          <w:lang w:val="en-US" w:eastAsia="zh-CN"/>
        </w:rPr>
      </w:pPr>
    </w:p>
    <w:p w14:paraId="15E738B2">
      <w:pPr>
        <w:keepNext w:val="0"/>
        <w:keepLines w:val="0"/>
        <w:widowControl/>
        <w:suppressLineNumbers w:val="0"/>
        <w:spacing w:before="0" w:beforeAutospacing="0" w:line="12" w:lineRule="atLeast"/>
        <w:jc w:val="left"/>
        <w:rPr>
          <w:rFonts w:hint="default"/>
          <w:lang w:val="en-US" w:eastAsia="zh-CN"/>
        </w:rPr>
      </w:pPr>
      <m:oMathPara>
        <m:oMath>
          <m:r>
            <m:rPr/>
            <w:rPr>
              <w:rFonts w:hint="default" w:ascii="Cambria Math" w:hAnsi="Cambria Math" w:eastAsia="sans-serif"/>
              <w:sz w:val="24"/>
            </w:rPr>
            <m:t>β=</m:t>
          </m:r>
          <m:f>
            <m:fPr>
              <m:ctrlPr>
                <w:rPr>
                  <w:rFonts w:hint="default" w:ascii="Cambria Math" w:hAnsi="Cambria Math" w:eastAsia="sans-serif"/>
                  <w:i/>
                  <w:sz w:val="24"/>
                </w:rPr>
              </m:ctrlPr>
            </m:fPr>
            <m:num>
              <m:r>
                <m:rPr/>
                <w:rPr>
                  <w:rFonts w:hint="default" w:ascii="Cambria Math" w:hAnsi="Cambria Math" w:eastAsia="sans-serif"/>
                  <w:sz w:val="24"/>
                </w:rPr>
                <m:t>2πnd</m:t>
              </m:r>
              <m:func>
                <m:funcPr>
                  <m:ctrlPr>
                    <w:rPr>
                      <w:rFonts w:hint="default" w:ascii="Cambria Math" w:hAnsi="Cambria Math" w:eastAsia="sans-serif"/>
                      <w:sz w:val="24"/>
                    </w:rPr>
                  </m:ctrlPr>
                </m:funcPr>
                <m:fName>
                  <m:r>
                    <m:rPr>
                      <m:sty m:val="p"/>
                    </m:rPr>
                    <w:rPr>
                      <w:rFonts w:hint="default" w:ascii="Cambria Math" w:hAnsi="Cambria Math" w:eastAsia="sans-serif"/>
                      <w:sz w:val="24"/>
                    </w:rPr>
                    <m:t>cos</m:t>
                  </m:r>
                  <m:ctrlPr>
                    <w:rPr>
                      <w:rFonts w:ascii="Cambria Math" w:hAnsi="Cambria Math" w:eastAsia="sans-serif"/>
                      <w:sz w:val="24"/>
                    </w:rPr>
                  </m:ctrlPr>
                </m:fName>
                <m:e>
                  <m:r>
                    <m:rPr/>
                    <w:rPr>
                      <w:rFonts w:hint="default" w:ascii="Cambria Math" w:hAnsi="Cambria Math" w:eastAsia="sans-serif"/>
                      <w:sz w:val="24"/>
                    </w:rPr>
                    <m:t>θ</m:t>
                  </m:r>
                  <m:ctrlPr>
                    <w:rPr>
                      <w:rFonts w:ascii="Cambria Math" w:hAnsi="Cambria Math" w:eastAsia="sans-serif"/>
                      <w:sz w:val="24"/>
                    </w:rPr>
                  </m:ctrlPr>
                </m:e>
              </m:func>
              <m:ctrlPr>
                <w:rPr>
                  <w:rFonts w:hint="default" w:ascii="Cambria Math" w:hAnsi="Cambria Math" w:eastAsia="sans-serif"/>
                  <w:sz w:val="24"/>
                </w:rPr>
              </m:ctrlPr>
            </m:num>
            <m:den>
              <m:r>
                <m:rPr/>
                <w:rPr>
                  <w:rFonts w:hint="default" w:ascii="Cambria Math" w:hAnsi="Cambria Math" w:eastAsia="sans-serif"/>
                  <w:sz w:val="24"/>
                </w:rPr>
                <m:t>λ</m:t>
              </m:r>
              <m:ctrlPr>
                <w:rPr>
                  <w:rFonts w:hint="default" w:ascii="Cambria Math" w:hAnsi="Cambria Math" w:eastAsia="sans-serif"/>
                  <w:sz w:val="24"/>
                </w:rPr>
              </m:ctrlPr>
            </m:den>
          </m:f>
        </m:oMath>
      </m:oMathPara>
    </w:p>
    <w:p w14:paraId="50114D97">
      <w:pPr>
        <w:keepNext w:val="0"/>
        <w:keepLines w:val="0"/>
        <w:widowControl/>
        <w:suppressLineNumbers w:val="0"/>
        <w:spacing w:before="0" w:beforeAutospacing="0" w:line="12" w:lineRule="atLeast"/>
        <w:jc w:val="left"/>
        <w:rPr>
          <w:rFonts w:hint="eastAsia" w:hAnsi="Cambria Math"/>
          <w:i w:val="0"/>
          <w:sz w:val="24"/>
          <w:lang w:val="en-US" w:eastAsia="zh-CN"/>
        </w:rPr>
      </w:pPr>
    </w:p>
    <w:p w14:paraId="75A9EAF0">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系统基于此相位项</w:t>
      </w:r>
      <m:oMath>
        <m:r>
          <m:rPr/>
          <w:rPr>
            <w:rFonts w:hint="default" w:ascii="Cambria Math" w:hAnsi="Cambria Math"/>
            <w:sz w:val="24"/>
            <w:lang w:val="en-US" w:eastAsia="zh-CN"/>
          </w:rPr>
          <m:t xml:space="preserve"> </m:t>
        </m:r>
        <m:r>
          <m:rPr/>
          <w:rPr>
            <w:rFonts w:hint="default" w:ascii="Cambria Math"/>
          </w:rPr>
          <m:t>β</m:t>
        </m:r>
      </m:oMath>
      <w:r>
        <w:rPr>
          <w:rFonts w:hint="eastAsia" w:hAnsi="Cambria Math"/>
          <w:i w:val="0"/>
          <w:sz w:val="24"/>
          <w:lang w:val="en-US" w:eastAsia="zh-CN"/>
        </w:rPr>
        <w:t xml:space="preserve"> ，结合界面的菲涅尔反射系数</w:t>
      </w:r>
      <m:oMath>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01</m:t>
            </m:r>
            <m:ctrlPr>
              <w:rPr>
                <w:rFonts w:ascii="Cambria Math" w:hAnsi="Cambria Math" w:eastAsia="宋体"/>
                <w:sz w:val="24"/>
              </w:rPr>
            </m:ctrlPr>
          </m:sub>
        </m:sSub>
        <m:r>
          <m:rPr>
            <m:sty m:val="p"/>
          </m:rPr>
          <w:rPr>
            <w:rFonts w:hint="default" w:ascii="Cambria Math" w:hAnsi="Cambria Math" w:eastAsia="宋体"/>
            <w:sz w:val="24"/>
          </w:rPr>
          <m:t>和</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12</m:t>
            </m:r>
            <m:ctrlPr>
              <w:rPr>
                <w:rFonts w:ascii="Cambria Math" w:hAnsi="Cambria Math" w:eastAsia="宋体"/>
                <w:sz w:val="24"/>
              </w:rPr>
            </m:ctrlPr>
          </m:sub>
        </m:sSub>
        <m:r>
          <m:rPr>
            <m:sty m:val="p"/>
          </m:rPr>
          <w:rPr>
            <w:rFonts w:hint="default" w:ascii="Cambria Math" w:hAnsi="Cambria Math" w:eastAsia="宋体"/>
            <w:sz w:val="24"/>
          </w:rPr>
          <m:t>）</m:t>
        </m:r>
      </m:oMath>
      <w:r>
        <w:rPr>
          <w:rFonts w:hint="eastAsia" w:hAnsi="Cambria Math"/>
          <w:i w:val="0"/>
          <w:sz w:val="24"/>
          <w:lang w:val="en-US" w:eastAsia="zh-CN"/>
        </w:rPr>
        <w:t>推导传输矩阵，并计算出系统的总反射系数r。</w:t>
      </w:r>
    </w:p>
    <w:p w14:paraId="395FE9DA">
      <w:pPr>
        <w:keepNext w:val="0"/>
        <w:keepLines w:val="0"/>
        <w:widowControl/>
        <w:suppressLineNumbers w:val="0"/>
        <w:spacing w:before="0" w:beforeAutospacing="0" w:line="12" w:lineRule="atLeast"/>
        <w:jc w:val="left"/>
        <w:rPr>
          <w:rFonts w:hint="eastAsia" w:hAnsi="Cambria Math"/>
          <w:i w:val="0"/>
          <w:sz w:val="24"/>
          <w:lang w:val="en-US" w:eastAsia="zh-CN"/>
        </w:rPr>
      </w:pPr>
      <m:oMathPara>
        <m:oMath>
          <m:r>
            <m:rPr/>
            <w:rPr>
              <w:rFonts w:hint="default" w:ascii="Cambria Math" w:hAnsi="Cambria Math" w:eastAsia="sans-serif"/>
              <w:sz w:val="24"/>
            </w:rPr>
            <m:t>r=</m:t>
          </m:r>
          <m:f>
            <m:fPr>
              <m:ctrlPr>
                <w:rPr>
                  <w:rFonts w:hint="default" w:ascii="Cambria Math" w:hAnsi="Cambria Math" w:eastAsia="sans-serif"/>
                  <w:i/>
                  <w:sz w:val="24"/>
                </w:rPr>
              </m:ctrlPr>
            </m:fPr>
            <m:num>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01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12</m:t>
                  </m:r>
                  <m:ctrlPr>
                    <w:rPr>
                      <w:rFonts w:ascii="Cambria Math" w:hAnsi="Cambria Math" w:eastAsia="sans-serif"/>
                      <w:sz w:val="24"/>
                    </w:rPr>
                  </m:ctrlPr>
                </m:sub>
              </m:sSub>
              <m:sSup>
                <m:sSupPr>
                  <m:ctrlPr>
                    <w:rPr>
                      <w:rFonts w:hint="default" w:ascii="Cambria Math" w:hAnsi="Cambria Math" w:eastAsia="sans-serif"/>
                      <w:sz w:val="24"/>
                    </w:rPr>
                  </m:ctrlPr>
                </m:sSupPr>
                <m:e>
                  <m:r>
                    <m:rPr/>
                    <w:rPr>
                      <w:rFonts w:hint="default" w:ascii="Cambria Math" w:hAnsi="Cambria Math" w:eastAsia="sans-serif"/>
                      <w:sz w:val="24"/>
                    </w:rPr>
                    <m:t>e</m:t>
                  </m:r>
                  <m:ctrlPr>
                    <w:rPr>
                      <w:rFonts w:ascii="Cambria Math" w:hAnsi="Cambria Math" w:eastAsia="sans-serif"/>
                      <w:sz w:val="24"/>
                    </w:rPr>
                  </m:ctrlPr>
                </m:e>
                <m:sup>
                  <m:r>
                    <m:rPr/>
                    <w:rPr>
                      <w:rFonts w:hint="default" w:ascii="Cambria Math" w:hAnsi="Cambria Math" w:eastAsia="sans-serif"/>
                      <w:sz w:val="24"/>
                    </w:rPr>
                    <m:t>2iβ</m:t>
                  </m:r>
                  <m:ctrlPr>
                    <w:rPr>
                      <w:rFonts w:ascii="Cambria Math" w:hAnsi="Cambria Math" w:eastAsia="sans-serif"/>
                      <w:sz w:val="24"/>
                    </w:rPr>
                  </m:ctrlPr>
                </m:sup>
              </m:sSup>
              <m:ctrlPr>
                <w:rPr>
                  <w:rFonts w:hint="default" w:ascii="Cambria Math" w:hAnsi="Cambria Math" w:eastAsia="sans-serif"/>
                  <w:sz w:val="24"/>
                </w:rPr>
              </m:ctrlPr>
            </m:num>
            <m:den>
              <m:r>
                <m:rPr/>
                <w:rPr>
                  <w:rFonts w:hint="default" w:ascii="Cambria Math" w:hAnsi="Cambria Math" w:eastAsia="sans-serif"/>
                  <w:sz w:val="24"/>
                </w:rPr>
                <m:t>1+</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01</m:t>
                  </m:r>
                  <m:ctrlPr>
                    <w:rPr>
                      <w:rFonts w:ascii="Cambria Math" w:hAnsi="Cambria Math" w:eastAsia="sans-serif"/>
                      <w:sz w:val="24"/>
                    </w:rPr>
                  </m:ctrlPr>
                </m:sub>
              </m:sSub>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12</m:t>
                  </m:r>
                  <m:ctrlPr>
                    <w:rPr>
                      <w:rFonts w:ascii="Cambria Math" w:hAnsi="Cambria Math" w:eastAsia="sans-serif"/>
                      <w:sz w:val="24"/>
                    </w:rPr>
                  </m:ctrlPr>
                </m:sub>
              </m:sSub>
              <m:sSup>
                <m:sSupPr>
                  <m:ctrlPr>
                    <w:rPr>
                      <w:rFonts w:hint="default" w:ascii="Cambria Math" w:hAnsi="Cambria Math" w:eastAsia="sans-serif"/>
                      <w:sz w:val="24"/>
                    </w:rPr>
                  </m:ctrlPr>
                </m:sSupPr>
                <m:e>
                  <m:r>
                    <m:rPr/>
                    <w:rPr>
                      <w:rFonts w:hint="default" w:ascii="Cambria Math" w:hAnsi="Cambria Math" w:eastAsia="sans-serif"/>
                      <w:sz w:val="24"/>
                    </w:rPr>
                    <m:t>e</m:t>
                  </m:r>
                  <m:ctrlPr>
                    <w:rPr>
                      <w:rFonts w:ascii="Cambria Math" w:hAnsi="Cambria Math" w:eastAsia="sans-serif"/>
                      <w:sz w:val="24"/>
                    </w:rPr>
                  </m:ctrlPr>
                </m:e>
                <m:sup>
                  <m:r>
                    <m:rPr/>
                    <w:rPr>
                      <w:rFonts w:hint="default" w:ascii="Cambria Math" w:hAnsi="Cambria Math" w:eastAsia="sans-serif"/>
                      <w:sz w:val="24"/>
                    </w:rPr>
                    <m:t>2iβ</m:t>
                  </m:r>
                  <m:ctrlPr>
                    <w:rPr>
                      <w:rFonts w:ascii="Cambria Math" w:hAnsi="Cambria Math" w:eastAsia="sans-serif"/>
                      <w:sz w:val="24"/>
                    </w:rPr>
                  </m:ctrlPr>
                </m:sup>
              </m:sSup>
              <m:ctrlPr>
                <w:rPr>
                  <w:rFonts w:hint="default" w:ascii="Cambria Math" w:hAnsi="Cambria Math" w:eastAsia="sans-serif"/>
                  <w:sz w:val="24"/>
                </w:rPr>
              </m:ctrlPr>
            </m:den>
          </m:f>
        </m:oMath>
      </m:oMathPara>
    </w:p>
    <w:p w14:paraId="116C5492">
      <w:pPr>
        <w:keepNext w:val="0"/>
        <w:keepLines w:val="0"/>
        <w:widowControl/>
        <w:suppressLineNumbers w:val="0"/>
        <w:spacing w:before="0" w:beforeAutospacing="0" w:line="12" w:lineRule="atLeast"/>
        <w:jc w:val="left"/>
        <w:rPr>
          <w:rFonts w:hint="eastAsia" w:hAnsi="Cambria Math"/>
          <w:i w:val="0"/>
          <w:sz w:val="24"/>
          <w:lang w:val="en-US" w:eastAsia="zh-CN"/>
        </w:rPr>
      </w:pPr>
    </w:p>
    <w:p w14:paraId="0ED34E81">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此时，理论反射率 R 实质上是一个关于待求厚度 d 的函数：</w:t>
      </w:r>
    </w:p>
    <w:p w14:paraId="7A1DF7A0">
      <w:pPr>
        <w:keepNext w:val="0"/>
        <w:keepLines w:val="0"/>
        <w:widowControl/>
        <w:suppressLineNumbers w:val="0"/>
        <w:spacing w:before="0" w:beforeAutospacing="0" w:line="12" w:lineRule="atLeast"/>
        <w:jc w:val="left"/>
        <w:rPr>
          <w:rFonts w:hint="eastAsia" w:hAnsi="Cambria Math"/>
          <w:i w:val="0"/>
          <w:sz w:val="24"/>
          <w:lang w:val="en-US" w:eastAsia="zh-CN"/>
        </w:rPr>
      </w:pPr>
    </w:p>
    <w:p w14:paraId="13246574">
      <w:pPr>
        <w:keepNext w:val="0"/>
        <w:keepLines w:val="0"/>
        <w:widowControl/>
        <w:suppressLineNumbers w:val="0"/>
        <w:spacing w:before="0" w:beforeAutospacing="0" w:line="12" w:lineRule="atLeast"/>
        <w:jc w:val="left"/>
        <w:rPr>
          <w:rFonts w:hint="eastAsia" w:hAnsi="Cambria Math"/>
          <w:i w:val="0"/>
          <w:sz w:val="24"/>
          <w:lang w:val="en-US" w:eastAsia="zh-CN"/>
        </w:rPr>
      </w:pPr>
      <m:oMathPara>
        <m:oMath>
          <m:r>
            <m:rPr/>
            <w:rPr>
              <w:rFonts w:hint="default" w:ascii="Cambria Math" w:hAnsi="Cambria Math" w:eastAsia="sans-serif"/>
              <w:sz w:val="24"/>
            </w:rPr>
            <m:t>R=f(d,n,λ)</m:t>
          </m:r>
        </m:oMath>
      </m:oMathPara>
    </w:p>
    <w:p w14:paraId="779567C7">
      <w:pPr>
        <w:keepNext w:val="0"/>
        <w:keepLines w:val="0"/>
        <w:widowControl/>
        <w:suppressLineNumbers w:val="0"/>
        <w:spacing w:before="0" w:beforeAutospacing="0" w:line="12" w:lineRule="atLeast"/>
        <w:jc w:val="left"/>
        <w:rPr>
          <w:rFonts w:hint="eastAsia" w:hAnsi="Cambria Math"/>
          <w:i w:val="0"/>
          <w:sz w:val="24"/>
          <w:lang w:val="en-US" w:eastAsia="zh-CN"/>
        </w:rPr>
      </w:pPr>
    </w:p>
    <w:p w14:paraId="08825714">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系统将实验采集的光谱作为基准，构建均方误差 (MSE) 评价函数。代码通过优化算法网格搜索，在合理的物理参数空间内不断尝试不同的厚度值d（及折射率 n），动态生成对应的理论光谱。当理论光谱与实验光谱的波形重合度最高、即 MSE 达到极小值时，算法停止迭代，此时系统锁定的变量 d 即为反演得出的最终外延层厚度。 这种将物理模型与数值优化结合的方式，极大地弥补了峰值间</w:t>
      </w:r>
    </w:p>
    <w:p w14:paraId="2C83C0E7">
      <w:pPr>
        <w:keepNext w:val="0"/>
        <w:keepLines w:val="0"/>
        <w:widowControl/>
        <w:suppressLineNumbers w:val="0"/>
        <w:spacing w:before="0" w:beforeAutospacing="0" w:line="12" w:lineRule="atLeast"/>
        <w:jc w:val="left"/>
        <w:rPr>
          <w:rFonts w:hint="eastAsia" w:hAnsi="Cambria Math"/>
          <w:i w:val="0"/>
          <w:sz w:val="24"/>
          <w:lang w:val="en-US" w:eastAsia="zh-CN"/>
        </w:rPr>
      </w:pPr>
      <w:r>
        <w:rPr>
          <w:rFonts w:hint="eastAsia" w:hAnsi="Cambria Math"/>
          <w:i w:val="0"/>
          <w:sz w:val="24"/>
          <w:lang w:val="en-US" w:eastAsia="zh-CN"/>
        </w:rPr>
        <w:t>距法精度上限的问题。</w:t>
      </w:r>
    </w:p>
    <w:p w14:paraId="23AA90B6">
      <w:pPr>
        <w:keepNext w:val="0"/>
        <w:keepLines w:val="0"/>
        <w:widowControl/>
        <w:suppressLineNumbers w:val="0"/>
        <w:spacing w:before="0" w:beforeAutospacing="0" w:line="12" w:lineRule="atLeast"/>
        <w:jc w:val="left"/>
        <w:rPr>
          <w:rFonts w:hint="eastAsia" w:hAnsi="Cambria Math"/>
          <w:i w:val="0"/>
          <w:sz w:val="24"/>
          <w:lang w:val="en-US" w:eastAsia="zh-CN"/>
        </w:rPr>
      </w:pPr>
    </w:p>
    <w:p w14:paraId="76EE260E">
      <w:pPr>
        <w:pStyle w:val="4"/>
        <w:bidi w:val="0"/>
        <w:rPr>
          <w:rFonts w:hint="eastAsia"/>
          <w:lang w:val="en-US" w:eastAsia="zh-CN"/>
        </w:rPr>
      </w:pPr>
      <w:bookmarkStart w:id="9" w:name="_Toc31023"/>
      <w:r>
        <w:rPr>
          <w:rFonts w:hint="eastAsia"/>
          <w:lang w:val="en-US" w:eastAsia="zh-CN"/>
        </w:rPr>
        <w:t xml:space="preserve">2.3 </w:t>
      </w:r>
      <w:r>
        <w:t>固定折射率反演</w:t>
      </w:r>
      <w:r>
        <w:rPr>
          <w:rFonts w:hint="eastAsia"/>
          <w:lang w:val="en-US" w:eastAsia="zh-CN"/>
        </w:rPr>
        <w:t>与联合</w:t>
      </w:r>
      <w:r>
        <w:t>反演</w:t>
      </w:r>
      <w:r>
        <w:rPr>
          <w:rFonts w:hint="eastAsia"/>
          <w:lang w:val="en-US" w:eastAsia="zh-CN"/>
        </w:rPr>
        <w:t>算法</w:t>
      </w:r>
      <w:bookmarkEnd w:id="9"/>
    </w:p>
    <w:p w14:paraId="51C1CA73">
      <w:pPr>
        <w:rPr>
          <w:rFonts w:hint="default" w:eastAsia="宋体"/>
          <w:lang w:val="en-US" w:eastAsia="zh-CN"/>
        </w:rPr>
      </w:pPr>
      <w:r>
        <w:rPr>
          <w:rFonts w:hint="eastAsia"/>
          <w:lang w:val="en-US" w:eastAsia="zh-CN"/>
        </w:rPr>
        <w:t>分析系统设置了</w:t>
      </w:r>
      <w:r>
        <w:t>固定折射率反演</w:t>
      </w:r>
      <w:r>
        <w:rPr>
          <w:rFonts w:hint="eastAsia"/>
          <w:lang w:val="en-US" w:eastAsia="zh-CN"/>
        </w:rPr>
        <w:t>与联合</w:t>
      </w:r>
      <w:r>
        <w:t>反演</w:t>
      </w:r>
      <w:r>
        <w:rPr>
          <w:rFonts w:hint="eastAsia"/>
          <w:lang w:val="en-US" w:eastAsia="zh-CN"/>
        </w:rPr>
        <w:t>两种不同算法，适用于不同使用场景的需求</w:t>
      </w:r>
    </w:p>
    <w:p w14:paraId="41B89335">
      <w:pPr>
        <w:pStyle w:val="5"/>
        <w:bidi w:val="0"/>
      </w:pPr>
      <w:r>
        <w:rPr>
          <w:rFonts w:hint="eastAsia"/>
          <w:lang w:val="en-US" w:eastAsia="zh-CN"/>
        </w:rPr>
        <w:t xml:space="preserve">2.3.1 </w:t>
      </w:r>
      <w:r>
        <w:t>固定折射率反演</w:t>
      </w:r>
    </w:p>
    <w:p w14:paraId="56F5E6B1">
      <w:r>
        <w:rPr>
          <w:lang w:val="en-US" w:eastAsia="zh-CN"/>
        </w:rPr>
        <w:t>在这种模式下，系统假设外延层的折射率</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film</m:t>
            </m:r>
            <m:ctrlPr>
              <w:rPr>
                <w:rFonts w:hint="default" w:ascii="Cambria Math"/>
              </w:rPr>
            </m:ctrlPr>
          </m:sub>
        </m:sSub>
      </m:oMath>
      <w:r>
        <w:rPr>
          <w:lang w:val="en-US" w:eastAsia="zh-CN"/>
        </w:rPr>
        <w:t>是一个</w:t>
      </w:r>
      <w:r>
        <w:rPr>
          <w:rFonts w:hint="default"/>
          <w:lang w:val="en-US" w:eastAsia="zh-CN"/>
        </w:rPr>
        <w:t>绝对已知且恒定</w:t>
      </w:r>
      <w:r>
        <w:rPr>
          <w:lang w:val="en-US" w:eastAsia="zh-CN"/>
        </w:rPr>
        <w:t>的物理量。 因为干涉条纹的特征（如相邻峰的间距</w:t>
      </w:r>
      <m:oMath>
        <m:r>
          <m:rPr>
            <m:sty m:val="p"/>
          </m:rPr>
          <w:rPr>
            <w:rFonts w:hint="default" w:ascii="Cambria Math"/>
          </w:rPr>
          <m:t>Δ</m:t>
        </m:r>
        <m:r>
          <m:rPr/>
          <w:rPr>
            <w:rFonts w:hint="default" w:ascii="Cambria Math"/>
          </w:rPr>
          <m:t>ν</m:t>
        </m:r>
      </m:oMath>
      <w:r>
        <w:rPr>
          <w:lang w:val="en-US" w:eastAsia="zh-CN"/>
        </w:rPr>
        <w:t>）主要由光程差决定，而光程差正比于</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film</m:t>
            </m:r>
            <m:ctrlPr>
              <w:rPr>
                <w:rFonts w:hint="default" w:ascii="Cambria Math"/>
              </w:rPr>
            </m:ctrlPr>
          </m:sub>
        </m:sSub>
        <m:r>
          <m:rPr>
            <m:sty m:val="p"/>
          </m:rPr>
          <w:rPr>
            <w:rFonts w:hint="default" w:ascii="Cambria Math"/>
          </w:rPr>
          <m:t>×</m:t>
        </m:r>
        <m:r>
          <m:rPr/>
          <w:rPr>
            <w:rFonts w:hint="default" w:ascii="Cambria Math"/>
          </w:rPr>
          <m:t>d</m:t>
        </m:r>
      </m:oMath>
      <w:r>
        <w:rPr>
          <w:lang w:val="en-US" w:eastAsia="zh-CN"/>
        </w:rPr>
        <w:t xml:space="preserve">。既然 </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film</m:t>
            </m:r>
            <m:ctrlPr>
              <w:rPr>
                <w:rFonts w:hint="default" w:ascii="Cambria Math"/>
              </w:rPr>
            </m:ctrlPr>
          </m:sub>
        </m:sSub>
      </m:oMath>
      <w:r>
        <w:rPr>
          <w:lang w:val="en-US" w:eastAsia="zh-CN"/>
        </w:rPr>
        <w:t xml:space="preserve"> 已知，算法只需要在一维空间内变动厚度 </w:t>
      </w:r>
      <w:r>
        <w:rPr>
          <w:rFonts w:hint="default"/>
          <w:lang w:val="en-US" w:eastAsia="zh-CN"/>
        </w:rPr>
        <w:t>d</w:t>
      </w:r>
      <w:r>
        <w:rPr>
          <w:lang w:val="en-US" w:eastAsia="zh-CN"/>
        </w:rPr>
        <w:t xml:space="preserve"> 的值，生成对应的理论反射率曲线，并与实验数据计算均方误差（MSE），找到使 MSE 最小的</w:t>
      </w:r>
      <w:r>
        <w:rPr>
          <w:rFonts w:hint="default"/>
          <w:lang w:val="en-US" w:eastAsia="zh-CN"/>
        </w:rPr>
        <w:t>d</w:t>
      </w:r>
      <w:r>
        <w:rPr>
          <w:lang w:val="en-US" w:eastAsia="zh-CN"/>
        </w:rPr>
        <w:t>。</w:t>
      </w:r>
    </w:p>
    <w:p w14:paraId="3B06167A">
      <w:pPr>
        <w:keepNext w:val="0"/>
        <w:keepLines w:val="0"/>
        <w:widowControl/>
        <w:suppressLineNumbers w:val="0"/>
        <w:spacing w:before="0" w:beforeAutospacing="0" w:line="12" w:lineRule="atLeast"/>
        <w:jc w:val="left"/>
        <w:rPr>
          <w:rFonts w:hint="eastAsia" w:hAnsi="Cambria Math"/>
          <w:i w:val="0"/>
          <w:sz w:val="24"/>
          <w:lang w:val="en-US" w:eastAsia="zh-CN"/>
        </w:rPr>
        <w:sectPr>
          <w:footerReference r:id="rId6" w:type="default"/>
          <w:pgSz w:w="11906" w:h="16838"/>
          <w:pgMar w:top="1440" w:right="1797" w:bottom="1440" w:left="1797" w:header="851" w:footer="992" w:gutter="0"/>
          <w:pgNumType w:fmt="decimal" w:start="1"/>
          <w:cols w:space="720" w:num="1"/>
          <w:docGrid w:type="lines" w:linePitch="312" w:charSpace="0"/>
        </w:sectPr>
      </w:pPr>
    </w:p>
    <w:p w14:paraId="44F6D091">
      <w:pPr>
        <w:rPr>
          <w:rFonts w:hint="default" w:eastAsia="宋体"/>
          <w:lang w:val="en-US" w:eastAsia="zh-CN"/>
        </w:rPr>
      </w:pPr>
      <w:r>
        <w:rPr>
          <w:rFonts w:hint="eastAsia"/>
          <w:lang w:val="en-US" w:eastAsia="zh-CN"/>
        </w:rPr>
        <w:t>代码预设：</w:t>
      </w:r>
    </w:p>
    <w:p w14:paraId="61F7B00F">
      <w:pPr>
        <w:keepNext w:val="0"/>
        <w:keepLines w:val="0"/>
        <w:widowControl/>
        <w:suppressLineNumbers w:val="0"/>
        <w:spacing w:before="0" w:beforeAutospacing="0" w:line="12" w:lineRule="atLeast"/>
        <w:jc w:val="center"/>
      </w:pPr>
      <w:r>
        <w:drawing>
          <wp:inline distT="0" distB="0" distL="114300" distR="114300">
            <wp:extent cx="4272280" cy="2179320"/>
            <wp:effectExtent l="0" t="0" r="7620" b="508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11"/>
                    <a:stretch>
                      <a:fillRect/>
                    </a:stretch>
                  </pic:blipFill>
                  <pic:spPr>
                    <a:xfrm>
                      <a:off x="0" y="0"/>
                      <a:ext cx="4272280" cy="2179320"/>
                    </a:xfrm>
                    <a:prstGeom prst="rect">
                      <a:avLst/>
                    </a:prstGeom>
                    <a:noFill/>
                    <a:ln>
                      <a:noFill/>
                    </a:ln>
                  </pic:spPr>
                </pic:pic>
              </a:graphicData>
            </a:graphic>
          </wp:inline>
        </w:drawing>
      </w:r>
    </w:p>
    <w:p w14:paraId="6304A573">
      <w:pPr>
        <w:pStyle w:val="6"/>
        <w:keepNext w:val="0"/>
        <w:keepLines w:val="0"/>
        <w:widowControl/>
        <w:suppressLineNumbers w:val="0"/>
        <w:spacing w:before="0" w:beforeAutospacing="0" w:line="12" w:lineRule="atLeast"/>
        <w:jc w:val="center"/>
      </w:pPr>
      <w:r>
        <w:t xml:space="preserve">图 </w:t>
      </w:r>
      <w:r>
        <w:fldChar w:fldCharType="begin"/>
      </w:r>
      <w:r>
        <w:instrText xml:space="preserve"> SEQ 图 \* ARABIC </w:instrText>
      </w:r>
      <w:r>
        <w:fldChar w:fldCharType="separate"/>
      </w:r>
      <w:r>
        <w:t>3</w:t>
      </w:r>
      <w:r>
        <w:fldChar w:fldCharType="end"/>
      </w:r>
    </w:p>
    <w:p w14:paraId="437DAC67">
      <w:pPr>
        <w:pStyle w:val="5"/>
        <w:bidi w:val="0"/>
      </w:pPr>
      <w:r>
        <w:rPr>
          <w:rFonts w:hint="eastAsia"/>
          <w:lang w:val="en-US" w:eastAsia="zh-CN"/>
        </w:rPr>
        <w:t>2.3.2</w:t>
      </w:r>
      <w:r>
        <w:t>联合反演</w:t>
      </w:r>
    </w:p>
    <w:p w14:paraId="38614CF1">
      <w:pPr>
        <w:rPr>
          <w:rFonts w:hint="eastAsia"/>
          <w:lang w:val="en-US" w:eastAsia="zh-CN"/>
        </w:rPr>
      </w:pPr>
      <w:r>
        <w:rPr>
          <w:rFonts w:hint="eastAsia"/>
          <w:lang w:val="en-US" w:eastAsia="zh-CN"/>
        </w:rPr>
        <w:t>联合反演打破了折射率是理想常数的假设。认为厚度d 和 折射率</w:t>
      </w:r>
      <m:oMath>
        <m:r>
          <m:rPr>
            <m:sty m:val="p"/>
          </m:rPr>
          <w:rPr>
            <w:rFonts w:hint="default" w:ascii="Cambria Math"/>
            <w:lang w:val="en-US" w:eastAsia="zh-CN"/>
          </w:rPr>
          <m:t xml:space="preserve"> </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film</m:t>
            </m:r>
            <m:ctrlPr>
              <w:rPr>
                <w:rFonts w:hint="default" w:ascii="Cambria Math"/>
              </w:rPr>
            </m:ctrlPr>
          </m:sub>
        </m:sSub>
      </m:oMath>
      <w:r>
        <w:rPr>
          <w:rFonts w:hint="eastAsia"/>
          <w:lang w:val="en-US" w:eastAsia="zh-CN"/>
        </w:rPr>
        <w:t xml:space="preserve"> 都是未知数。</w:t>
      </w:r>
    </w:p>
    <w:p w14:paraId="09D80F6C">
      <w:pPr>
        <w:rPr>
          <w:rFonts w:hint="eastAsia"/>
          <w:lang w:val="en-US" w:eastAsia="zh-CN"/>
        </w:rPr>
      </w:pPr>
      <w:r>
        <w:rPr>
          <w:rFonts w:hint="eastAsia"/>
          <w:lang w:val="en-US" w:eastAsia="zh-CN"/>
        </w:rPr>
        <w:t>在光学薄膜干涉中：</w:t>
      </w:r>
    </w:p>
    <w:p w14:paraId="4A60F512">
      <w:pPr>
        <w:rPr>
          <w:rFonts w:hint="eastAsia"/>
          <w:lang w:val="en-US" w:eastAsia="zh-CN"/>
        </w:rPr>
      </w:pPr>
      <w:r>
        <w:rPr>
          <w:rFonts w:hint="eastAsia"/>
          <w:lang w:val="en-US" w:eastAsia="zh-CN"/>
        </w:rPr>
        <w:t>厚度d主要决定干涉条纹的疏密程度，即频率。</w:t>
      </w:r>
    </w:p>
    <w:p w14:paraId="20C50D78">
      <w:pPr>
        <w:rPr>
          <w:rFonts w:hint="eastAsia"/>
          <w:lang w:val="en-US" w:eastAsia="zh-CN"/>
        </w:rPr>
      </w:pPr>
      <w:r>
        <w:rPr>
          <w:rFonts w:hint="eastAsia"/>
          <w:lang w:val="en-US" w:eastAsia="zh-CN"/>
        </w:rPr>
        <w:t xml:space="preserve">折射率 </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film</m:t>
            </m:r>
            <m:ctrlPr>
              <w:rPr>
                <w:rFonts w:hint="default" w:ascii="Cambria Math"/>
              </w:rPr>
            </m:ctrlPr>
          </m:sub>
        </m:sSub>
      </m:oMath>
      <w:r>
        <w:rPr>
          <w:rFonts w:hint="eastAsia"/>
          <w:lang w:val="en-US" w:eastAsia="zh-CN"/>
        </w:rPr>
        <w:t>（相对于基底的折射率差）主要决定干涉条纹的上下振幅，即对比度。</w:t>
      </w:r>
    </w:p>
    <w:p w14:paraId="5FEFFE25">
      <w:pPr>
        <w:rPr>
          <w:rFonts w:hint="eastAsia"/>
          <w:lang w:val="en-US" w:eastAsia="zh-CN"/>
        </w:rPr>
      </w:pPr>
    </w:p>
    <w:p w14:paraId="6FF678D7">
      <w:pPr>
        <w:rPr>
          <w:rFonts w:hint="default"/>
          <w:lang w:val="en-US" w:eastAsia="zh-CN"/>
        </w:rPr>
      </w:pPr>
      <w:r>
        <w:rPr>
          <w:rFonts w:hint="eastAsia"/>
          <w:lang w:val="en-US" w:eastAsia="zh-CN"/>
        </w:rPr>
        <w:t>联合反演会在一个二维网格（2D Grid）中同时遍历</w:t>
      </w:r>
      <m:oMath>
        <m:r>
          <m:rPr>
            <m:sty m:val="p"/>
          </m:rPr>
          <w:rPr>
            <w:rFonts w:hint="default" w:ascii="Cambria Math"/>
            <w:lang w:val="en-US" w:eastAsia="zh-CN"/>
          </w:rPr>
          <m:t xml:space="preserve"> </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film</m:t>
            </m:r>
            <m:ctrlPr>
              <w:rPr>
                <w:rFonts w:hint="default" w:ascii="Cambria Math"/>
              </w:rPr>
            </m:ctrlPr>
          </m:sub>
        </m:sSub>
      </m:oMath>
      <w:r>
        <w:rPr>
          <w:rFonts w:hint="eastAsia"/>
          <w:lang w:val="en-US" w:eastAsia="zh-CN"/>
        </w:rPr>
        <w:t xml:space="preserve"> 的可能范围和d的可能范围。只有当某一对(n, d)组合不仅让条纹的峰对齐，还让条纹与实验数据最贴合时，MSE 才会达到真正的全局最小。</w:t>
      </w:r>
    </w:p>
    <w:p w14:paraId="7A405A2D">
      <w:pPr>
        <w:rPr>
          <w:rFonts w:hint="default"/>
          <w:lang w:val="en-US" w:eastAsia="zh-CN"/>
        </w:rPr>
      </w:pPr>
    </w:p>
    <w:p w14:paraId="68083883">
      <w:pPr>
        <w:jc w:val="center"/>
      </w:pPr>
      <w:r>
        <w:drawing>
          <wp:inline distT="0" distB="0" distL="114300" distR="114300">
            <wp:extent cx="4828540" cy="2336800"/>
            <wp:effectExtent l="0" t="0" r="10160" b="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12"/>
                    <a:stretch>
                      <a:fillRect/>
                    </a:stretch>
                  </pic:blipFill>
                  <pic:spPr>
                    <a:xfrm>
                      <a:off x="0" y="0"/>
                      <a:ext cx="4828540" cy="2336800"/>
                    </a:xfrm>
                    <a:prstGeom prst="rect">
                      <a:avLst/>
                    </a:prstGeom>
                    <a:noFill/>
                    <a:ln>
                      <a:noFill/>
                    </a:ln>
                  </pic:spPr>
                </pic:pic>
              </a:graphicData>
            </a:graphic>
          </wp:inline>
        </w:drawing>
      </w:r>
    </w:p>
    <w:p w14:paraId="6316D579">
      <w:pPr>
        <w:pStyle w:val="6"/>
        <w:jc w:val="center"/>
      </w:pPr>
      <w:r>
        <w:t xml:space="preserve">图 </w:t>
      </w:r>
      <w:r>
        <w:fldChar w:fldCharType="begin"/>
      </w:r>
      <w:r>
        <w:instrText xml:space="preserve"> SEQ 图 \* ARABIC </w:instrText>
      </w:r>
      <w:r>
        <w:fldChar w:fldCharType="separate"/>
      </w:r>
      <w:r>
        <w:t>4</w:t>
      </w:r>
      <w:r>
        <w:fldChar w:fldCharType="end"/>
      </w:r>
    </w:p>
    <w:p w14:paraId="05B4345D"/>
    <w:p w14:paraId="524D96A5">
      <w:pPr>
        <w:pStyle w:val="3"/>
        <w:numPr>
          <w:ilvl w:val="0"/>
          <w:numId w:val="0"/>
        </w:numPr>
        <w:bidi w:val="0"/>
        <w:rPr>
          <w:rFonts w:hint="default"/>
          <w:lang w:val="en-US" w:eastAsia="zh-CN"/>
        </w:rPr>
      </w:pPr>
      <w:bookmarkStart w:id="10" w:name="_Toc17916"/>
      <w:r>
        <w:rPr>
          <w:rFonts w:hint="eastAsia"/>
          <w:lang w:val="en-US" w:eastAsia="zh-CN"/>
        </w:rPr>
        <w:t>3.可视化实现及验证</w:t>
      </w:r>
      <w:bookmarkEnd w:id="10"/>
    </w:p>
    <w:p w14:paraId="6A220B52">
      <w:pPr>
        <w:pStyle w:val="4"/>
        <w:bidi w:val="0"/>
        <w:rPr>
          <w:rFonts w:hint="eastAsia"/>
          <w:lang w:val="en-US" w:eastAsia="zh-CN"/>
        </w:rPr>
      </w:pPr>
      <w:bookmarkStart w:id="11" w:name="_Toc28612"/>
      <w:r>
        <w:rPr>
          <w:rFonts w:hint="eastAsia"/>
          <w:lang w:val="en-US" w:eastAsia="zh-CN"/>
        </w:rPr>
        <w:t>3.1 可视化实现</w:t>
      </w:r>
      <w:bookmarkEnd w:id="11"/>
    </w:p>
    <w:p w14:paraId="5179987D">
      <w:pPr>
        <w:widowControl w:val="0"/>
        <w:spacing w:line="360" w:lineRule="auto"/>
        <w:jc w:val="both"/>
        <w:rPr>
          <w:rFonts w:hint="eastAsia" w:ascii="Times New Roman" w:hAnsi="Times New Roman" w:eastAsia="宋体"/>
          <w:kern w:val="2"/>
          <w:sz w:val="24"/>
          <w:szCs w:val="24"/>
          <w:lang w:val="en-US" w:eastAsia="zh-CN" w:bidi="ar-SA"/>
        </w:rPr>
      </w:pPr>
      <w:r>
        <w:rPr>
          <w:rFonts w:hint="eastAsia" w:ascii="Times New Roman" w:hAnsi="Times New Roman" w:eastAsia="宋体"/>
          <w:kern w:val="2"/>
          <w:sz w:val="24"/>
          <w:szCs w:val="24"/>
          <w:lang w:val="en-US" w:eastAsia="zh-CN" w:bidi="ar-SA"/>
        </w:rPr>
        <w:t>本系统的</w:t>
      </w:r>
      <w:r>
        <w:rPr>
          <w:rFonts w:hint="eastAsia"/>
          <w:kern w:val="2"/>
          <w:sz w:val="24"/>
          <w:szCs w:val="24"/>
          <w:lang w:val="en-US" w:eastAsia="zh-CN" w:bidi="ar-SA"/>
        </w:rPr>
        <w:t>可视化功能的交互性与实用性与上一次相比实现了更</w:t>
      </w:r>
      <w:r>
        <w:rPr>
          <w:rFonts w:hint="eastAsia" w:ascii="Times New Roman" w:hAnsi="Times New Roman" w:eastAsia="宋体"/>
          <w:kern w:val="2"/>
          <w:sz w:val="24"/>
          <w:szCs w:val="24"/>
          <w:lang w:val="en-US" w:eastAsia="zh-CN" w:bidi="ar-SA"/>
        </w:rPr>
        <w:t>好的通用性和稳定性</w:t>
      </w:r>
      <w:r>
        <w:rPr>
          <w:rFonts w:hint="eastAsia"/>
          <w:kern w:val="2"/>
          <w:sz w:val="24"/>
          <w:szCs w:val="24"/>
          <w:lang w:val="en-US" w:eastAsia="zh-CN" w:bidi="ar-SA"/>
        </w:rPr>
        <w:t>与互动性</w:t>
      </w:r>
      <w:r>
        <w:rPr>
          <w:rFonts w:hint="eastAsia" w:ascii="Times New Roman" w:hAnsi="Times New Roman" w:eastAsia="宋体"/>
          <w:kern w:val="2"/>
          <w:sz w:val="24"/>
          <w:szCs w:val="24"/>
          <w:lang w:val="en-US" w:eastAsia="zh-CN" w:bidi="ar-SA"/>
        </w:rPr>
        <w:t>，以下对</w:t>
      </w:r>
      <w:r>
        <w:rPr>
          <w:rFonts w:hint="eastAsia"/>
          <w:kern w:val="2"/>
          <w:sz w:val="24"/>
          <w:szCs w:val="24"/>
          <w:lang w:val="en-US" w:eastAsia="zh-CN" w:bidi="ar-SA"/>
        </w:rPr>
        <w:t>六</w:t>
      </w:r>
      <w:r>
        <w:rPr>
          <w:rFonts w:hint="eastAsia" w:ascii="Times New Roman" w:hAnsi="Times New Roman" w:eastAsia="宋体"/>
          <w:kern w:val="2"/>
          <w:sz w:val="24"/>
          <w:szCs w:val="24"/>
          <w:lang w:val="en-US" w:eastAsia="zh-CN" w:bidi="ar-SA"/>
        </w:rPr>
        <w:t>个核心</w:t>
      </w:r>
      <w:r>
        <w:rPr>
          <w:rFonts w:hint="eastAsia"/>
          <w:kern w:val="2"/>
          <w:sz w:val="24"/>
          <w:szCs w:val="24"/>
          <w:lang w:val="en-US" w:eastAsia="zh-CN" w:bidi="ar-SA"/>
        </w:rPr>
        <w:t>可视化</w:t>
      </w:r>
      <w:r>
        <w:rPr>
          <w:rFonts w:hint="eastAsia" w:ascii="Times New Roman" w:hAnsi="Times New Roman" w:eastAsia="宋体"/>
          <w:kern w:val="2"/>
          <w:sz w:val="24"/>
          <w:szCs w:val="24"/>
          <w:lang w:val="en-US" w:eastAsia="zh-CN" w:bidi="ar-SA"/>
        </w:rPr>
        <w:t>功能进行分析：</w:t>
      </w:r>
    </w:p>
    <w:p w14:paraId="32482A13">
      <w:pPr>
        <w:pStyle w:val="5"/>
        <w:numPr>
          <w:ilvl w:val="0"/>
          <w:numId w:val="0"/>
        </w:numPr>
        <w:bidi w:val="0"/>
        <w:rPr>
          <w:rFonts w:hint="default"/>
          <w:lang w:val="en-US" w:eastAsia="zh-CN"/>
        </w:rPr>
      </w:pPr>
      <w:r>
        <w:rPr>
          <w:rFonts w:hint="eastAsia"/>
          <w:lang w:val="en-US" w:eastAsia="zh-CN"/>
        </w:rPr>
        <w:t>3.1.1 Snell光路仿真</w:t>
      </w:r>
    </w:p>
    <w:p w14:paraId="39A9F87F">
      <w:pPr>
        <w:jc w:val="center"/>
      </w:pPr>
      <w:r>
        <w:drawing>
          <wp:inline distT="0" distB="0" distL="114300" distR="114300">
            <wp:extent cx="5268595" cy="2723515"/>
            <wp:effectExtent l="0" t="0" r="1905"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268595" cy="2723515"/>
                    </a:xfrm>
                    <a:prstGeom prst="rect">
                      <a:avLst/>
                    </a:prstGeom>
                    <a:noFill/>
                    <a:ln>
                      <a:noFill/>
                    </a:ln>
                  </pic:spPr>
                </pic:pic>
              </a:graphicData>
            </a:graphic>
          </wp:inline>
        </w:drawing>
      </w:r>
    </w:p>
    <w:p w14:paraId="66402804">
      <w:pPr>
        <w:pStyle w:val="6"/>
        <w:jc w:val="center"/>
      </w:pPr>
      <w:r>
        <w:t xml:space="preserve">图 </w:t>
      </w:r>
      <w:r>
        <w:fldChar w:fldCharType="begin"/>
      </w:r>
      <w:r>
        <w:instrText xml:space="preserve"> SEQ 图 \* ARABIC </w:instrText>
      </w:r>
      <w:r>
        <w:fldChar w:fldCharType="separate"/>
      </w:r>
      <w:r>
        <w:t>5</w:t>
      </w:r>
      <w:r>
        <w:fldChar w:fldCharType="end"/>
      </w:r>
    </w:p>
    <w:p w14:paraId="56CC5ABC">
      <w:pPr>
        <w:rPr>
          <w:rFonts w:hint="default"/>
          <w:lang w:val="en-US" w:eastAsia="zh-CN"/>
        </w:rPr>
        <w:sectPr>
          <w:pgSz w:w="11906" w:h="16838"/>
          <w:pgMar w:top="1440" w:right="1797" w:bottom="1440" w:left="1797" w:header="851" w:footer="992" w:gutter="0"/>
          <w:pgNumType w:fmt="decimal"/>
          <w:cols w:space="720" w:num="1"/>
          <w:docGrid w:type="lines" w:linePitch="312" w:charSpace="0"/>
        </w:sectPr>
      </w:pPr>
    </w:p>
    <w:p w14:paraId="30685D9C">
      <w:r>
        <w:rPr>
          <w:rFonts w:hint="eastAsia"/>
          <w:lang w:val="en-US" w:eastAsia="zh-CN"/>
        </w:rPr>
        <w:t>采用</w:t>
      </w:r>
      <w:r>
        <w:t>原生 HTML5 Canvas API</w:t>
      </w:r>
      <w:r>
        <w:rPr>
          <w:rFonts w:hint="eastAsia"/>
          <w:lang w:eastAsia="zh-CN"/>
        </w:rPr>
        <w:t>，</w:t>
      </w:r>
      <w:r>
        <w:t>基于输入的入射角、薄膜折射率和衬底折射率，通过斯涅尔定律严格计算折射角。</w:t>
      </w:r>
    </w:p>
    <w:p w14:paraId="507089BB">
      <w:r>
        <w:t>引入了对数缩放机制映射薄膜厚度，确保从 1μm 到 100μm 的大跨度厚度都能在有限的 Canvas 画布中保持良好的视觉比例。</w:t>
      </w:r>
    </w:p>
    <w:p w14:paraId="0195D3F1">
      <w:pPr>
        <w:rPr>
          <w:rFonts w:hint="eastAsia" w:eastAsia="宋体"/>
          <w:lang w:val="en-US" w:eastAsia="zh-CN"/>
        </w:rPr>
      </w:pPr>
      <w:r>
        <w:t>利用 Canvas 的 shadowBlur 属性和色彩透明度衰减，逼真地模拟了激光束在薄膜内部的 16 次来回反射与能量损耗过程。</w:t>
      </w:r>
    </w:p>
    <w:p w14:paraId="5DE2ADD9">
      <w:pPr>
        <w:pStyle w:val="5"/>
        <w:bidi w:val="0"/>
      </w:pPr>
      <w:r>
        <w:rPr>
          <w:rFonts w:hint="eastAsia"/>
          <w:lang w:val="en-US" w:eastAsia="zh-CN"/>
        </w:rPr>
        <w:t xml:space="preserve">3.1.2 </w:t>
      </w:r>
      <w:r>
        <w:t>干涉光谱拟合</w:t>
      </w:r>
    </w:p>
    <w:p w14:paraId="0A95D7BB">
      <w:pPr>
        <w:jc w:val="center"/>
      </w:pPr>
      <w:r>
        <w:drawing>
          <wp:inline distT="0" distB="0" distL="114300" distR="114300">
            <wp:extent cx="5274310" cy="2837815"/>
            <wp:effectExtent l="0" t="0" r="889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5274310" cy="2837815"/>
                    </a:xfrm>
                    <a:prstGeom prst="rect">
                      <a:avLst/>
                    </a:prstGeom>
                    <a:noFill/>
                    <a:ln>
                      <a:noFill/>
                    </a:ln>
                  </pic:spPr>
                </pic:pic>
              </a:graphicData>
            </a:graphic>
          </wp:inline>
        </w:drawing>
      </w:r>
    </w:p>
    <w:p w14:paraId="5D6F2642">
      <w:pPr>
        <w:pStyle w:val="6"/>
        <w:jc w:val="center"/>
      </w:pPr>
      <w:r>
        <w:t xml:space="preserve">图 </w:t>
      </w:r>
      <w:r>
        <w:fldChar w:fldCharType="begin"/>
      </w:r>
      <w:r>
        <w:instrText xml:space="preserve"> SEQ 图 \* ARABIC </w:instrText>
      </w:r>
      <w:r>
        <w:fldChar w:fldCharType="separate"/>
      </w:r>
      <w:r>
        <w:t>5</w:t>
      </w:r>
      <w:r>
        <w:fldChar w:fldCharType="end"/>
      </w:r>
    </w:p>
    <w:p w14:paraId="604ED7BB">
      <w:pPr>
        <w:bidi w:val="0"/>
      </w:pPr>
      <w:r>
        <w:rPr>
          <w:rFonts w:hint="eastAsia"/>
          <w:lang w:val="en-US" w:eastAsia="zh-CN"/>
        </w:rPr>
        <w:t>采用</w:t>
      </w:r>
      <w:r>
        <w:t xml:space="preserve">ECharts </w:t>
      </w:r>
      <w:r>
        <w:rPr>
          <w:rFonts w:hint="eastAsia"/>
          <w:lang w:val="en-US" w:eastAsia="zh-CN"/>
        </w:rPr>
        <w:t>技术，</w:t>
      </w:r>
      <w:r>
        <w:t>将实验室测得的数据绘制为高密度的实线面积图，叠加经过后端 TMM 算法（或峰值间距法）拟合出的理论虚线曲线，并在图中标注出算法寻获的干涉波峰</w:t>
      </w:r>
      <w:r>
        <w:rPr>
          <w:rFonts w:hint="eastAsia"/>
          <w:lang w:eastAsia="zh-CN"/>
        </w:rPr>
        <w:t>。</w:t>
      </w:r>
      <w:r>
        <w:t>直观展示了理论模型与实验数据的契合度。支持内置的 dataZoom 滑块进行局部波段放大缩放，且通过十字准星提示框精准读取光谱特征值。</w:t>
      </w:r>
    </w:p>
    <w:p w14:paraId="660E4BE1">
      <w:pPr>
        <w:bidi w:val="0"/>
        <w:rPr>
          <w:rFonts w:hint="default"/>
          <w:lang w:val="en-US" w:eastAsia="zh-CN"/>
        </w:rPr>
      </w:pPr>
      <w:r>
        <w:rPr>
          <w:rFonts w:hint="eastAsia"/>
          <w:lang w:val="en-US" w:eastAsia="zh-CN"/>
        </w:rPr>
        <w:t>对于上一次的优化：EPI-Vision的</w:t>
      </w:r>
      <w:r>
        <w:t>干涉光谱拟合</w:t>
      </w:r>
      <w:r>
        <w:rPr>
          <w:rFonts w:hint="eastAsia"/>
          <w:lang w:val="en-US" w:eastAsia="zh-CN"/>
        </w:rPr>
        <w:t>如下图，对于一些拟合函数较为密集的场景，图像被黄色曲线铺满难以辨认，并且图像一体成型无法变化。</w:t>
      </w:r>
    </w:p>
    <w:p w14:paraId="67C53016">
      <w:pPr>
        <w:jc w:val="center"/>
      </w:pPr>
      <w:r>
        <w:drawing>
          <wp:inline distT="0" distB="0" distL="114300" distR="114300">
            <wp:extent cx="4327525" cy="2260600"/>
            <wp:effectExtent l="0" t="0" r="3175"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5"/>
                    <a:stretch>
                      <a:fillRect/>
                    </a:stretch>
                  </pic:blipFill>
                  <pic:spPr>
                    <a:xfrm>
                      <a:off x="0" y="0"/>
                      <a:ext cx="4327525" cy="2260600"/>
                    </a:xfrm>
                    <a:prstGeom prst="rect">
                      <a:avLst/>
                    </a:prstGeom>
                    <a:noFill/>
                    <a:ln>
                      <a:noFill/>
                    </a:ln>
                  </pic:spPr>
                </pic:pic>
              </a:graphicData>
            </a:graphic>
          </wp:inline>
        </w:drawing>
      </w:r>
    </w:p>
    <w:p w14:paraId="5EE4EFB6">
      <w:pPr>
        <w:pStyle w:val="6"/>
        <w:jc w:val="center"/>
      </w:pPr>
      <w:r>
        <w:t xml:space="preserve">图 </w:t>
      </w:r>
      <w:r>
        <w:fldChar w:fldCharType="begin"/>
      </w:r>
      <w:r>
        <w:instrText xml:space="preserve"> SEQ 图 \* ARABIC </w:instrText>
      </w:r>
      <w:r>
        <w:fldChar w:fldCharType="separate"/>
      </w:r>
      <w:r>
        <w:t>6</w:t>
      </w:r>
      <w:r>
        <w:fldChar w:fldCharType="end"/>
      </w:r>
    </w:p>
    <w:p w14:paraId="46DB6D6A">
      <w:pPr>
        <w:bidi w:val="0"/>
        <w:rPr>
          <w:rFonts w:hint="default"/>
          <w:lang w:val="en-US" w:eastAsia="zh-CN"/>
        </w:rPr>
      </w:pPr>
      <w:r>
        <w:rPr>
          <w:rFonts w:hint="eastAsia"/>
          <w:lang w:val="en-US" w:eastAsia="zh-CN"/>
        </w:rPr>
        <w:t>针对于此，做出以下优化:图像可以放缩变化，放大后更便于观察图像的细节；对于三要素，实验光谱，理论拟合，干涉峰特征可以选择性的查看特征</w:t>
      </w:r>
    </w:p>
    <w:p w14:paraId="20F3C8F8">
      <w:pPr>
        <w:jc w:val="center"/>
      </w:pPr>
      <w:r>
        <w:drawing>
          <wp:inline distT="0" distB="0" distL="114300" distR="114300">
            <wp:extent cx="4249420" cy="2336800"/>
            <wp:effectExtent l="0" t="0" r="508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6"/>
                    <a:stretch>
                      <a:fillRect/>
                    </a:stretch>
                  </pic:blipFill>
                  <pic:spPr>
                    <a:xfrm>
                      <a:off x="0" y="0"/>
                      <a:ext cx="4249420" cy="2336800"/>
                    </a:xfrm>
                    <a:prstGeom prst="rect">
                      <a:avLst/>
                    </a:prstGeom>
                    <a:noFill/>
                    <a:ln>
                      <a:noFill/>
                    </a:ln>
                  </pic:spPr>
                </pic:pic>
              </a:graphicData>
            </a:graphic>
          </wp:inline>
        </w:drawing>
      </w:r>
    </w:p>
    <w:p w14:paraId="7697DF66">
      <w:pPr>
        <w:pStyle w:val="6"/>
        <w:jc w:val="center"/>
      </w:pPr>
      <w:r>
        <w:t xml:space="preserve">图 </w:t>
      </w:r>
      <w:r>
        <w:fldChar w:fldCharType="begin"/>
      </w:r>
      <w:r>
        <w:instrText xml:space="preserve"> SEQ 图 \* ARABIC </w:instrText>
      </w:r>
      <w:r>
        <w:fldChar w:fldCharType="separate"/>
      </w:r>
      <w:r>
        <w:t>7</w:t>
      </w:r>
      <w:r>
        <w:fldChar w:fldCharType="end"/>
      </w:r>
    </w:p>
    <w:p w14:paraId="7FE0AF54">
      <w:pPr>
        <w:jc w:val="center"/>
      </w:pPr>
      <w:r>
        <w:drawing>
          <wp:inline distT="0" distB="0" distL="114300" distR="114300">
            <wp:extent cx="4219575" cy="2313940"/>
            <wp:effectExtent l="0" t="0" r="9525" b="1016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7"/>
                    <a:stretch>
                      <a:fillRect/>
                    </a:stretch>
                  </pic:blipFill>
                  <pic:spPr>
                    <a:xfrm>
                      <a:off x="0" y="0"/>
                      <a:ext cx="4219575" cy="2313940"/>
                    </a:xfrm>
                    <a:prstGeom prst="rect">
                      <a:avLst/>
                    </a:prstGeom>
                    <a:noFill/>
                    <a:ln>
                      <a:noFill/>
                    </a:ln>
                  </pic:spPr>
                </pic:pic>
              </a:graphicData>
            </a:graphic>
          </wp:inline>
        </w:drawing>
      </w:r>
    </w:p>
    <w:p w14:paraId="37A5BE0A">
      <w:pPr>
        <w:pStyle w:val="6"/>
        <w:jc w:val="center"/>
      </w:pPr>
      <w:r>
        <w:t xml:space="preserve">图 </w:t>
      </w:r>
      <w:r>
        <w:fldChar w:fldCharType="begin"/>
      </w:r>
      <w:r>
        <w:instrText xml:space="preserve"> SEQ 图 \* ARABIC </w:instrText>
      </w:r>
      <w:r>
        <w:fldChar w:fldCharType="separate"/>
      </w:r>
      <w:r>
        <w:t>8</w:t>
      </w:r>
      <w:r>
        <w:fldChar w:fldCharType="end"/>
      </w:r>
    </w:p>
    <w:p w14:paraId="41063437">
      <w:pPr>
        <w:pStyle w:val="5"/>
        <w:bidi w:val="0"/>
      </w:pPr>
      <w:r>
        <w:rPr>
          <w:rFonts w:hint="eastAsia"/>
          <w:lang w:val="en-US" w:eastAsia="zh-CN"/>
        </w:rPr>
        <w:t xml:space="preserve">3.1.3 </w:t>
      </w:r>
      <w:r>
        <w:t>晶圆均匀性分布</w:t>
      </w:r>
    </w:p>
    <w:p w14:paraId="11CC4D83">
      <w:pPr>
        <w:jc w:val="center"/>
      </w:pPr>
      <w:r>
        <w:drawing>
          <wp:inline distT="0" distB="0" distL="114300" distR="114300">
            <wp:extent cx="4244975" cy="2290445"/>
            <wp:effectExtent l="0" t="0" r="9525"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8"/>
                    <a:stretch>
                      <a:fillRect/>
                    </a:stretch>
                  </pic:blipFill>
                  <pic:spPr>
                    <a:xfrm>
                      <a:off x="0" y="0"/>
                      <a:ext cx="4244975" cy="2290445"/>
                    </a:xfrm>
                    <a:prstGeom prst="rect">
                      <a:avLst/>
                    </a:prstGeom>
                    <a:noFill/>
                    <a:ln>
                      <a:noFill/>
                    </a:ln>
                  </pic:spPr>
                </pic:pic>
              </a:graphicData>
            </a:graphic>
          </wp:inline>
        </w:drawing>
      </w:r>
    </w:p>
    <w:p w14:paraId="2165E15A">
      <w:pPr>
        <w:pStyle w:val="6"/>
        <w:jc w:val="center"/>
      </w:pPr>
      <w:r>
        <w:t xml:space="preserve">图 </w:t>
      </w:r>
      <w:r>
        <w:fldChar w:fldCharType="begin"/>
      </w:r>
      <w:r>
        <w:instrText xml:space="preserve"> SEQ 图 \* ARABIC </w:instrText>
      </w:r>
      <w:r>
        <w:fldChar w:fldCharType="separate"/>
      </w:r>
      <w:r>
        <w:t>9</w:t>
      </w:r>
      <w:r>
        <w:fldChar w:fldCharType="end"/>
      </w:r>
    </w:p>
    <w:p w14:paraId="7BF14C1E">
      <w:pPr>
        <w:bidi w:val="0"/>
        <w:rPr>
          <w:rFonts w:hint="eastAsia"/>
          <w:lang w:eastAsia="zh-CN"/>
        </w:rPr>
      </w:pPr>
      <w:r>
        <w:rPr>
          <w:rFonts w:hint="eastAsia"/>
          <w:lang w:val="en-US" w:eastAsia="zh-CN"/>
        </w:rPr>
        <w:t>采用</w:t>
      </w:r>
      <w:r>
        <w:t>ECharts 热力图</w:t>
      </w:r>
      <w:r>
        <w:rPr>
          <w:rFonts w:hint="eastAsia"/>
          <w:lang w:eastAsia="zh-CN"/>
        </w:rPr>
        <w:t>，</w:t>
      </w:r>
      <w:r>
        <w:t>模拟整片晶圆表面的外延层厚度分布</w:t>
      </w:r>
    </w:p>
    <w:p w14:paraId="04A30A74">
      <w:pPr>
        <w:bidi w:val="0"/>
      </w:pPr>
      <w:r>
        <w:t>算法中构建了一个 2D 径向基网络高斯面拟合逻辑，引入了边缘翘曲效应也就是中心厚、边缘薄的抛物面特性，并叠加了微小的随机高斯噪声，使生成的仿真形貌图高度贴合真实的半导体晶圆生产工艺特征。</w:t>
      </w:r>
    </w:p>
    <w:p w14:paraId="1F057CC0">
      <w:pPr>
        <w:bidi w:val="0"/>
      </w:pPr>
      <w:r>
        <w:rPr>
          <w:rFonts w:hint="default"/>
        </w:rPr>
        <w:t>该模块并未采用高成本的全片多点实测，而是基于单点光谱反演厚度，结合半导体外延工艺的物理经验模型，在前端进行二次推演。具体包含以下三个核心步骤：</w:t>
      </w:r>
    </w:p>
    <w:p w14:paraId="780335B7">
      <w:pPr>
        <w:bidi w:val="0"/>
        <w:rPr>
          <w:rFonts w:hint="default"/>
        </w:rPr>
      </w:pPr>
      <w:r>
        <w:rPr>
          <w:rFonts w:hint="default"/>
        </w:rPr>
        <w:t xml:space="preserve">1. </w:t>
      </w:r>
      <w:r>
        <w:rPr>
          <w:rFonts w:hint="eastAsia"/>
          <w:lang w:val="en-US" w:eastAsia="zh-CN"/>
        </w:rPr>
        <w:t>选取</w:t>
      </w:r>
      <w:r>
        <w:rPr>
          <w:rFonts w:hint="default"/>
        </w:rPr>
        <w:t xml:space="preserve">基准厚度 </w:t>
      </w:r>
    </w:p>
    <w:p w14:paraId="158590FE">
      <w:pPr>
        <w:bidi w:val="0"/>
        <w:rPr>
          <w:rFonts w:hint="default"/>
        </w:rPr>
      </w:pPr>
      <w:r>
        <w:rPr>
          <w:rFonts w:hint="default"/>
        </w:rPr>
        <w:t>系统首先提取当前算法测算出的核心厚度值作为晶圆中心的基准参考厚度。</w:t>
      </w:r>
    </w:p>
    <w:p w14:paraId="4B1398A1">
      <w:pPr>
        <w:bidi w:val="0"/>
        <w:rPr>
          <w:rFonts w:hint="default"/>
        </w:rPr>
      </w:pPr>
      <w:r>
        <w:rPr>
          <w:rFonts w:hint="default"/>
        </w:rPr>
        <w:t>2. 建立极坐标域映射</w:t>
      </w:r>
    </w:p>
    <w:p w14:paraId="6E196C7A">
      <w:pPr>
        <w:bidi w:val="0"/>
        <w:rPr>
          <w:rFonts w:hint="default"/>
        </w:rPr>
      </w:pPr>
      <w:r>
        <w:rPr>
          <w:rFonts w:hint="default"/>
        </w:rPr>
        <w:t xml:space="preserve">代码构建了一个 40x40 的网格阵列，并将坐标映射为-1到1的归一化区间。通过判断半径平方 </w:t>
      </w:r>
      <m:oMath>
        <m:sSup>
          <m:sSupPr>
            <m:ctrlPr>
              <w:rPr>
                <w:rFonts w:hint="default" w:ascii="Cambria Math"/>
              </w:rPr>
            </m:ctrlPr>
          </m:sSupPr>
          <m:e>
            <m:r>
              <m:rPr/>
              <w:rPr>
                <w:rFonts w:hint="default" w:ascii="Cambria Math"/>
              </w:rPr>
              <m:t>r</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y</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≤1</m:t>
        </m:r>
      </m:oMath>
      <w:r>
        <w:rPr>
          <w:rFonts w:hint="default"/>
        </w:rPr>
        <w:t>来勾勒出圆形晶圆的物理边界，舍弃圆外的数据点。</w:t>
      </w:r>
    </w:p>
    <w:p w14:paraId="67F68865">
      <w:pPr>
        <w:bidi w:val="0"/>
        <w:rPr>
          <w:rFonts w:hint="default"/>
        </w:rPr>
      </w:pPr>
      <w:r>
        <w:rPr>
          <w:rFonts w:hint="default"/>
        </w:rPr>
        <w:t>3. 叠加宏观与微观物理形貌</w:t>
      </w:r>
    </w:p>
    <w:p w14:paraId="27206B6F">
      <w:pPr>
        <w:bidi w:val="0"/>
        <w:rPr>
          <w:rFonts w:hint="default"/>
        </w:rPr>
      </w:pPr>
      <w:r>
        <w:rPr>
          <w:rFonts w:hint="default"/>
        </w:rPr>
        <w:t>引入两种物理特征变量来计算每个网格点的最终厚度</w:t>
      </w:r>
    </w:p>
    <w:p w14:paraId="64F0F7CC">
      <w:pPr>
        <w:bidi w:val="0"/>
        <w:rPr>
          <w:rFonts w:hint="default"/>
        </w:rPr>
      </w:pPr>
      <w:r>
        <w:rPr>
          <w:rFonts w:hint="default"/>
        </w:rPr>
        <w:t>边缘翘曲效应： 通过公式 bow = r2 * 0.03 * baseT 引入了一个抛物面衰减函数。这意味着距离晶圆中心越远，薄膜厚度会按照二次方规律变薄这高度还原了真实化学气相沉积（CVD）或外延生长中，由于边缘气体流速和温度梯度导致的中心厚、边缘薄的工艺特征。</w:t>
      </w:r>
    </w:p>
    <w:p w14:paraId="4824D41F">
      <w:pPr>
        <w:bidi w:val="0"/>
        <w:rPr>
          <w:rFonts w:hint="default"/>
        </w:rPr>
      </w:pPr>
      <w:r>
        <w:rPr>
          <w:rFonts w:hint="default"/>
        </w:rPr>
        <w:t>表面粗糙度微扰： 通过 Math.random() - 0.5) * 0.002 在每个点位叠加了一个 ±0.001 μm 级别的随机高斯噪声。这不仅模拟了现实中测量仪器的系统底噪，也模拟了薄膜表面真实的微观粗糙度。</w:t>
      </w:r>
    </w:p>
    <w:p w14:paraId="5F9E4414">
      <w:pPr>
        <w:pStyle w:val="5"/>
        <w:bidi w:val="0"/>
      </w:pPr>
      <w:r>
        <w:rPr>
          <w:rFonts w:hint="eastAsia"/>
          <w:lang w:val="en-US" w:eastAsia="zh-CN"/>
        </w:rPr>
        <w:t xml:space="preserve">3.1.4 </w:t>
      </w:r>
      <w:r>
        <w:t>原子晶格构型</w:t>
      </w:r>
    </w:p>
    <w:p w14:paraId="3C571AC4">
      <w:pPr>
        <w:jc w:val="center"/>
      </w:pPr>
      <w:r>
        <w:drawing>
          <wp:inline distT="0" distB="0" distL="114300" distR="114300">
            <wp:extent cx="4526915" cy="2145665"/>
            <wp:effectExtent l="0" t="0" r="6985" b="63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9"/>
                    <a:stretch>
                      <a:fillRect/>
                    </a:stretch>
                  </pic:blipFill>
                  <pic:spPr>
                    <a:xfrm>
                      <a:off x="0" y="0"/>
                      <a:ext cx="4526915" cy="2145665"/>
                    </a:xfrm>
                    <a:prstGeom prst="rect">
                      <a:avLst/>
                    </a:prstGeom>
                    <a:noFill/>
                    <a:ln>
                      <a:noFill/>
                    </a:ln>
                  </pic:spPr>
                </pic:pic>
              </a:graphicData>
            </a:graphic>
          </wp:inline>
        </w:drawing>
      </w:r>
    </w:p>
    <w:p w14:paraId="7DD6BB53">
      <w:pPr>
        <w:pStyle w:val="6"/>
        <w:jc w:val="center"/>
      </w:pPr>
      <w:r>
        <w:t xml:space="preserve">图 </w:t>
      </w:r>
      <w:r>
        <w:fldChar w:fldCharType="begin"/>
      </w:r>
      <w:r>
        <w:instrText xml:space="preserve"> SEQ 图 \* ARABIC </w:instrText>
      </w:r>
      <w:r>
        <w:fldChar w:fldCharType="separate"/>
      </w:r>
      <w:r>
        <w:t>10</w:t>
      </w:r>
      <w:r>
        <w:fldChar w:fldCharType="end"/>
      </w:r>
    </w:p>
    <w:p w14:paraId="23C6BBAC">
      <w:pPr>
        <w:bidi w:val="0"/>
      </w:pPr>
      <w:r>
        <w:t>根据面板当前分析的材料种类，动态渲染对应的 3D 微观晶格球棍模型。</w:t>
      </w:r>
    </w:p>
    <w:p w14:paraId="08E0C5CD">
      <w:pPr>
        <w:bidi w:val="0"/>
        <w:rPr>
          <w:rFonts w:hint="eastAsia"/>
          <w:lang w:val="en-US" w:eastAsia="zh-CN"/>
        </w:rPr>
      </w:pPr>
      <w:r>
        <w:rPr>
          <w:rFonts w:hint="eastAsia"/>
          <w:lang w:val="en-US" w:eastAsia="zh-CN"/>
        </w:rPr>
        <w:t>这个模块更便于从微观角度来了解材料的分子结构。</w:t>
      </w:r>
    </w:p>
    <w:p w14:paraId="1331BF77">
      <w:pPr>
        <w:pStyle w:val="5"/>
        <w:bidi w:val="0"/>
        <w:rPr>
          <w:rFonts w:hint="default"/>
          <w:lang w:val="en-US" w:eastAsia="zh-CN"/>
        </w:rPr>
      </w:pPr>
      <w:r>
        <w:rPr>
          <w:rFonts w:hint="eastAsia"/>
          <w:lang w:val="en-US" w:eastAsia="zh-CN"/>
        </w:rPr>
        <w:t xml:space="preserve">3.1.5 </w:t>
      </w:r>
      <w:r>
        <w:t>驻波光场深度解析</w:t>
      </w:r>
    </w:p>
    <w:p w14:paraId="33C2B480">
      <w:pPr>
        <w:jc w:val="center"/>
      </w:pPr>
      <w:r>
        <w:drawing>
          <wp:inline distT="0" distB="0" distL="114300" distR="114300">
            <wp:extent cx="4645025" cy="2480945"/>
            <wp:effectExtent l="0" t="0" r="3175" b="825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0"/>
                    <a:stretch>
                      <a:fillRect/>
                    </a:stretch>
                  </pic:blipFill>
                  <pic:spPr>
                    <a:xfrm>
                      <a:off x="0" y="0"/>
                      <a:ext cx="4645025" cy="2480945"/>
                    </a:xfrm>
                    <a:prstGeom prst="rect">
                      <a:avLst/>
                    </a:prstGeom>
                    <a:noFill/>
                    <a:ln>
                      <a:noFill/>
                    </a:ln>
                  </pic:spPr>
                </pic:pic>
              </a:graphicData>
            </a:graphic>
          </wp:inline>
        </w:drawing>
      </w:r>
    </w:p>
    <w:p w14:paraId="5F551CE3">
      <w:pPr>
        <w:pStyle w:val="6"/>
        <w:jc w:val="center"/>
      </w:pPr>
      <w:r>
        <w:t xml:space="preserve">图 </w:t>
      </w:r>
      <w:r>
        <w:fldChar w:fldCharType="begin"/>
      </w:r>
      <w:r>
        <w:instrText xml:space="preserve"> SEQ 图 \* ARABIC </w:instrText>
      </w:r>
      <w:r>
        <w:fldChar w:fldCharType="separate"/>
      </w:r>
      <w:r>
        <w:t>11</w:t>
      </w:r>
      <w:r>
        <w:fldChar w:fldCharType="end"/>
      </w:r>
    </w:p>
    <w:p w14:paraId="600C4652">
      <w:pPr>
        <w:bidi w:val="0"/>
        <w:rPr>
          <w:rFonts w:hint="eastAsia" w:ascii="宋体" w:hAnsi="宋体" w:cs="宋体"/>
          <w:sz w:val="24"/>
          <w:szCs w:val="24"/>
          <w:lang w:eastAsia="zh-CN"/>
        </w:rPr>
      </w:pPr>
      <w:r>
        <w:rPr>
          <w:rFonts w:hint="eastAsia"/>
          <w:lang w:val="en-US" w:eastAsia="zh-CN"/>
        </w:rPr>
        <w:t>采用</w:t>
      </w:r>
      <w:r>
        <w:t>ECharts 热力图</w:t>
      </w:r>
      <w:r>
        <w:rPr>
          <w:rFonts w:hint="eastAsia"/>
          <w:lang w:eastAsia="zh-CN"/>
        </w:rPr>
        <w:t>，</w:t>
      </w:r>
      <w:r>
        <w:rPr>
          <w:rFonts w:hint="eastAsia"/>
          <w:lang w:val="en-US" w:eastAsia="zh-CN"/>
        </w:rPr>
        <w:t>将</w:t>
      </w:r>
      <w:r>
        <w:t>物理过程具象化</w:t>
      </w:r>
      <w:r>
        <w:rPr>
          <w:rFonts w:hint="eastAsia"/>
          <w:lang w:eastAsia="zh-CN"/>
        </w:rPr>
        <w:t>，</w:t>
      </w:r>
      <w:r>
        <w:t>当宽谱红外光照射到薄膜上时，光在空气-外延层界面、外延层-衬底界面会发生多次反射。入射波和反射波在薄膜内部空间相遇并发生线性叠加，形成了驻波。通过 2D 热力图的形式，清晰地展示了在不同深度的空间切片上，哪些频率的光发生了相长干涉（红色），哪些频率的光发生了相消干涉（蓝色）。它将抽象的麦克斯韦电磁波方程解，转化为直观的能量分布图。</w:t>
      </w:r>
      <w:r>
        <w:rPr>
          <w:rFonts w:hint="eastAsia"/>
          <w:lang w:val="en-US" w:eastAsia="zh-CN"/>
        </w:rPr>
        <w:t>可以</w:t>
      </w:r>
      <w:r>
        <w:rPr>
          <w:rFonts w:ascii="宋体" w:hAnsi="宋体" w:eastAsia="宋体" w:cs="宋体"/>
          <w:sz w:val="24"/>
          <w:szCs w:val="24"/>
        </w:rPr>
        <w:t>直观地</w:t>
      </w:r>
      <w:r>
        <w:rPr>
          <w:rFonts w:hint="eastAsia" w:ascii="宋体" w:hAnsi="宋体" w:cs="宋体"/>
          <w:sz w:val="24"/>
          <w:szCs w:val="24"/>
          <w:lang w:val="en-US" w:eastAsia="zh-CN"/>
        </w:rPr>
        <w:t>看出</w:t>
      </w:r>
      <w:r>
        <w:rPr>
          <w:rFonts w:ascii="宋体" w:hAnsi="宋体" w:eastAsia="宋体" w:cs="宋体"/>
          <w:sz w:val="24"/>
          <w:szCs w:val="24"/>
        </w:rPr>
        <w:t>，在当前生长的外延层厚度下，目标工作波长的光场能量集中在哪个深度</w:t>
      </w:r>
      <w:r>
        <w:rPr>
          <w:rFonts w:hint="eastAsia" w:ascii="宋体" w:hAnsi="宋体" w:cs="宋体"/>
          <w:sz w:val="24"/>
          <w:szCs w:val="24"/>
          <w:lang w:eastAsia="zh-CN"/>
        </w:rPr>
        <w:t>。</w:t>
      </w:r>
    </w:p>
    <w:p w14:paraId="725F20E8">
      <w:pPr>
        <w:pStyle w:val="5"/>
        <w:bidi w:val="0"/>
        <w:rPr>
          <w:rFonts w:hint="eastAsia"/>
          <w:lang w:val="en-US" w:eastAsia="zh-CN"/>
        </w:rPr>
      </w:pPr>
      <w:r>
        <w:rPr>
          <w:rFonts w:hint="eastAsia"/>
          <w:lang w:val="en-US" w:eastAsia="zh-CN"/>
        </w:rPr>
        <w:t xml:space="preserve">3.1.6 </w:t>
      </w:r>
      <w:r>
        <w:t>动态色散建模</w:t>
      </w:r>
    </w:p>
    <w:p w14:paraId="2D27BE59">
      <w:pPr>
        <w:jc w:val="center"/>
      </w:pPr>
      <w:r>
        <w:drawing>
          <wp:inline distT="0" distB="0" distL="114300" distR="114300">
            <wp:extent cx="5277485" cy="2776220"/>
            <wp:effectExtent l="0" t="0" r="5715" b="508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1"/>
                    <a:stretch>
                      <a:fillRect/>
                    </a:stretch>
                  </pic:blipFill>
                  <pic:spPr>
                    <a:xfrm>
                      <a:off x="0" y="0"/>
                      <a:ext cx="5277485" cy="2776220"/>
                    </a:xfrm>
                    <a:prstGeom prst="rect">
                      <a:avLst/>
                    </a:prstGeom>
                    <a:noFill/>
                    <a:ln>
                      <a:noFill/>
                    </a:ln>
                  </pic:spPr>
                </pic:pic>
              </a:graphicData>
            </a:graphic>
          </wp:inline>
        </w:drawing>
      </w:r>
    </w:p>
    <w:p w14:paraId="1A57D367">
      <w:pPr>
        <w:pStyle w:val="6"/>
        <w:jc w:val="center"/>
      </w:pPr>
      <w:r>
        <w:t xml:space="preserve">图 </w:t>
      </w:r>
      <w:r>
        <w:fldChar w:fldCharType="begin"/>
      </w:r>
      <w:r>
        <w:instrText xml:space="preserve"> SEQ 图 \* ARABIC </w:instrText>
      </w:r>
      <w:r>
        <w:fldChar w:fldCharType="separate"/>
      </w:r>
      <w:r>
        <w:t>12</w:t>
      </w:r>
      <w:r>
        <w:fldChar w:fldCharType="end"/>
      </w:r>
    </w:p>
    <w:p w14:paraId="3E3DD62F">
      <w:pPr>
        <w:rPr>
          <w:rFonts w:hint="eastAsia"/>
          <w:lang w:val="en-US" w:eastAsia="zh-CN"/>
        </w:rPr>
      </w:pPr>
      <w:r>
        <w:rPr>
          <w:rFonts w:hint="eastAsia"/>
          <w:lang w:val="en-US" w:eastAsia="zh-CN"/>
        </w:rPr>
        <w:t>采用ECharts 多轴折线图。展示材料的复折射率在不同频段下的动态演化。同时绘制了折射率 n和消光系数 k。图表中不仅包含了 n 和 k 的平滑曲线，还通过 ECharts 的堆叠面积图技术绘制了拟合置信区间，以及理论参考 n 值的对比线。这为评估光学反演模型的可靠性和材料本身的色散物理特性提供了关键的数据支撑。</w:t>
      </w:r>
    </w:p>
    <w:p w14:paraId="04B67AAA">
      <w:pPr>
        <w:rPr>
          <w:rFonts w:hint="eastAsia" w:eastAsia="宋体"/>
          <w:lang w:val="en-US" w:eastAsia="zh-CN"/>
        </w:rPr>
      </w:pPr>
    </w:p>
    <w:p w14:paraId="30BE28DD">
      <w:pPr>
        <w:rPr>
          <w:rFonts w:hint="eastAsia" w:eastAsia="宋体"/>
          <w:lang w:val="en-US" w:eastAsia="zh-CN"/>
        </w:rPr>
      </w:pPr>
    </w:p>
    <w:p w14:paraId="36BD3A63">
      <w:pPr>
        <w:rPr>
          <w:rFonts w:hint="eastAsia" w:eastAsia="宋体"/>
          <w:lang w:val="en-US" w:eastAsia="zh-CN"/>
        </w:rPr>
      </w:pPr>
    </w:p>
    <w:p w14:paraId="05106CC4">
      <w:pPr>
        <w:rPr>
          <w:rFonts w:hint="eastAsia" w:eastAsia="宋体"/>
          <w:lang w:val="en-US" w:eastAsia="zh-CN"/>
        </w:rPr>
      </w:pPr>
    </w:p>
    <w:p w14:paraId="2D113CBF">
      <w:pPr>
        <w:pStyle w:val="4"/>
        <w:bidi w:val="0"/>
        <w:rPr>
          <w:rFonts w:hint="eastAsia"/>
          <w:lang w:val="en-US" w:eastAsia="zh-CN"/>
        </w:rPr>
      </w:pPr>
      <w:bookmarkStart w:id="12" w:name="_Toc3793"/>
      <w:r>
        <w:rPr>
          <w:rFonts w:hint="eastAsia"/>
          <w:lang w:val="en-US" w:eastAsia="zh-CN"/>
        </w:rPr>
        <w:t>3.2运行截图</w:t>
      </w:r>
      <w:bookmarkEnd w:id="12"/>
    </w:p>
    <w:p w14:paraId="107307E7">
      <w:pPr>
        <w:rPr>
          <w:rFonts w:hint="default"/>
          <w:lang w:val="en-US"/>
        </w:rPr>
      </w:pPr>
      <w:r>
        <w:rPr>
          <w:rFonts w:hint="eastAsia"/>
          <w:lang w:val="en-US" w:eastAsia="zh-CN"/>
        </w:rPr>
        <w:t>核心分析面板主页面</w:t>
      </w:r>
    </w:p>
    <w:p w14:paraId="78A9BBB8">
      <w:pPr>
        <w:jc w:val="center"/>
      </w:pPr>
      <w:r>
        <w:drawing>
          <wp:inline distT="0" distB="0" distL="114300" distR="114300">
            <wp:extent cx="5257800" cy="2859405"/>
            <wp:effectExtent l="0" t="0" r="0" b="1079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2"/>
                    <a:stretch>
                      <a:fillRect/>
                    </a:stretch>
                  </pic:blipFill>
                  <pic:spPr>
                    <a:xfrm>
                      <a:off x="0" y="0"/>
                      <a:ext cx="5257800" cy="2859405"/>
                    </a:xfrm>
                    <a:prstGeom prst="rect">
                      <a:avLst/>
                    </a:prstGeom>
                    <a:noFill/>
                    <a:ln>
                      <a:noFill/>
                    </a:ln>
                  </pic:spPr>
                </pic:pic>
              </a:graphicData>
            </a:graphic>
          </wp:inline>
        </w:drawing>
      </w:r>
    </w:p>
    <w:p w14:paraId="17368C87">
      <w:pPr>
        <w:pStyle w:val="6"/>
        <w:jc w:val="center"/>
      </w:pPr>
      <w:r>
        <w:t xml:space="preserve">图 </w:t>
      </w:r>
      <w:r>
        <w:fldChar w:fldCharType="begin"/>
      </w:r>
      <w:r>
        <w:instrText xml:space="preserve"> SEQ 图 \* ARABIC </w:instrText>
      </w:r>
      <w:r>
        <w:fldChar w:fldCharType="separate"/>
      </w:r>
      <w:r>
        <w:t>13</w:t>
      </w:r>
      <w:r>
        <w:fldChar w:fldCharType="end"/>
      </w:r>
    </w:p>
    <w:p w14:paraId="0A814FD9">
      <w:pPr>
        <w:rPr>
          <w:rFonts w:hint="default" w:eastAsia="宋体"/>
          <w:lang w:val="en-US" w:eastAsia="zh-CN"/>
        </w:rPr>
      </w:pPr>
      <w:r>
        <w:rPr>
          <w:rFonts w:hint="eastAsia"/>
          <w:lang w:val="en-US" w:eastAsia="zh-CN"/>
        </w:rPr>
        <w:t>实验室功能即全景物理仿真器</w:t>
      </w:r>
    </w:p>
    <w:p w14:paraId="7517A9C6">
      <w:pPr>
        <w:jc w:val="center"/>
      </w:pPr>
      <w:r>
        <w:drawing>
          <wp:inline distT="0" distB="0" distL="114300" distR="114300">
            <wp:extent cx="5276215" cy="2881630"/>
            <wp:effectExtent l="0" t="0" r="6985" b="127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3"/>
                    <a:stretch>
                      <a:fillRect/>
                    </a:stretch>
                  </pic:blipFill>
                  <pic:spPr>
                    <a:xfrm>
                      <a:off x="0" y="0"/>
                      <a:ext cx="5276215" cy="2881630"/>
                    </a:xfrm>
                    <a:prstGeom prst="rect">
                      <a:avLst/>
                    </a:prstGeom>
                    <a:noFill/>
                    <a:ln>
                      <a:noFill/>
                    </a:ln>
                  </pic:spPr>
                </pic:pic>
              </a:graphicData>
            </a:graphic>
          </wp:inline>
        </w:drawing>
      </w:r>
    </w:p>
    <w:p w14:paraId="00038E69">
      <w:pPr>
        <w:pStyle w:val="6"/>
        <w:jc w:val="center"/>
      </w:pPr>
      <w:r>
        <w:t xml:space="preserve">图 </w:t>
      </w:r>
      <w:r>
        <w:fldChar w:fldCharType="begin"/>
      </w:r>
      <w:r>
        <w:instrText xml:space="preserve"> SEQ 图 \* ARABIC </w:instrText>
      </w:r>
      <w:r>
        <w:fldChar w:fldCharType="separate"/>
      </w:r>
      <w:r>
        <w:t>14</w:t>
      </w:r>
      <w:r>
        <w:fldChar w:fldCharType="end"/>
      </w:r>
    </w:p>
    <w:p w14:paraId="646955DD">
      <w:pPr>
        <w:jc w:val="center"/>
      </w:pPr>
    </w:p>
    <w:p w14:paraId="79790018">
      <w:pPr>
        <w:jc w:val="center"/>
      </w:pPr>
    </w:p>
    <w:p w14:paraId="65ECF5BE">
      <w:pPr>
        <w:jc w:val="both"/>
        <w:rPr>
          <w:rFonts w:hint="eastAsia"/>
          <w:lang w:val="en-US" w:eastAsia="zh-CN"/>
        </w:rPr>
      </w:pPr>
    </w:p>
    <w:p w14:paraId="3F5AEAA5">
      <w:pPr>
        <w:jc w:val="both"/>
        <w:rPr>
          <w:rFonts w:hint="default" w:eastAsia="宋体"/>
          <w:lang w:val="en-US" w:eastAsia="zh-CN"/>
        </w:rPr>
      </w:pPr>
      <w:r>
        <w:rPr>
          <w:rFonts w:hint="eastAsia"/>
          <w:lang w:val="en-US" w:eastAsia="zh-CN"/>
        </w:rPr>
        <w:t>折射率数据库，存储材料折射率数据</w:t>
      </w:r>
    </w:p>
    <w:p w14:paraId="4B3BB51D">
      <w:pPr>
        <w:jc w:val="center"/>
      </w:pPr>
      <w:r>
        <w:drawing>
          <wp:inline distT="0" distB="0" distL="114300" distR="114300">
            <wp:extent cx="5255895" cy="2798445"/>
            <wp:effectExtent l="0" t="0" r="1905" b="825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4"/>
                    <a:stretch>
                      <a:fillRect/>
                    </a:stretch>
                  </pic:blipFill>
                  <pic:spPr>
                    <a:xfrm>
                      <a:off x="0" y="0"/>
                      <a:ext cx="5255895" cy="2798445"/>
                    </a:xfrm>
                    <a:prstGeom prst="rect">
                      <a:avLst/>
                    </a:prstGeom>
                    <a:noFill/>
                    <a:ln>
                      <a:noFill/>
                    </a:ln>
                  </pic:spPr>
                </pic:pic>
              </a:graphicData>
            </a:graphic>
          </wp:inline>
        </w:drawing>
      </w:r>
    </w:p>
    <w:p w14:paraId="70EEEE01">
      <w:pPr>
        <w:pStyle w:val="6"/>
        <w:jc w:val="center"/>
      </w:pPr>
      <w:r>
        <w:t xml:space="preserve">图 </w:t>
      </w:r>
      <w:r>
        <w:fldChar w:fldCharType="begin"/>
      </w:r>
      <w:r>
        <w:instrText xml:space="preserve"> SEQ 图 \* ARABIC </w:instrText>
      </w:r>
      <w:r>
        <w:fldChar w:fldCharType="separate"/>
      </w:r>
      <w:r>
        <w:t>15</w:t>
      </w:r>
      <w:r>
        <w:fldChar w:fldCharType="end"/>
      </w:r>
    </w:p>
    <w:p w14:paraId="01E56888">
      <w:pPr>
        <w:rPr>
          <w:rFonts w:hint="default" w:eastAsia="宋体"/>
          <w:lang w:val="en-US" w:eastAsia="zh-CN"/>
        </w:rPr>
      </w:pPr>
      <w:r>
        <w:rPr>
          <w:rFonts w:hint="eastAsia"/>
          <w:lang w:val="en-US" w:eastAsia="zh-CN"/>
        </w:rPr>
        <w:t>历史分析数据，便于追溯历史数据以及保存干涉拟合图像</w:t>
      </w:r>
    </w:p>
    <w:p w14:paraId="3B3CC2AD">
      <w:pPr>
        <w:jc w:val="center"/>
      </w:pPr>
      <w:r>
        <w:drawing>
          <wp:inline distT="0" distB="0" distL="114300" distR="114300">
            <wp:extent cx="5274945" cy="2847975"/>
            <wp:effectExtent l="0" t="0" r="8255" b="952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5"/>
                    <a:stretch>
                      <a:fillRect/>
                    </a:stretch>
                  </pic:blipFill>
                  <pic:spPr>
                    <a:xfrm>
                      <a:off x="0" y="0"/>
                      <a:ext cx="5274945" cy="2847975"/>
                    </a:xfrm>
                    <a:prstGeom prst="rect">
                      <a:avLst/>
                    </a:prstGeom>
                    <a:noFill/>
                    <a:ln>
                      <a:noFill/>
                    </a:ln>
                  </pic:spPr>
                </pic:pic>
              </a:graphicData>
            </a:graphic>
          </wp:inline>
        </w:drawing>
      </w:r>
    </w:p>
    <w:p w14:paraId="1CDB9155">
      <w:pPr>
        <w:pStyle w:val="6"/>
        <w:jc w:val="center"/>
        <w:rPr>
          <w:rFonts w:hint="eastAsia"/>
          <w:lang w:val="en-US" w:eastAsia="zh-CN"/>
        </w:rPr>
      </w:pPr>
      <w:r>
        <w:t xml:space="preserve">图 </w:t>
      </w:r>
      <w:r>
        <w:fldChar w:fldCharType="begin"/>
      </w:r>
      <w:r>
        <w:instrText xml:space="preserve"> SEQ 图 \* ARABIC </w:instrText>
      </w:r>
      <w:r>
        <w:fldChar w:fldCharType="separate"/>
      </w:r>
      <w:r>
        <w:t>16</w:t>
      </w:r>
      <w:r>
        <w:fldChar w:fldCharType="end"/>
      </w:r>
    </w:p>
    <w:p w14:paraId="272053A9">
      <w:pPr>
        <w:rPr>
          <w:rFonts w:hint="eastAsia"/>
          <w:lang w:val="en-US" w:eastAsia="zh-CN"/>
        </w:rPr>
      </w:pPr>
    </w:p>
    <w:p w14:paraId="072DED65">
      <w:pPr>
        <w:pStyle w:val="3"/>
        <w:numPr>
          <w:ilvl w:val="0"/>
          <w:numId w:val="0"/>
        </w:numPr>
        <w:bidi w:val="0"/>
        <w:rPr>
          <w:rFonts w:hint="default"/>
          <w:lang w:val="en-US" w:eastAsia="zh-CN"/>
        </w:rPr>
      </w:pPr>
      <w:bookmarkStart w:id="13" w:name="_Toc13740"/>
      <w:r>
        <w:rPr>
          <w:rFonts w:hint="eastAsia"/>
          <w:lang w:val="en-US" w:eastAsia="zh-CN"/>
        </w:rPr>
        <w:t>4.总结及体会</w:t>
      </w:r>
      <w:bookmarkEnd w:id="13"/>
    </w:p>
    <w:p w14:paraId="3DD55E5C">
      <w:pPr>
        <w:rPr>
          <w:rFonts w:hint="eastAsia"/>
          <w:lang w:val="en-US" w:eastAsia="zh-CN"/>
        </w:rPr>
      </w:pPr>
      <w:r>
        <w:rPr>
          <w:rFonts w:hint="eastAsia"/>
          <w:lang w:val="en-US" w:eastAsia="zh-CN"/>
        </w:rPr>
        <w:t>EPI-Vision PRO 成功将传统半导体外延层的光学干涉反演问题，构建为了一个以可视化驱动的物理解释系统。通过将二维干涉光谱拟合图、Snell动态光路动画、3D原子晶格结构、晶圆均匀性热力图、驻波光场深度解析以及动态n-k色散曲线进行多维可视化融合，系统使抽象的物理模型与用户交互界面形成了强耦合。这不仅实现了实时的交互式科学计算，将输出计算结果模式升级为了可解释物理过程的综合平台。</w:t>
      </w:r>
    </w:p>
    <w:p w14:paraId="43E893C6">
      <w:pPr>
        <w:rPr>
          <w:rFonts w:hint="eastAsia"/>
          <w:lang w:val="en-US" w:eastAsia="zh-CN"/>
        </w:rPr>
      </w:pPr>
      <w:r>
        <w:rPr>
          <w:rFonts w:hint="eastAsia"/>
          <w:lang w:val="en-US" w:eastAsia="zh-CN"/>
        </w:rPr>
        <w:t>在开发过程中，将物理光学理论（TMM传输矩阵法、峰值间距法）与现代软件工程技术（Flask后端+SQLite闭环存储）、大数据计算框架（NumPy/SciPy/Matplotlib）以及前端可视化引擎（ECharts、Three.js、Canvas）相结合，是一次实现物理与大数据可视化相结合的工程实践。目前的系统仍有进一步优化的空间，例如现有的TMM模型为简化模型，尚未完整纳入吸收系数k的影响；此外，反演过程中的联合参数搜索目前采用网格搜索，并非最优解，未来可考虑引入更高效的优化算法（如差分进化或贝叶斯优化），同时将晶圆均匀性分布由模拟数据升级为真实多点测量数据。</w:t>
      </w:r>
    </w:p>
    <w:p w14:paraId="7A93BBC3">
      <w:pPr>
        <w:rPr>
          <w:rFonts w:hint="eastAsia"/>
          <w:lang w:val="en-US" w:eastAsia="zh-CN"/>
        </w:rPr>
      </w:pPr>
    </w:p>
    <w:p w14:paraId="6A74F3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5077A7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755550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40CA20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2715D5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37C2FC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5FBD2C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Courier New"/>
          <w:sz w:val="28"/>
          <w:szCs w:val="28"/>
          <w:lang w:val="en-US" w:eastAsia="zh-CN"/>
        </w:rPr>
      </w:pPr>
      <w:r>
        <w:rPr>
          <w:rFonts w:hint="eastAsia" w:ascii="宋体" w:hAnsi="Courier New"/>
          <w:sz w:val="28"/>
          <w:szCs w:val="28"/>
          <w:lang w:val="en-US" w:eastAsia="zh-CN"/>
        </w:rPr>
        <w:t>评语：</w:t>
      </w:r>
    </w:p>
    <w:p w14:paraId="44E8D1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2E05FE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Courier New"/>
          <w:sz w:val="28"/>
          <w:szCs w:val="28"/>
          <w:lang w:val="en-US" w:eastAsia="zh-CN"/>
        </w:rPr>
      </w:pPr>
    </w:p>
    <w:p w14:paraId="547A4E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Courier New"/>
          <w:sz w:val="28"/>
          <w:szCs w:val="28"/>
          <w:lang w:val="en-US" w:eastAsia="zh-CN"/>
        </w:rPr>
      </w:pPr>
      <w:r>
        <w:rPr>
          <w:rFonts w:hint="eastAsia" w:ascii="宋体" w:hAnsi="Courier New"/>
          <w:sz w:val="28"/>
          <w:szCs w:val="28"/>
          <w:lang w:val="en-US" w:eastAsia="zh-CN"/>
        </w:rPr>
        <w:t>评分：                  日期：</w:t>
      </w:r>
    </w:p>
    <w:p w14:paraId="030D0CCB">
      <w:pPr>
        <w:rPr>
          <w:rFonts w:hint="eastAsia"/>
          <w:lang w:val="en-US" w:eastAsia="zh-CN"/>
        </w:rPr>
      </w:pPr>
    </w:p>
    <w:sectPr>
      <w:pgSz w:w="11906" w:h="16838"/>
      <w:pgMar w:top="1440" w:right="1797" w:bottom="1440" w:left="1797"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00"/>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EDDCB">
    <w:pPr>
      <w:pStyle w:val="10"/>
      <w:jc w:val="center"/>
    </w:pPr>
  </w:p>
  <w:p w14:paraId="396712D2">
    <w:pPr>
      <w:pStyle w:val="1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2BEAC">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8559D4">
                          <w:pPr>
                            <w:pStyle w:val="10"/>
                            <w:jc w:val="center"/>
                          </w:pPr>
                          <w:r>
                            <w:fldChar w:fldCharType="begin"/>
                          </w:r>
                          <w:r>
                            <w:instrText xml:space="preserve">PAGE   \* MERGEFORMAT</w:instrText>
                          </w:r>
                          <w:r>
                            <w:fldChar w:fldCharType="separate"/>
                          </w:r>
                          <w:r>
                            <w:rPr>
                              <w:lang w:val="zh-CN"/>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C8559D4">
                    <w:pPr>
                      <w:pStyle w:val="10"/>
                      <w:jc w:val="center"/>
                    </w:pPr>
                    <w:r>
                      <w:fldChar w:fldCharType="begin"/>
                    </w:r>
                    <w:r>
                      <w:instrText xml:space="preserve">PAGE   \* MERGEFORMAT</w:instrText>
                    </w:r>
                    <w:r>
                      <w:fldChar w:fldCharType="separate"/>
                    </w:r>
                    <w:r>
                      <w:rPr>
                        <w:lang w:val="zh-CN"/>
                      </w:rPr>
                      <w:t>6</w:t>
                    </w:r>
                    <w:r>
                      <w:fldChar w:fldCharType="end"/>
                    </w:r>
                  </w:p>
                </w:txbxContent>
              </v:textbox>
            </v:shape>
          </w:pict>
        </mc:Fallback>
      </mc:AlternateContent>
    </w:r>
  </w:p>
  <w:p w14:paraId="6692D37F">
    <w:pPr>
      <w:pStyle w:val="1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NjYjlhYTllZjhmNzgxYzA1NThhZGQ4NjlmYjk0MDEifQ=="/>
  </w:docVars>
  <w:rsids>
    <w:rsidRoot w:val="00172A27"/>
    <w:rsid w:val="00061426"/>
    <w:rsid w:val="00065FAC"/>
    <w:rsid w:val="000A4492"/>
    <w:rsid w:val="000D2428"/>
    <w:rsid w:val="000D6E6C"/>
    <w:rsid w:val="00132E0B"/>
    <w:rsid w:val="00170687"/>
    <w:rsid w:val="001D2D81"/>
    <w:rsid w:val="001D2F2E"/>
    <w:rsid w:val="001E0F59"/>
    <w:rsid w:val="001E573D"/>
    <w:rsid w:val="00251550"/>
    <w:rsid w:val="00254E9E"/>
    <w:rsid w:val="00310894"/>
    <w:rsid w:val="00370144"/>
    <w:rsid w:val="00382112"/>
    <w:rsid w:val="003A277B"/>
    <w:rsid w:val="003C2A03"/>
    <w:rsid w:val="003F5248"/>
    <w:rsid w:val="00422606"/>
    <w:rsid w:val="004C742A"/>
    <w:rsid w:val="004E5BB4"/>
    <w:rsid w:val="004F74A2"/>
    <w:rsid w:val="00526A4F"/>
    <w:rsid w:val="005F2995"/>
    <w:rsid w:val="00605BFF"/>
    <w:rsid w:val="00610BB2"/>
    <w:rsid w:val="006243F4"/>
    <w:rsid w:val="00684099"/>
    <w:rsid w:val="006C4F6C"/>
    <w:rsid w:val="00712E03"/>
    <w:rsid w:val="00730A45"/>
    <w:rsid w:val="00732C9E"/>
    <w:rsid w:val="007979A0"/>
    <w:rsid w:val="007C384B"/>
    <w:rsid w:val="007F3AD0"/>
    <w:rsid w:val="00872CC7"/>
    <w:rsid w:val="00875B83"/>
    <w:rsid w:val="009418AB"/>
    <w:rsid w:val="00A40581"/>
    <w:rsid w:val="00A433BC"/>
    <w:rsid w:val="00A64928"/>
    <w:rsid w:val="00AD67B9"/>
    <w:rsid w:val="00B60FEB"/>
    <w:rsid w:val="00BD16A0"/>
    <w:rsid w:val="00C07E94"/>
    <w:rsid w:val="00C21D9C"/>
    <w:rsid w:val="00C50506"/>
    <w:rsid w:val="00C767CD"/>
    <w:rsid w:val="00D54579"/>
    <w:rsid w:val="00D66284"/>
    <w:rsid w:val="00D723CA"/>
    <w:rsid w:val="00D97FE3"/>
    <w:rsid w:val="00E012C0"/>
    <w:rsid w:val="00E37491"/>
    <w:rsid w:val="00E44E2D"/>
    <w:rsid w:val="00E77A8E"/>
    <w:rsid w:val="00EE39A2"/>
    <w:rsid w:val="00F83DF8"/>
    <w:rsid w:val="00F87578"/>
    <w:rsid w:val="0A543A78"/>
    <w:rsid w:val="0D337CB8"/>
    <w:rsid w:val="14B25BD0"/>
    <w:rsid w:val="1A7F0516"/>
    <w:rsid w:val="1E9951B5"/>
    <w:rsid w:val="21E35592"/>
    <w:rsid w:val="2A001439"/>
    <w:rsid w:val="31017BC0"/>
    <w:rsid w:val="32E967FE"/>
    <w:rsid w:val="362F3D94"/>
    <w:rsid w:val="3E383D19"/>
    <w:rsid w:val="468535B2"/>
    <w:rsid w:val="49D529A2"/>
    <w:rsid w:val="49D76212"/>
    <w:rsid w:val="4CED2C41"/>
    <w:rsid w:val="55CF0CC7"/>
    <w:rsid w:val="57FE711C"/>
    <w:rsid w:val="76FF7EA1"/>
    <w:rsid w:val="77AFFB57"/>
    <w:rsid w:val="77ECE70E"/>
    <w:rsid w:val="B7C5E631"/>
    <w:rsid w:val="B921F01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9">
    <w:name w:val="Default Paragraph Font"/>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qFormat/>
    <w:uiPriority w:val="0"/>
    <w:pPr>
      <w:ind w:left="840" w:leftChars="400"/>
    </w:pPr>
  </w:style>
  <w:style w:type="paragraph" w:styleId="8">
    <w:name w:val="Plain Text"/>
    <w:basedOn w:val="1"/>
    <w:qFormat/>
    <w:uiPriority w:val="0"/>
    <w:rPr>
      <w:rFonts w:ascii="宋体" w:hAnsi="Courier New"/>
      <w:szCs w:val="20"/>
    </w:rPr>
  </w:style>
  <w:style w:type="paragraph" w:styleId="9">
    <w:name w:val="Balloon Text"/>
    <w:basedOn w:val="1"/>
    <w:qFormat/>
    <w:uiPriority w:val="0"/>
    <w:rPr>
      <w:sz w:val="18"/>
      <w:szCs w:val="18"/>
    </w:rPr>
  </w:style>
  <w:style w:type="paragraph" w:styleId="10">
    <w:name w:val="footer"/>
    <w:basedOn w:val="1"/>
    <w:link w:val="23"/>
    <w:qFormat/>
    <w:uiPriority w:val="99"/>
    <w:pPr>
      <w:tabs>
        <w:tab w:val="center" w:pos="4153"/>
        <w:tab w:val="right" w:pos="8306"/>
      </w:tabs>
      <w:snapToGrid w:val="0"/>
      <w:jc w:val="left"/>
    </w:pPr>
    <w:rPr>
      <w:sz w:val="18"/>
      <w:szCs w:val="18"/>
    </w:rPr>
  </w:style>
  <w:style w:type="paragraph" w:styleId="11">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Lines="0" w:beforeAutospacing="1" w:after="100" w:afterLines="0" w:afterAutospacing="1"/>
      <w:jc w:val="left"/>
    </w:pPr>
    <w:rPr>
      <w:rFonts w:ascii="宋体" w:hAnsi="宋体"/>
      <w:color w:val="000000"/>
      <w:kern w:val="0"/>
      <w:sz w:val="24"/>
    </w:rPr>
  </w:style>
  <w:style w:type="paragraph" w:styleId="16">
    <w:name w:val="Title"/>
    <w:basedOn w:val="1"/>
    <w:qFormat/>
    <w:uiPriority w:val="0"/>
    <w:pPr>
      <w:spacing w:before="240" w:beforeLines="0" w:after="60" w:afterLines="0"/>
      <w:jc w:val="center"/>
      <w:outlineLvl w:val="0"/>
    </w:pPr>
    <w:rPr>
      <w:rFonts w:ascii="Arial" w:hAnsi="Arial" w:cs="Arial"/>
      <w:b/>
      <w:bCs/>
      <w:sz w:val="32"/>
      <w:szCs w:val="32"/>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HTML Code"/>
    <w:basedOn w:val="19"/>
    <w:qFormat/>
    <w:uiPriority w:val="0"/>
    <w:rPr>
      <w:rFonts w:ascii="Courier New" w:hAnsi="Courier New"/>
      <w:sz w:val="20"/>
    </w:rPr>
  </w:style>
  <w:style w:type="character" w:customStyle="1" w:styleId="23">
    <w:name w:val="页脚 Char"/>
    <w:link w:val="10"/>
    <w:qFormat/>
    <w:uiPriority w:val="99"/>
    <w:rPr>
      <w:kern w:val="2"/>
      <w:sz w:val="18"/>
      <w:szCs w:val="18"/>
    </w:rPr>
  </w:style>
  <w:style w:type="character" w:customStyle="1" w:styleId="24">
    <w:name w:val="页眉 Char"/>
    <w:link w:val="11"/>
    <w:qFormat/>
    <w:uiPriority w:val="99"/>
    <w:rPr>
      <w:kern w:val="2"/>
      <w:sz w:val="18"/>
      <w:szCs w:val="18"/>
    </w:rPr>
  </w:style>
  <w:style w:type="paragraph" w:customStyle="1" w:styleId="25">
    <w:name w:val="Title"/>
    <w:basedOn w:val="16"/>
    <w:qFormat/>
    <w:uiPriority w:val="0"/>
    <w:pPr>
      <w:widowControl/>
      <w:adjustRightInd w:val="0"/>
      <w:spacing w:after="360" w:afterLines="0" w:line="420" w:lineRule="exact"/>
      <w:textAlignment w:val="baseline"/>
      <w:outlineLvl w:val="9"/>
    </w:pPr>
    <w:rPr>
      <w:rFonts w:cs="Times New Roman"/>
      <w:b w:val="0"/>
      <w:bCs w:val="0"/>
      <w:kern w:val="0"/>
      <w:sz w:val="30"/>
      <w:szCs w:val="20"/>
    </w:rPr>
  </w:style>
  <w:style w:type="paragraph" w:customStyle="1" w:styleId="26">
    <w:name w:val="缩写表"/>
    <w:basedOn w:val="12"/>
    <w:qFormat/>
    <w:uiPriority w:val="0"/>
    <w:pPr>
      <w:adjustRightInd w:val="0"/>
      <w:spacing w:after="120" w:afterLines="0" w:line="400" w:lineRule="exact"/>
      <w:jc w:val="left"/>
      <w:textAlignment w:val="baseline"/>
    </w:pPr>
    <w:rPr>
      <w:spacing w:val="10"/>
      <w:kern w:val="0"/>
      <w:sz w:val="24"/>
      <w:szCs w:val="20"/>
    </w:rPr>
  </w:style>
  <w:style w:type="paragraph" w:customStyle="1" w:styleId="27">
    <w:name w:val=" Char"/>
    <w:basedOn w:val="1"/>
    <w:qFormat/>
    <w:uiPriority w:val="0"/>
  </w:style>
  <w:style w:type="paragraph" w:customStyle="1" w:styleId="28">
    <w:name w:val="论文正文"/>
    <w:basedOn w:val="1"/>
    <w:link w:val="29"/>
    <w:qFormat/>
    <w:uiPriority w:val="1"/>
    <w:pPr>
      <w:widowControl/>
      <w:spacing w:line="360" w:lineRule="auto"/>
      <w:ind w:firstLine="200" w:firstLineChars="200"/>
    </w:pPr>
    <w:rPr>
      <w:rFonts w:cs="Courier New"/>
      <w:bCs/>
      <w:sz w:val="24"/>
    </w:rPr>
  </w:style>
  <w:style w:type="character" w:customStyle="1" w:styleId="29">
    <w:name w:val="论文正文 Char"/>
    <w:basedOn w:val="19"/>
    <w:link w:val="28"/>
    <w:qFormat/>
    <w:uiPriority w:val="1"/>
    <w:rPr>
      <w:rFonts w:cs="Courier New"/>
      <w:bCs/>
      <w:kern w:val="2"/>
      <w:sz w:val="24"/>
      <w:szCs w:val="24"/>
    </w:rPr>
  </w:style>
  <w:style w:type="paragraph" w:customStyle="1" w:styleId="30">
    <w:name w:val="默认标题"/>
    <w:basedOn w:val="1"/>
    <w:next w:val="1"/>
    <w:link w:val="31"/>
    <w:qFormat/>
    <w:uiPriority w:val="4"/>
    <w:pPr>
      <w:jc w:val="center"/>
      <w:outlineLvl w:val="0"/>
    </w:pPr>
    <w:rPr>
      <w:rFonts w:ascii="Arial" w:hAnsi="Arial" w:eastAsia="黑体" w:cs="Times New Roman"/>
      <w:bCs/>
      <w:kern w:val="28"/>
      <w:sz w:val="30"/>
      <w:szCs w:val="32"/>
    </w:rPr>
  </w:style>
  <w:style w:type="character" w:customStyle="1" w:styleId="31">
    <w:name w:val="默认标题 字符"/>
    <w:basedOn w:val="19"/>
    <w:link w:val="30"/>
    <w:qFormat/>
    <w:uiPriority w:val="4"/>
    <w:rPr>
      <w:rFonts w:ascii="Arial" w:hAnsi="Arial" w:eastAsia="黑体" w:cs="Times New Roman"/>
      <w:bCs/>
      <w:kern w:val="28"/>
      <w:sz w:val="3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17</Pages>
  <Words>693</Words>
  <Characters>812</Characters>
  <Lines>45</Lines>
  <Paragraphs>12</Paragraphs>
  <TotalTime>4</TotalTime>
  <ScaleCrop>false</ScaleCrop>
  <LinksUpToDate>false</LinksUpToDate>
  <CharactersWithSpaces>1011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2009-08-26T10:40:00Z</dcterms:created>
  <dc:creator>ICBC</dc:creator>
  <cp:lastModifiedBy>端木子宸</cp:lastModifiedBy>
  <cp:lastPrinted>2017-05-26T21:17:00Z</cp:lastPrinted>
  <dcterms:modified xsi:type="dcterms:W3CDTF">2026-04-21T06:37:14Z</dcterms:modified>
  <dc:title>  _x0001_</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8F579B692A2041D385724214715B228E_13</vt:lpwstr>
  </property>
  <property fmtid="{D5CDD505-2E9C-101B-9397-08002B2CF9AE}" pid="4" name="KSOTemplateDocerSaveRecord">
    <vt:lpwstr>eyJoZGlkIjoiZDgxNzEyNjQxNzMwZTEyOThmZDc5N2NlMmVlOWIxMTMiLCJ1c2VySWQiOiIxMjA4NDcxMTcyIn0=</vt:lpwstr>
  </property>
</Properties>
</file>