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合成动力控制接口规范</w:t>
      </w:r>
    </w:p>
    <w:p>
      <w:r>
        <w:t>版本 2.0    文档族 SYN-CONTROL    开发测试资料</w:t>
      </w:r>
    </w:p>
    <w:p>
      <w:r>
        <w:t>合成开发资料，全部参数与案例为虚构，仅用于 RAG 功能验证，不可用于真实车辆设计或业务效果证明。</w:t>
      </w:r>
    </w:p>
    <w:p>
      <w:pPr>
        <w:pStyle w:val="Heading1"/>
      </w:pPr>
      <w:r>
        <w:t>R01 报文与信号</w:t>
      </w:r>
    </w:p>
    <w:p>
      <w:r>
        <w:t>动力请求报文名称为 SYN_PowerReq，发送周期为 20 ms。报文中的请求有效标志 SYN_ReqValid：0 表示无效，1 表示有效，其他值保留。</w:t>
      </w:r>
    </w:p>
    <w:p>
      <w:pPr>
        <w:pStyle w:val="Heading1"/>
      </w:pPr>
      <w:r>
        <w:t>R02 通信超时</w:t>
      </w:r>
    </w:p>
    <w:p>
      <w:r>
        <w:t>启动屏蔽期结束后，若距最后一帧有效 SYN_PowerReq 的时间达到 150 ms，则置位通信超时故障 SYN_COMM_TIMEOUT。未达到该阈值不置位；不能用丢帧次数替代时间判定。</w:t>
      </w:r>
    </w:p>
    <w:p>
      <w:pPr>
        <w:pStyle w:val="Heading1"/>
      </w:pPr>
      <w:r>
        <w:t>R03 启动屏蔽</w:t>
      </w:r>
    </w:p>
    <w:p>
      <w:r>
        <w:t>自控制器上电起的前 500 ms 为通信超时诊断屏蔽期。屏蔽期间仍接收并更新时间戳，但不置位 SYN_COMM_TIMEOUT；屏蔽结束后按通信超时规则判定。</w:t>
      </w:r>
    </w:p>
    <w:p>
      <w:pPr>
        <w:pStyle w:val="Heading1"/>
      </w:pPr>
      <w:r>
        <w:t>R04 通信恢复</w:t>
      </w:r>
    </w:p>
    <w:p>
      <w:r>
        <w:t>SYN_COMM_TIMEOUT 置位后，连续收到 5 帧校验通过且 SYN_ReqValid=1 的 SYN_PowerReq，清除当前通信超时状态。中途收到无效帧则连续计数归零。此动作不等于清除已存储的诊断历史；本资料不规定历史清除服务。</w:t>
      </w:r>
    </w:p>
    <w:p>
      <w:r>
        <w:br w:type="page"/>
      </w:r>
    </w:p>
    <w:p>
      <w:pPr>
        <w:pStyle w:val="Title"/>
      </w:pPr>
      <w:r>
        <w:t>合成动力控制边界条件</w:t>
      </w:r>
    </w:p>
    <w:p>
      <w:r>
        <w:t>版本 2.0    以下条款与前页共同构成完整规范</w:t>
      </w:r>
    </w:p>
    <w:p>
      <w:pPr>
        <w:pStyle w:val="Heading1"/>
      </w:pPr>
      <w:r>
        <w:t>R05 温度回差</w:t>
      </w:r>
    </w:p>
    <w:p>
      <w:r>
        <w:t>温度信号 SYN_MotorTemp 达到 90 ℃时进入热降额；只有温度降至 85 ℃或以下并连续保持 10 s，才退出热降额。资料不规定降额曲线或传感器标定参数。</w:t>
      </w:r>
    </w:p>
    <w:p>
      <w:pPr>
        <w:pStyle w:val="Heading1"/>
      </w:pPr>
      <w:r>
        <w:t>R06 请求有效性</w:t>
      </w:r>
    </w:p>
    <w:p>
      <w:r>
        <w:t>只有 SYN_ReqValid=1 且当前没有 SYN_COMM_TIMEOUT 时，才允许采用本帧请求值；否则本周期采用零请求值。资料未给出请求值的物理量程或最大允许扭矩。</w:t>
      </w:r>
    </w:p>
    <w:p>
      <w:pPr>
        <w:pStyle w:val="Heading1"/>
      </w:pPr>
      <w:r>
        <w:t>R07 电压诊断</w:t>
      </w:r>
    </w:p>
    <w:p>
      <w:r>
        <w:t>供电电压 SYN_SupplyVoltage 严格低于 9 V 或严格高于 16 V，并连续保持 100 ms，才置位电压故障。电压回到闭区间 [9 V, 16 V] 时，尚未完成的异常持续计时归零；恰好 9 V 或 16 V 不属于异常。</w:t>
      </w:r>
    </w:p>
    <w:p>
      <w:pPr>
        <w:pStyle w:val="Heading1"/>
      </w:pPr>
      <w:r>
        <w:t>R08 适用范围</w:t>
      </w:r>
    </w:p>
    <w:p>
      <w:r>
        <w:t>本规范只定义合成控制器的上述接口与判定行为，不指定 MCU 型号、诊断服务编号、标定数据、量产车型或事故统计。历史案例中的验证次数仅为合成案例记录，不能推广为可靠性指标。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合成资料  仅供开发验证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