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rPr>
        <w:tc>
          <w:tcPr>
            <w:tcW w:w="10206" w:type="dxa"/>
            <w:tcBorders/>
          </w:tcPr>
          <w:p>
            <w:pPr>
              <w:pStyle w:val="Style15"/>
              <w:spacing w:before="120" w:after="0"/>
            </w:pPr>
            <w:r>
              <w:rPr>
                <w:sz w:val="32"/>
                <w:szCs w:val="32"/>
              </w:rPr>
              <w:t xml:space="preserve">갠트리 크레인 레일 점검 자동화를 위한 센서 모듈·디지털 트윈 기반 결함 진단 시스템</w:t>
            </w:r>
          </w:p>
        </w:tc>
      </w:tr>
      <w:tr>
        <w:trPr>
          <w:trHeight w:val="120" w:hRule="atLeast"/>
        </w:trPr>
        <w:tc>
          <w:tcPr>
            <w:tcW w:w="10206" w:type="dxa"/>
            <w:tcBorders/>
          </w:tcPr>
          <w:p>
            <w:pPr>
              <w:pStyle w:val="Normal"/>
              <w:snapToGrid w:val="false"/>
              <w:rPr>
                <w:sz w:val="16"/>
              </w:rPr>
            </w:pPr>
          </w:p>
        </w:tc>
      </w:tr>
      <w:tr>
        <w:trPr/>
        <w:tc>
          <w:tcPr>
            <w:tcW w:w="10206" w:type="dxa"/>
            <w:tcBorders/>
          </w:tcPr>
          <w:p>
            <w:pPr>
              <w:pStyle w:val="Style16"/>
            </w:pPr>
            <w:r>
              <w:rPr>
                <w:sz w:val="20"/>
                <w:szCs w:val="20"/>
              </w:rPr>
              <w:t xml:space="preserve">배용진</w:t>
            </w:r>
            <w:r>
              <w:rPr>
                <w:sz w:val="20"/>
                <w:szCs w:val="20"/>
                <w:vertAlign w:val="superscript"/>
              </w:rPr>
              <w:t xml:space="preserve">1</w:t>
            </w:r>
            <w:r>
              <w:rPr>
                <w:sz w:val="20"/>
                <w:szCs w:val="20"/>
              </w:rPr>
              <w:t xml:space="preserve">, </w:t>
            </w:r>
            <w:r>
              <w:rPr>
                <w:highlight w:val="yellow"/>
                <w:sz w:val="20"/>
                <w:szCs w:val="20"/>
              </w:rPr>
              <w:t xml:space="preserve">김정우</w:t>
            </w:r>
            <w:r>
              <w:rPr>
                <w:highlight w:val="yellow"/>
                <w:sz w:val="20"/>
                <w:szCs w:val="20"/>
                <w:vertAlign w:val="superscript"/>
              </w:rPr>
              <w:t xml:space="preserve">2</w:t>
            </w:r>
            <w:r>
              <w:rPr>
                <w:highlight w:val="yellow"/>
                <w:sz w:val="20"/>
                <w:szCs w:val="20"/>
              </w:rPr>
              <w:t xml:space="preserve">, 배준호</w:t>
            </w:r>
            <w:r>
              <w:rPr>
                <w:highlight w:val="yellow"/>
                <w:sz w:val="20"/>
                <w:szCs w:val="20"/>
                <w:vertAlign w:val="superscript"/>
              </w:rPr>
              <w:t xml:space="preserve">2</w:t>
            </w:r>
            <w:r>
              <w:rPr>
                <w:highlight w:val="yellow"/>
                <w:sz w:val="20"/>
                <w:szCs w:val="20"/>
              </w:rPr>
              <w:t xml:space="preserve">, 김병서</w:t>
            </w:r>
            <w:r>
              <w:rPr>
                <w:highlight w:val="yellow"/>
                <w:sz w:val="20"/>
                <w:szCs w:val="20"/>
                <w:vertAlign w:val="superscript"/>
              </w:rPr>
              <w:t xml:space="preserve">2</w:t>
            </w:r>
            <w:r>
              <w:rPr>
                <w:highlight w:val="yellow"/>
                <w:sz w:val="20"/>
                <w:szCs w:val="20"/>
              </w:rPr>
              <w:t xml:space="preserve"> (저자 순서·소속 확인)</w:t>
            </w:r>
          </w:p>
          <w:p>
            <w:pPr>
              <w:pStyle w:val="Style16"/>
            </w:pPr>
            <w:r>
              <w:rPr>
                <w:sz w:val="20"/>
                <w:szCs w:val="20"/>
                <w:vertAlign w:val="superscript"/>
              </w:rPr>
              <w:t xml:space="preserve">1</w:t>
            </w:r>
            <w:r>
              <w:rPr>
                <w:sz w:val="20"/>
                <w:szCs w:val="20"/>
              </w:rPr>
              <w:t xml:space="preserve">부산대학교 기계공학부 학부생</w:t>
            </w:r>
          </w:p>
          <w:p>
            <w:pPr>
              <w:pStyle w:val="Style16"/>
            </w:pPr>
            <w:r>
              <w:rPr>
                <w:highlight w:val="yellow"/>
                <w:sz w:val="20"/>
                <w:szCs w:val="20"/>
                <w:vertAlign w:val="superscript"/>
              </w:rPr>
              <w:t xml:space="preserve">2</w:t>
            </w:r>
            <w:r>
              <w:rPr>
                <w:highlight w:val="yellow"/>
                <w:sz w:val="20"/>
                <w:szCs w:val="20"/>
              </w:rPr>
              <w:t xml:space="preserve">OO대학교 OO학과 학부생</w:t>
            </w:r>
          </w:p>
          <w:p>
            <w:pPr>
              <w:pStyle w:val="Style16"/>
              <w:spacing w:before="80"/>
            </w:pPr>
            <w:r>
              <w:rPr>
                <w:sz w:val="18"/>
                <w:szCs w:val="18"/>
              </w:rPr>
              <w:t xml:space="preserve">dydwls315@gmail.com, </w:t>
            </w:r>
            <w:r>
              <w:rPr>
                <w:highlight w:val="yellow"/>
                <w:sz w:val="18"/>
                <w:szCs w:val="18"/>
              </w:rPr>
              <w:t xml:space="preserve">공동저자 이메일</w:t>
            </w:r>
          </w:p>
        </w:tc>
      </w:tr>
      <w:tr>
        <w:trPr>
          <w:trHeight w:val="200" w:hRule="atLeast"/>
        </w:trPr>
        <w:tc>
          <w:tcPr>
            <w:tcW w:w="10206" w:type="dxa"/>
            <w:tcBorders/>
          </w:tcPr>
          <w:p>
            <w:pPr>
              <w:pStyle w:val="Normal"/>
              <w:snapToGrid w:val="false"/>
              <w:rPr>
                <w:sz w:val="16"/>
              </w:rPr>
            </w:pPr>
          </w:p>
        </w:tc>
      </w:tr>
      <w:tr>
        <w:trPr/>
        <w:tc>
          <w:tcPr>
            <w:tcW w:w="10206" w:type="dxa"/>
            <w:tcBorders/>
          </w:tcPr>
          <w:p>
            <w:pPr>
              <w:pStyle w:val="Style17"/>
              <w:spacing w:before="60" w:after="0"/>
            </w:pPr>
            <w:r>
              <w:rPr>
                <w:sz w:val="32"/>
                <w:szCs w:val="32"/>
              </w:rPr>
              <w:t xml:space="preserve">A Sensor Module and Digital Twin-Based Rail Defect Diagnosis System for Automated Inspection of Gantry Crane Rails</w:t>
            </w:r>
          </w:p>
        </w:tc>
      </w:tr>
      <w:tr>
        <w:trPr>
          <w:trHeight w:val="120" w:hRule="atLeast"/>
        </w:trPr>
        <w:tc>
          <w:tcPr>
            <w:tcW w:w="10206" w:type="dxa"/>
            <w:tcBorders/>
          </w:tcPr>
          <w:p>
            <w:pPr>
              <w:pStyle w:val="Normal"/>
              <w:snapToGrid w:val="false"/>
              <w:rPr>
                <w:sz w:val="16"/>
              </w:rPr>
            </w:pPr>
          </w:p>
        </w:tc>
      </w:tr>
      <w:tr>
        <w:trPr/>
        <w:tc>
          <w:tcPr>
            <w:tcW w:w="10206" w:type="dxa"/>
            <w:tcBorders/>
          </w:tcPr>
          <w:p>
            <w:pPr>
              <w:pStyle w:val="Style18"/>
            </w:pPr>
            <w:r>
              <w:rPr>
                <w:sz w:val="20"/>
                <w:szCs w:val="20"/>
              </w:rPr>
              <w:t xml:space="preserve">Yong-Jin Bae</w:t>
            </w:r>
            <w:r>
              <w:rPr>
                <w:sz w:val="20"/>
                <w:szCs w:val="20"/>
                <w:vertAlign w:val="superscript"/>
              </w:rPr>
              <w:t xml:space="preserve">1</w:t>
            </w:r>
            <w:r>
              <w:rPr>
                <w:sz w:val="20"/>
                <w:szCs w:val="20"/>
              </w:rPr>
              <w:t xml:space="preserve">, </w:t>
            </w:r>
            <w:r>
              <w:rPr>
                <w:highlight w:val="yellow"/>
                <w:sz w:val="20"/>
                <w:szCs w:val="20"/>
              </w:rPr>
              <w:t xml:space="preserve">Jeong-Woo Kim</w:t>
            </w:r>
            <w:r>
              <w:rPr>
                <w:highlight w:val="yellow"/>
                <w:sz w:val="20"/>
                <w:szCs w:val="20"/>
                <w:vertAlign w:val="superscript"/>
              </w:rPr>
              <w:t xml:space="preserve">2</w:t>
            </w:r>
            <w:r>
              <w:rPr>
                <w:highlight w:val="yellow"/>
                <w:sz w:val="20"/>
                <w:szCs w:val="20"/>
              </w:rPr>
              <w:t xml:space="preserve">, Jun-Ho Bae</w:t>
            </w:r>
            <w:r>
              <w:rPr>
                <w:highlight w:val="yellow"/>
                <w:sz w:val="20"/>
                <w:szCs w:val="20"/>
                <w:vertAlign w:val="superscript"/>
              </w:rPr>
              <w:t xml:space="preserve">2</w:t>
            </w:r>
            <w:r>
              <w:rPr>
                <w:highlight w:val="yellow"/>
                <w:sz w:val="20"/>
                <w:szCs w:val="20"/>
              </w:rPr>
              <w:t xml:space="preserve">, Byeong-Seo Kim</w:t>
            </w:r>
            <w:r>
              <w:rPr>
                <w:highlight w:val="yellow"/>
                <w:sz w:val="20"/>
                <w:szCs w:val="20"/>
                <w:vertAlign w:val="superscript"/>
              </w:rPr>
              <w:t xml:space="preserve">2</w:t>
            </w:r>
            <w:r>
              <w:rPr>
                <w:highlight w:val="yellow"/>
                <w:sz w:val="20"/>
                <w:szCs w:val="20"/>
              </w:rPr>
              <w:t xml:space="preserve"> (영문 표기 확인)</w:t>
            </w:r>
          </w:p>
          <w:p>
            <w:pPr>
              <w:pStyle w:val="Style18"/>
            </w:pPr>
            <w:r>
              <w:rPr>
                <w:sz w:val="20"/>
                <w:szCs w:val="20"/>
                <w:vertAlign w:val="superscript"/>
              </w:rPr>
              <w:t xml:space="preserve">1</w:t>
            </w:r>
            <w:r>
              <w:rPr>
                <w:sz w:val="20"/>
                <w:szCs w:val="20"/>
              </w:rPr>
              <w:t xml:space="preserve">School of Mechanical Engineering, Pusan National University</w:t>
            </w:r>
          </w:p>
          <w:p>
            <w:pPr>
              <w:pStyle w:val="Style18"/>
            </w:pPr>
            <w:r>
              <w:rPr>
                <w:highlight w:val="yellow"/>
                <w:sz w:val="20"/>
                <w:szCs w:val="20"/>
                <w:vertAlign w:val="superscript"/>
              </w:rPr>
              <w:t xml:space="preserve">2</w:t>
            </w:r>
            <w:r>
              <w:rPr>
                <w:highlight w:val="yellow"/>
                <w:sz w:val="20"/>
                <w:szCs w:val="20"/>
              </w:rPr>
              <w:t xml:space="preserve">Dept. of OO, OO University</w:t>
            </w:r>
          </w:p>
        </w:tc>
      </w:tr>
      <w:tr>
        <w:trPr>
          <w:trHeight w:val="200" w:hRule="atLeast"/>
        </w:trPr>
        <w:tc>
          <w:tcPr>
            <w:tcW w:w="10206" w:type="dxa"/>
            <w:tcBorders/>
          </w:tcPr>
          <w:p>
            <w:pPr>
              <w:pStyle w:val="Normal"/>
              <w:snapToGrid w:val="false"/>
              <w:rPr>
                <w:sz w:val="16"/>
              </w:rPr>
            </w:pPr>
          </w:p>
        </w:tc>
      </w:tr>
      <w:tr>
        <w:trPr/>
        <w:tc>
          <w:tcPr>
            <w:tcW w:w="10206" w:type="dxa"/>
            <w:tcBorders/>
          </w:tcPr>
          <w:p>
            <w:pPr>
              <w:pStyle w:val="Style19"/>
              <w:spacing w:lineRule="auto" w:line="300"/>
              <w:jc w:val="center"/>
            </w:pPr>
            <w:r>
              <w:rPr>
                <w:b/>
                <w:bCs/>
                <w:sz w:val="20"/>
                <w:szCs w:val="20"/>
              </w:rPr>
              <w:t xml:space="preserve">요       약</w:t>
            </w:r>
          </w:p>
          <w:p>
            <w:pPr>
              <w:pStyle w:val="Style19"/>
              <w:spacing w:lineRule="auto" w:line="264"/>
              <w:ind w:firstLine="360" w:start="850" w:end="851"/>
              <w:jc w:val="both"/>
            </w:pPr>
            <w:r>
              <w:rPr/>
              <w:t xml:space="preserve">갠트리 크레인 주행 레일의 이음부 단차, 수직 변형, 좌우 높이차는 주행 충격과 탈선 위험을 키우지만, 현장 점검은 육안 순회나 별도 장비를 쓰는 정기 측량에 의존한다. 본 논문은 크레인 대차에 부착해 일상 주행 중 레일 결함을 진단하는 센서 모듈과 디지털 트윈 시스템을 제안한다. 센서 모듈은 앞뒤 바퀴를 기준선으로 좌·우 와전류 변위센서가 레일 높이를 재고, 엔코더로 주행 위치를 함께 기록한다. 좌·우 평균 간격과 좌·우 차 신호에 현측정 이론 파형을 맞춰 결함을 ISO 12488-1 기반 4분류(정상·이음부 단차·수직 변형·좌우 높이차)로 판별하고, 3단계로 판정하여 웹 대처 지침과 Unity 디지털 트윈에 위치와 함께 표시한다. 3D 프린팅 받침으로 2 mm 결함을 재현한 시험 레일에서 구성별 6회씩 24회 주행한 결과, 이음부 단차 1.84 ± 0.02 mm, 수직 변형 1.98 ± 0.09 mm로 계측되었고 24회 중 23회를 올바르게 판별하여, 크레인의 일상 주행만으로 레일 결함 점검을 자동화할 수 있음을 시험 장치 조건에서 확인하였다.</w:t>
            </w:r>
          </w:p>
        </w:tc>
      </w:tr>
      <w:tr>
        <w:trPr>
          <w:trHeight w:val="160" w:hRule="atLeast"/>
        </w:trPr>
        <w:tc>
          <w:tcPr>
            <w:tcW w:w="10206" w:type="dxa"/>
            <w:tcBorders/>
          </w:tcPr>
          <w:p>
            <w:pPr>
              <w:pStyle w:val="Normal"/>
              <w:snapToGrid w:val="false"/>
              <w:rPr>
                <w:sz w:val="16"/>
              </w:rPr>
            </w:pP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numPr>
          <w:ilvl w:val="0"/>
          <w:numId w:val="1"/>
        </w:numPr>
        <w:spacing w:lineRule="auto" w:line="264" w:before="110" w:after="40"/>
        <w:ind w:hanging="227" w:start="227" w:end="0"/>
      </w:pPr>
      <w:r>
        <w:rPr/>
        <w:t xml:space="preserve">서론</w:t>
      </w:r>
    </w:p>
    <w:p>
      <w:pPr>
        <w:pStyle w:val="Style20"/>
        <w:spacing w:lineRule="auto" w:line="264" w:before="0" w:after="0"/>
        <w:ind w:firstLine="200" w:end="0"/>
      </w:pPr>
      <w:r>
        <w:rPr/>
        <w:t xml:space="preserve">항만과 조선소의 갠트리 크레인 레일은 큰 바퀴 하중과 지반 침하, 온도 변화로 조금씩 변형된다. 이음부 단차나 침하, 좌우 높이차가 생기면 바퀴와 구동부에 충격이 반복되고 차체가 기울어, 주행 레일의 기하 공차는 ISO 12488-1에 규정되어 관리된다[1].</w:t>
      </w:r>
    </w:p>
    <w:p>
      <w:pPr>
        <w:pStyle w:val="Style20"/>
        <w:spacing w:lineRule="auto" w:line="264" w:before="0" w:after="0"/>
        <w:ind w:firstLine="200" w:end="0"/>
      </w:pPr>
      <w:r>
        <w:rPr/>
        <w:t xml:space="preserve">그러나 현장의 레일 점검은 주로 육안 순회나 일시적인 측량에 의존하여, 레일 전 구간의 상태를 위치별로 자주 기록하기 어렵다. 이를 개선하기 위해 레일 위를 이동하는 측정 대차에 경사계·변위센서·카메라를 달고 지상의 레이저 트래커로 위치를 추적하는 방법[2], 레이저 스캐너·IMU·오도미터를 갖춘 측정 차량과 외부 추적 센서를 결합한 방법[3]이 제안되었다. 이 방법들은 정밀하지만 별도의 측정 차량과 외부 추적 장비가 필요하여 크레인에 상시 부착해 매 주행마다 기록하기 어렵고, 결과 해석이 측정자의 경험에 의존한다는 한계도 지적된다[3]. 한편 항만 디지털 트윈 연구는 선박·크레인·야드 장비의 운영 스케줄링에 초점을 두어 레일의 기하 상태는 다루지 않는다[4].</w:t>
      </w:r>
    </w:p>
    <w:p>
      <w:pPr>
        <w:pStyle w:val="Style20"/>
        <w:spacing w:lineRule="auto" w:line="264" w:before="0" w:after="0"/>
        <w:ind w:firstLine="200" w:end="0"/>
      </w:pPr>
      <w:r>
        <w:rPr/>
        <w:t xml:space="preserve">본 연구는 크레인 대차에 상시 부착한 센서 모듈로 일상 주행 중 레일 결함을 진단하고, 그 결과를 대처 지침과 디지털 트윈으로 제공하여 레일 점검을 자동화하는 것을 목표로 한다. 주요 기여는 (1) 외부 추적 장비 없이 좌·우 와전류 변위센서와 엔코더 신호에 현측정 이론 파형을 맞춰 레일 결함을 ISO 12488-1 기반 4가지로 판별하는 방법, (2) 표준 공차를 한계선으로 한 3단계 판정 규칙, (3) 판정 결과를 위치와 함께 보여주는 웹 대시보드와 Unity 디지털 트윈 구현이다. 3D 프린팅 받침으로 크기를 정해 재현한 결함 24회 주행에서 판별 정확도와 크기 오차를 평가하였다.</w:t>
      </w:r>
    </w:p>
    <w:p>
      <w:pPr>
        <w:pStyle w:val="Style22"/>
        <w:keepNext/>
        <w:numPr>
          <w:ilvl w:val="0"/>
          <w:numId w:val="1"/>
        </w:numPr>
        <w:spacing w:lineRule="auto" w:line="264" w:before="110" w:after="40"/>
        <w:ind w:hanging="227" w:start="227" w:end="0"/>
      </w:pPr>
      <w:r>
        <w:rPr/>
        <w:t xml:space="preserve">제안 시스템</w:t>
      </w:r>
    </w:p>
    <w:p>
      <w:pPr>
        <w:pStyle w:val="Style20"/>
        <w:keepNext/>
        <w:spacing w:lineRule="auto" w:line="264" w:before="70" w:after="20"/>
        <w:ind w:firstLine="0" w:start="0" w:end="0"/>
      </w:pPr>
      <w:r>
        <w:rPr>
          <w:b/>
          <w:bCs/>
        </w:rPr>
        <w:t xml:space="preserve">2.1 전체 구성</w:t>
      </w:r>
    </w:p>
    <w:p>
      <w:pPr>
        <w:pStyle w:val="Style20"/>
        <w:spacing w:lineRule="auto" w:line="264" w:before="0" w:after="0"/>
        <w:ind w:firstLine="200" w:end="0"/>
      </w:pPr>
      <w:r>
        <w:rPr/>
        <w:t xml:space="preserve">제안 시스템은 대차에 탑재한 센서 모듈, 서버, 웹 대처 지침 페이지, Unity 디지털 트윈으로 구성된다(그림 1). 센서 모듈은 20 ms마다 주행 거리, 좌·우 간격, 3축 가속도를 MQTT로 서버에 전송하고, 서버는 이를 저장하고 결함을 판별·판정하여 웹과 디지털 트윈에 제공한다.</w:t>
      </w:r>
    </w:p>
    <w:p>
      <w:pPr>
        <w:pStyle w:val="Style20"/>
        <w:spacing w:lineRule="auto" w:line="264" w:before="0" w:after="0"/>
        <w:ind w:firstLine="200" w:end="0"/>
      </w:pPr>
      <w:r>
        <w:rPr/>
        <w:t xml:space="preserve">센서 모듈은 마이크로컨트롤러(ESP32-S3) 1개와 좌·우 같은 구성의 채널로 이루어지며, 각 채널은 와전류 변위센서(LR18-08U, 측정 범위 8 mm, 응답 100 Hz), 16비트 ADC(ADS1115), 관성센서(MPU6050), 엔코더 내장 기어드 모터(JGB37-520)로 구성된다. 변위센서는 앞뒤 바퀴(간격 500 mm)의 가운데에 달려, 두 바퀴를 잇는 직선을 기준으로 레일 높이를 재는 현측정(versine) 방식으로 동작한다. 센서의 비선형 출력은 5점 구간 선형 보정으로 간격으로 바꾼다.</w:t>
      </w:r>
    </w:p>
    <w:p>
      <w:pPr>
        <w:pStyle w:val="Style20"/>
        <w:keepNext/>
        <w:spacing w:before="80" w:after="0"/>
        <w:ind w:firstLine="0" w:start="0" w:end="0"/>
        <w:jc w:val="center"/>
      </w:pPr>
      <w:r>
        <w:rPr/>
        <w:drawing>
          <wp:inline distT="0" distB="0" distL="0" distR="0">
            <wp:extent cx="2304000" cy="2235223"/>
            <wp:effectExtent l="0" t="0" r="0" b="0"/>
            <wp:docPr id="1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png"/>
                    <pic:cNvPicPr/>
                  </pic:nvPicPr>
                  <pic:blipFill>
                    <a:blip r:embed="rIdFig1"/>
                    <a:stretch>
                      <a:fillRect/>
                    </a:stretch>
                  </pic:blipFill>
                  <pic:spPr>
                    <a:xfrm>
                      <a:off x="0" y="0"/>
                      <a:ext cx="2304000" cy="2235223"/>
                    </a:xfrm>
                    <a:prstGeom prst="rect">
                      <a:avLst/>
                    </a:prstGeom>
                  </pic:spPr>
                </pic:pic>
              </a:graphicData>
            </a:graphic>
          </wp:inline>
        </w:drawing>
      </w:r>
    </w:p>
    <w:p>
      <w:pPr>
        <w:pStyle w:val="Style21"/>
        <w:spacing w:before="40" w:after="160"/>
        <w:ind w:firstLine="0" w:start="0" w:end="0"/>
        <w:jc w:val="center"/>
      </w:pPr>
      <w:r>
        <w:rPr>
          <w:rFonts w:ascii="바탕체" w:hAnsi="바탕체" w:eastAsia="바탕체" w:cs="바탕체"/>
          <w:sz w:val="18"/>
          <w:szCs w:val="18"/>
        </w:rPr>
        <w:t xml:space="preserve">(그림 1) 시스템 구성.</w:t>
      </w:r>
    </w:p>
    <w:p>
      <w:pPr>
        <w:pStyle w:val="Style20"/>
        <w:keepNext/>
        <w:spacing w:lineRule="auto" w:line="264" w:before="70" w:after="20"/>
        <w:ind w:firstLine="0" w:start="0" w:end="0"/>
      </w:pPr>
      <w:r>
        <w:rPr>
          <w:b/>
          <w:bCs/>
        </w:rPr>
        <w:t xml:space="preserve">2.2 결함 분류와 판별</w:t>
      </w:r>
    </w:p>
    <w:p>
      <w:pPr>
        <w:pStyle w:val="Style20"/>
        <w:spacing w:lineRule="auto" w:line="264" w:before="0" w:after="0"/>
        <w:ind w:firstLine="200" w:end="0"/>
      </w:pPr>
      <w:r>
        <w:rPr/>
        <w:t xml:space="preserve">결함은 ISO 12488-1의 기하 공차 항목 중 위쪽을 향한 센서로 잴 수 있는 수직 직진도(C, c), 좌우 높이차(E), 이음부 단차(HF)에 대응시켜[1], 정상·이음부 단차·수직 변형·좌우 높이차의 4가지로 나눈다. 판별은 다음 순서로 한다. ① 정상 레일을 주행한 평균 신호를 기준선으로 빼서 좌·우 간격 변화 g</w:t>
      </w:r>
      <w:r>
        <w:rPr>
          <w:vertAlign w:val="subscript"/>
        </w:rPr>
        <w:t xml:space="preserve">L</w:t>
      </w:r>
      <w:r>
        <w:rPr/>
        <w:t xml:space="preserve">, g</w:t>
      </w:r>
      <w:r>
        <w:rPr>
          <w:vertAlign w:val="subscript"/>
        </w:rPr>
        <w:t xml:space="preserve">R</w:t>
      </w:r>
      <w:r>
        <w:rPr/>
        <w:t xml:space="preserve">을 구하고, 평균 간격 m = (g</w:t>
      </w:r>
      <w:r>
        <w:rPr>
          <w:vertAlign w:val="subscript"/>
        </w:rPr>
        <w:t xml:space="preserve">L</w:t>
      </w:r>
      <w:r>
        <w:rPr/>
        <w:t xml:space="preserve"> + g</w:t>
      </w:r>
      <w:r>
        <w:rPr>
          <w:vertAlign w:val="subscript"/>
        </w:rPr>
        <w:t xml:space="preserve">R</w:t>
      </w:r>
      <w:r>
        <w:rPr/>
        <w:t xml:space="preserve">)/2와 좌우 차 Δ = g</w:t>
      </w:r>
      <w:r>
        <w:rPr>
          <w:vertAlign w:val="subscript"/>
        </w:rPr>
        <w:t xml:space="preserve">L</w:t>
      </w:r>
      <w:r>
        <w:rPr/>
        <w:t xml:space="preserve"> − g</w:t>
      </w:r>
      <w:r>
        <w:rPr>
          <w:vertAlign w:val="subscript"/>
        </w:rPr>
        <w:t xml:space="preserve">R</w:t>
      </w:r>
      <w:r>
        <w:rPr/>
        <w:t xml:space="preserve">를 만든다. ② 레일 높이 h(x)에 대해 식 (1)의 현측정 응답으로 계산한 이음부 단차의 계단형 파형 t</w:t>
      </w:r>
      <w:r>
        <w:rPr>
          <w:vertAlign w:val="subscript"/>
        </w:rPr>
        <w:t xml:space="preserve">HF</w:t>
      </w:r>
      <w:r>
        <w:rPr/>
        <w:t xml:space="preserve">와 완만한 높이 변화의 꺾임형 파형 t</w:t>
      </w:r>
      <w:r>
        <w:rPr>
          <w:vertAlign w:val="subscript"/>
        </w:rPr>
        <w:t xml:space="preserve">C</w:t>
      </w:r>
      <w:r>
        <w:rPr/>
        <w:t xml:space="preserve">를 m과 Δ에 최소제곱으로 맞춰 결함 크기를 추정한다. ③ &lt;표 1&gt;의 규칙으로 분류한다. 임계값 1 mm는 재현 결함 크기(2 mm)의 절반이다. 이음부 틈(3 mm)의 짧은 신호는 위치 기준점으로 쓰고, 크기 추정에서는 틈 중심 ±20 mm를 제외한다.</w:t>
      </w:r>
    </w:p>
    <w:p>
      <w:pPr>
        <w:pStyle w:val="Style20"/>
        <w:spacing w:lineRule="auto" w:line="264" w:before="40" w:after="40"/>
        <w:ind w:firstLine="0" w:start="0" w:end="0"/>
        <w:jc w:val="center"/>
      </w:pPr>
      <w:r>
        <w:rPr/>
        <w:t xml:space="preserve">v(x) = {h(x − L/2) + h(x + L/2)}/2 − h(x),   L = 500 mm     (1)</w:t>
      </w:r>
    </w:p>
    <w:p>
      <w:pPr>
        <w:pStyle w:val="Style20"/>
        <w:keepNext/>
        <w:spacing w:before="120" w:after="60"/>
        <w:ind w:firstLine="0" w:start="0" w:end="0"/>
        <w:jc w:val="center"/>
      </w:pPr>
      <w:r>
        <w:rPr>
          <w:rFonts w:ascii="바탕체" w:hAnsi="바탕체" w:eastAsia="바탕체" w:cs="바탕체"/>
          <w:sz w:val="18"/>
          <w:szCs w:val="18"/>
        </w:rPr>
        <w:t xml:space="preserve">&lt;표 1&gt; 결함 분류와 판별 규칙 (임계값 1 mm)</w:t>
      </w:r>
    </w:p>
    <w:tbl>
      <w:tblPr>
        <w:tblW w:w="4900" w:type="dxa"/>
        <w:jc w:val="center"/>
        <w:tblLayout w:type="fixed"/>
        <w:tblCellMar>
          <w:start w:w="40" w:type="dxa"/>
          <w:end w:w="40" w:type="dxa"/>
        </w:tblCellMar>
      </w:tblPr>
      <w:tblGrid>
        <w:gridCol w:w="1250"/>
        <w:gridCol w:w="900"/>
        <w:gridCol w:w="2750"/>
      </w:tblGrid>
      <w:tr>
        <w:tc>
          <w:tcPr>
            <w:tcW w:w="1250" w:type="dxa"/>
            <w:tcBorders>
              <w:top w:val="single" w:sz="8" w:space="0" w:color="000000"/>
              <w:bottom w:val="single" w:sz="8" w:space="0" w:color="000000"/>
            </w:tcBorders>
            <w:shd w:val="clear" w:color="auto" w:fill="EFEFEF"/>
            <w:vAlign w:val="center"/>
          </w:tcPr>
          <w:p>
            <w:pPr>
              <w:pStyle w:val="Style20"/>
              <w:spacing w:before="20" w:after="20" w:line="240" w:lineRule="auto"/>
              <w:ind w:firstLine="0" w:start="0" w:end="0"/>
              <w:jc w:val="center"/>
            </w:pPr>
            <w:r>
              <w:rPr>
                <w:b/>
                <w:bCs/>
                <w:sz w:val="16"/>
                <w:szCs w:val="16"/>
              </w:rPr>
              <w:t xml:space="preserve">분류</w:t>
            </w:r>
          </w:p>
        </w:tc>
        <w:tc>
          <w:tcPr>
            <w:tcW w:w="900" w:type="dxa"/>
            <w:tcBorders>
              <w:top w:val="single" w:sz="8" w:space="0" w:color="000000"/>
              <w:bottom w:val="single" w:sz="8" w:space="0" w:color="000000"/>
            </w:tcBorders>
            <w:shd w:val="clear" w:color="auto" w:fill="EFEFEF"/>
            <w:vAlign w:val="center"/>
          </w:tcPr>
          <w:p>
            <w:pPr>
              <w:pStyle w:val="Style20"/>
              <w:spacing w:before="20" w:after="20" w:line="240" w:lineRule="auto"/>
              <w:ind w:firstLine="0" w:start="0" w:end="0"/>
              <w:jc w:val="center"/>
            </w:pPr>
            <w:r>
              <w:rPr>
                <w:b/>
                <w:bCs/>
                <w:sz w:val="16"/>
                <w:szCs w:val="16"/>
              </w:rPr>
              <w:t xml:space="preserve">ISO 기호</w:t>
            </w:r>
          </w:p>
        </w:tc>
        <w:tc>
          <w:tcPr>
            <w:tcW w:w="2750" w:type="dxa"/>
            <w:tcBorders>
              <w:top w:val="single" w:sz="8" w:space="0" w:color="000000"/>
              <w:bottom w:val="single" w:sz="8" w:space="0" w:color="000000"/>
            </w:tcBorders>
            <w:shd w:val="clear" w:color="auto" w:fill="EFEFEF"/>
            <w:vAlign w:val="center"/>
          </w:tcPr>
          <w:p>
            <w:pPr>
              <w:pStyle w:val="Style20"/>
              <w:spacing w:before="20" w:after="20" w:line="240" w:lineRule="auto"/>
              <w:ind w:firstLine="0" w:start="0" w:end="0"/>
              <w:jc w:val="center"/>
            </w:pPr>
            <w:r>
              <w:rPr>
                <w:b/>
                <w:bCs/>
                <w:sz w:val="16"/>
                <w:szCs w:val="16"/>
              </w:rPr>
              <w:t xml:space="preserve">판별 조건</w:t>
            </w:r>
          </w:p>
        </w:tc>
      </w:tr>
      <w:tr>
        <w:tc>
          <w:tcPr>
            <w:tcW w:w="1250" w:type="dxa"/>
            <w:tcBorders/>
            <w:vAlign w:val="center"/>
          </w:tcPr>
          <w:p>
            <w:pPr>
              <w:pStyle w:val="Style20"/>
              <w:spacing w:before="20" w:after="20" w:line="240" w:lineRule="auto"/>
              <w:ind w:firstLine="0" w:start="0" w:end="0"/>
              <w:jc w:val="center"/>
            </w:pPr>
            <w:r>
              <w:rPr>
                <w:sz w:val="16"/>
                <w:szCs w:val="16"/>
              </w:rPr>
              <w:t xml:space="preserve">이음부 단차</w:t>
            </w:r>
          </w:p>
        </w:tc>
        <w:tc>
          <w:tcPr>
            <w:tcW w:w="900" w:type="dxa"/>
            <w:tcBorders/>
            <w:vAlign w:val="center"/>
          </w:tcPr>
          <w:p>
            <w:pPr>
              <w:pStyle w:val="Style20"/>
              <w:spacing w:before="20" w:after="20" w:line="240" w:lineRule="auto"/>
              <w:ind w:firstLine="0" w:start="0" w:end="0"/>
              <w:jc w:val="center"/>
            </w:pPr>
            <w:r>
              <w:rPr>
                <w:sz w:val="16"/>
                <w:szCs w:val="16"/>
              </w:rPr>
              <w:t xml:space="preserve">HF</w:t>
            </w:r>
          </w:p>
        </w:tc>
        <w:tc>
          <w:tcPr>
            <w:tcW w:w="2750" w:type="dxa"/>
            <w:tcBorders/>
            <w:vAlign w:val="center"/>
          </w:tcPr>
          <w:p>
            <w:pPr>
              <w:pStyle w:val="Style20"/>
              <w:spacing w:before="20" w:after="20" w:line="240" w:lineRule="auto"/>
              <w:ind w:firstLine="0" w:start="0" w:end="0"/>
              <w:jc w:val="center"/>
            </w:pPr>
            <w:r>
              <w:rPr>
                <w:sz w:val="16"/>
                <w:szCs w:val="16"/>
              </w:rPr>
              <w:t xml:space="preserve">m의 t</w:t>
            </w:r>
            <w:r>
              <w:rPr>
                <w:sz w:val="16"/>
                <w:szCs w:val="16"/>
                <w:vertAlign w:val="subscript"/>
              </w:rPr>
              <w:t xml:space="preserve">HF</w:t>
            </w:r>
            <w:r>
              <w:rPr>
                <w:sz w:val="16"/>
                <w:szCs w:val="16"/>
              </w:rPr>
              <w:t xml:space="preserve"> 성분 ≥ 1 mm</w:t>
            </w:r>
          </w:p>
        </w:tc>
      </w:tr>
      <w:tr>
        <w:tc>
          <w:tcPr>
            <w:tcW w:w="1250" w:type="dxa"/>
            <w:tcBorders/>
            <w:vAlign w:val="center"/>
          </w:tcPr>
          <w:p>
            <w:pPr>
              <w:pStyle w:val="Style20"/>
              <w:spacing w:before="20" w:after="20" w:line="240" w:lineRule="auto"/>
              <w:ind w:firstLine="0" w:start="0" w:end="0"/>
              <w:jc w:val="center"/>
            </w:pPr>
            <w:r>
              <w:rPr>
                <w:sz w:val="16"/>
                <w:szCs w:val="16"/>
              </w:rPr>
              <w:t xml:space="preserve">수직 변형</w:t>
            </w:r>
          </w:p>
        </w:tc>
        <w:tc>
          <w:tcPr>
            <w:tcW w:w="900" w:type="dxa"/>
            <w:tcBorders/>
            <w:vAlign w:val="center"/>
          </w:tcPr>
          <w:p>
            <w:pPr>
              <w:pStyle w:val="Style20"/>
              <w:spacing w:before="20" w:after="20" w:line="240" w:lineRule="auto"/>
              <w:ind w:firstLine="0" w:start="0" w:end="0"/>
              <w:jc w:val="center"/>
            </w:pPr>
            <w:r>
              <w:rPr>
                <w:sz w:val="16"/>
                <w:szCs w:val="16"/>
              </w:rPr>
              <w:t xml:space="preserve">C, c</w:t>
            </w:r>
          </w:p>
        </w:tc>
        <w:tc>
          <w:tcPr>
            <w:tcW w:w="2750" w:type="dxa"/>
            <w:tcBorders/>
            <w:vAlign w:val="center"/>
          </w:tcPr>
          <w:p>
            <w:pPr>
              <w:pStyle w:val="Style20"/>
              <w:spacing w:before="20" w:after="20" w:line="240" w:lineRule="auto"/>
              <w:ind w:firstLine="0" w:start="0" w:end="0"/>
              <w:jc w:val="center"/>
            </w:pPr>
            <w:r>
              <w:rPr>
                <w:sz w:val="16"/>
                <w:szCs w:val="16"/>
              </w:rPr>
              <w:t xml:space="preserve">m의 t</w:t>
            </w:r>
            <w:r>
              <w:rPr>
                <w:sz w:val="16"/>
                <w:szCs w:val="16"/>
                <w:vertAlign w:val="subscript"/>
              </w:rPr>
              <w:t xml:space="preserve">C</w:t>
            </w:r>
            <w:r>
              <w:rPr>
                <w:sz w:val="16"/>
                <w:szCs w:val="16"/>
              </w:rPr>
              <w:t xml:space="preserve"> 성분 ≥ 1 mm, Δ보다 큼</w:t>
            </w:r>
          </w:p>
        </w:tc>
      </w:tr>
      <w:tr>
        <w:tc>
          <w:tcPr>
            <w:tcW w:w="1250" w:type="dxa"/>
            <w:tcBorders/>
            <w:vAlign w:val="center"/>
          </w:tcPr>
          <w:p>
            <w:pPr>
              <w:pStyle w:val="Style20"/>
              <w:spacing w:before="20" w:after="20" w:line="240" w:lineRule="auto"/>
              <w:ind w:firstLine="0" w:start="0" w:end="0"/>
              <w:jc w:val="center"/>
            </w:pPr>
            <w:r>
              <w:rPr>
                <w:sz w:val="16"/>
                <w:szCs w:val="16"/>
              </w:rPr>
              <w:t xml:space="preserve">좌우 높이차</w:t>
            </w:r>
          </w:p>
        </w:tc>
        <w:tc>
          <w:tcPr>
            <w:tcW w:w="900" w:type="dxa"/>
            <w:tcBorders/>
            <w:vAlign w:val="center"/>
          </w:tcPr>
          <w:p>
            <w:pPr>
              <w:pStyle w:val="Style20"/>
              <w:spacing w:before="20" w:after="20" w:line="240" w:lineRule="auto"/>
              <w:ind w:firstLine="0" w:start="0" w:end="0"/>
              <w:jc w:val="center"/>
            </w:pPr>
            <w:r>
              <w:rPr>
                <w:sz w:val="16"/>
                <w:szCs w:val="16"/>
              </w:rPr>
              <w:t xml:space="preserve">E</w:t>
            </w:r>
          </w:p>
        </w:tc>
        <w:tc>
          <w:tcPr>
            <w:tcW w:w="2750" w:type="dxa"/>
            <w:tcBorders/>
            <w:vAlign w:val="center"/>
          </w:tcPr>
          <w:p>
            <w:pPr>
              <w:pStyle w:val="Style20"/>
              <w:spacing w:before="20" w:after="20" w:line="240" w:lineRule="auto"/>
              <w:ind w:firstLine="0" w:start="0" w:end="0"/>
              <w:jc w:val="center"/>
            </w:pPr>
            <w:r>
              <w:rPr>
                <w:sz w:val="16"/>
                <w:szCs w:val="16"/>
              </w:rPr>
              <w:t xml:space="preserve">Δ의 t</w:t>
            </w:r>
            <w:r>
              <w:rPr>
                <w:sz w:val="16"/>
                <w:szCs w:val="16"/>
                <w:vertAlign w:val="subscript"/>
              </w:rPr>
              <w:t xml:space="preserve">C</w:t>
            </w:r>
            <w:r>
              <w:rPr>
                <w:sz w:val="16"/>
                <w:szCs w:val="16"/>
              </w:rPr>
              <w:t xml:space="preserve"> 성분 ≥ 1 mm, m보다 큼</w:t>
            </w:r>
          </w:p>
        </w:tc>
      </w:tr>
      <w:tr>
        <w:tc>
          <w:tcPr>
            <w:tcW w:w="1250" w:type="dxa"/>
            <w:tcBorders>
              <w:bottom w:val="single" w:sz="8" w:space="0" w:color="000000"/>
            </w:tcBorders>
            <w:vAlign w:val="center"/>
          </w:tcPr>
          <w:p>
            <w:pPr>
              <w:pStyle w:val="Style20"/>
              <w:spacing w:before="20" w:after="20" w:line="240" w:lineRule="auto"/>
              <w:ind w:firstLine="0" w:start="0" w:end="0"/>
              <w:jc w:val="center"/>
            </w:pPr>
            <w:r>
              <w:rPr>
                <w:sz w:val="16"/>
                <w:szCs w:val="16"/>
              </w:rPr>
              <w:t xml:space="preserve">정상</w:t>
            </w:r>
          </w:p>
        </w:tc>
        <w:tc>
          <w:tcPr>
            <w:tcW w:w="900" w:type="dxa"/>
            <w:tcBorders>
              <w:bottom w:val="single" w:sz="8" w:space="0" w:color="000000"/>
            </w:tcBorders>
            <w:vAlign w:val="center"/>
          </w:tcPr>
          <w:p>
            <w:pPr>
              <w:pStyle w:val="Style20"/>
              <w:spacing w:before="20" w:after="20" w:line="240" w:lineRule="auto"/>
              <w:ind w:firstLine="0" w:start="0" w:end="0"/>
              <w:jc w:val="center"/>
            </w:pPr>
            <w:r>
              <w:rPr>
                <w:sz w:val="16"/>
                <w:szCs w:val="16"/>
              </w:rPr>
              <w:t xml:space="preserve">–</w:t>
            </w:r>
          </w:p>
        </w:tc>
        <w:tc>
          <w:tcPr>
            <w:tcW w:w="2750" w:type="dxa"/>
            <w:tcBorders>
              <w:bottom w:val="single" w:sz="8" w:space="0" w:color="000000"/>
            </w:tcBorders>
            <w:vAlign w:val="center"/>
          </w:tcPr>
          <w:p>
            <w:pPr>
              <w:pStyle w:val="Style20"/>
              <w:spacing w:before="20" w:after="20" w:line="240" w:lineRule="auto"/>
              <w:ind w:firstLine="0" w:start="0" w:end="0"/>
              <w:jc w:val="center"/>
            </w:pPr>
            <w:r>
              <w:rPr>
                <w:sz w:val="16"/>
                <w:szCs w:val="16"/>
              </w:rPr>
              <w:t xml:space="preserve">모든 성분 &lt; 1 mm</w:t>
            </w:r>
          </w:p>
        </w:tc>
      </w:tr>
    </w:tbl>
    <w:p>
      <w:pPr>
        <w:pStyle w:val="Style20"/>
        <w:keepNext/>
        <w:spacing w:lineRule="auto" w:line="264" w:before="70" w:after="20"/>
        <w:ind w:firstLine="0" w:start="0" w:end="0"/>
      </w:pPr>
      <w:r>
        <w:rPr>
          <w:b/>
          <w:bCs/>
        </w:rPr>
        <w:t xml:space="preserve">2.3 3단계 판정과 대처 지침</w:t>
      </w:r>
    </w:p>
    <w:p>
      <w:pPr>
        <w:pStyle w:val="Style20"/>
        <w:spacing w:lineRule="auto" w:line="264" w:before="0" w:after="0"/>
        <w:ind w:firstLine="200" w:end="0"/>
      </w:pPr>
      <w:r>
        <w:rPr/>
        <w:t xml:space="preserve">판별된 결함은 크기를 한계선과 비교해 정상(50% 이하, 평소 속도), 주의(50%~한계선, 해당 구간 0.1 m/s 감속), 위험(초과, 진입 전 정지)의 3단계로 판정한다. 한계선은 항만 갠트리에 해당하는 ISO 12488-1 1급 공차[1]를 따라 이음부 단차 1.0 mm, 수직 변형 1.0 mm(표 2, 기호 c), 좌우 높이차 5 mm(표 2, 기호 E 상한)로 정하였다. 1회 주행 값은 주행 진동으로 ±0.4 mm 흔들리므로 단계 판정은 같은 구간을 3회 이상 지난 평균값으로만 내린다. 감속과 정지는 ISO 17359가 제시하는 정비 조치에 해당한다[5]. 웹 대시보드는 결함 위치·분류·크기·단계와 분류별 조치(이음판·볼트 점검, 받침판 그라우트 점검, 낮은 쪽 받침판 조정)를 보여주도록 설계하였다.</w:t>
      </w:r>
    </w:p>
    <w:p>
      <w:pPr>
        <w:pStyle w:val="Style20"/>
        <w:keepNext/>
        <w:spacing w:lineRule="auto" w:line="264" w:before="70" w:after="20"/>
        <w:ind w:firstLine="0" w:start="0" w:end="0"/>
      </w:pPr>
      <w:r>
        <w:rPr>
          <w:b/>
          <w:bCs/>
        </w:rPr>
        <w:t xml:space="preserve">2.4 Unity 디지털 트윈</w:t>
      </w:r>
    </w:p>
    <w:p>
      <w:pPr>
        <w:pStyle w:val="Style20"/>
        <w:spacing w:lineRule="auto" w:line="264" w:before="0" w:after="0"/>
        <w:ind w:firstLine="200" w:end="0"/>
      </w:pPr>
      <w:r>
        <w:rPr/>
        <w:t xml:space="preserve">디지털 트윈은 Unity WebGL로 시험 레일(각파이프 3조각, 1800 mm)과 대차를 같은 치수로 모델링하였다(그림 2). 서버가 보낸 주행 거리로 가상 대차를 움직이고, 구간별 판정 단계를 초록·노랑·빨강으로 칠한다.</w:t>
      </w:r>
    </w:p>
    <w:p>
      <w:pPr>
        <w:pStyle w:val="Style20"/>
        <w:keepNext/>
        <w:spacing w:before="80" w:after="0"/>
        <w:ind w:firstLine="0" w:start="0" w:end="0"/>
        <w:jc w:val="center"/>
      </w:pPr>
      <w:r>
        <w:rPr/>
        <w:drawing>
          <wp:inline distT="0" distB="0" distL="0" distR="0">
            <wp:extent cx="2592000" cy="717866"/>
            <wp:effectExtent l="0" t="0" r="0" b="0"/>
            <wp:docPr id="1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2.png"/>
                    <pic:cNvPicPr/>
                  </pic:nvPicPr>
                  <pic:blipFill>
                    <a:blip r:embed="rIdFig2"/>
                    <a:stretch>
                      <a:fillRect/>
                    </a:stretch>
                  </pic:blipFill>
                  <pic:spPr>
                    <a:xfrm>
                      <a:off x="0" y="0"/>
                      <a:ext cx="2592000" cy="717866"/>
                    </a:xfrm>
                    <a:prstGeom prst="rect">
                      <a:avLst/>
                    </a:prstGeom>
                  </pic:spPr>
                </pic:pic>
              </a:graphicData>
            </a:graphic>
          </wp:inline>
        </w:drawing>
      </w:r>
    </w:p>
    <w:p>
      <w:pPr>
        <w:pStyle w:val="Style21"/>
        <w:spacing w:before="40" w:after="160"/>
        <w:ind w:firstLine="0" w:start="0" w:end="0"/>
        <w:jc w:val="center"/>
      </w:pPr>
      <w:r>
        <w:rPr>
          <w:rFonts w:ascii="바탕체" w:hAnsi="바탕체" w:eastAsia="바탕체" w:cs="바탕체"/>
          <w:sz w:val="18"/>
          <w:szCs w:val="18"/>
        </w:rPr>
        <w:t xml:space="preserve">(그림 2) (a) 시험 장치와 (b) Unity 디지털 트윈 화면.</w:t>
      </w:r>
    </w:p>
    <w:p>
      <w:pPr>
        <w:pStyle w:val="Style22"/>
        <w:keepNext/>
        <w:numPr>
          <w:ilvl w:val="0"/>
          <w:numId w:val="1"/>
        </w:numPr>
        <w:spacing w:lineRule="auto" w:line="264" w:before="110" w:after="40"/>
        <w:ind w:hanging="227" w:start="227" w:end="0"/>
      </w:pPr>
      <w:r>
        <w:rPr/>
        <w:t xml:space="preserve">실험 및 결과</w:t>
      </w:r>
    </w:p>
    <w:p>
      <w:pPr>
        <w:pStyle w:val="Style20"/>
        <w:keepNext/>
        <w:spacing w:lineRule="auto" w:line="264" w:before="70" w:after="20"/>
        <w:ind w:firstLine="0" w:start="0" w:end="0"/>
      </w:pPr>
      <w:r>
        <w:rPr>
          <w:b/>
          <w:bCs/>
        </w:rPr>
        <w:t xml:space="preserve">3.1 실험 환경</w:t>
      </w:r>
    </w:p>
    <w:p>
      <w:pPr>
        <w:pStyle w:val="Style20"/>
        <w:spacing w:lineRule="auto" w:line="264" w:before="0" w:after="0"/>
        <w:ind w:firstLine="200" w:end="0"/>
      </w:pPr>
      <w:r>
        <w:rPr/>
        <w:t xml:space="preserve">시험 레일은 25×25×1.4 mm 아연도금 각파이프 600 mm 3조각을 이어 한 줄 1800 mm로 만들고, 궤간 386 mm로 두 줄을 깔았다. 조각 사이에는 3 mm 틈을 두고, 이음부와 양 끝을 3D 프린팅 받침으로 받쳤다. 받침은 외형이 같고 홈 바닥 높이만 다른 3종(N 23 mm, D 21 mm, S 한쪽 21·다른 쪽 23 mm, 출력 후 실측)이며, 받침만 바꿔 끼워 &lt;표 2&gt;의 4가지 구성을 만든다. 결함 크기는 센서 측정 범위와 바퀴 플랜지 깊이(3 mm)를 고려해 2 mm로 정하였다. 대차는 약 52 mm/s로 구성마다 6회, 총 24회 주행하였다. 센서 잡음은 정지 시 0.003 mm였으나 주행 중 회차 간 흔들림은 약 0.14 mm여서 6회 평균을 썼다. 위치는 구동륜 엔코더로 계측하였는데 구동륜 미끄러짐으로 환산값이 회차마다 달라져(좌 +11 ± 4%, 우 −9 ± 2%), 매 주행에서 600·1200 mm 이음부 틈 신호를 기준점으로 위치를 보정하였다. 실물 크레인에서는 주행 제어용 위치 신호가 이를 대신한다.</w:t>
      </w:r>
    </w:p>
    <w:p>
      <w:pPr>
        <w:pStyle w:val="Style20"/>
        <w:keepNext/>
        <w:spacing w:lineRule="auto" w:line="264" w:before="70" w:after="20"/>
        <w:ind w:firstLine="0" w:start="0" w:end="0"/>
      </w:pPr>
      <w:r>
        <w:rPr>
          <w:b/>
          <w:bCs/>
        </w:rPr>
        <w:t xml:space="preserve">3.2 결함 판별 결과</w:t>
      </w:r>
    </w:p>
    <w:p>
      <w:pPr>
        <w:pStyle w:val="Style20"/>
        <w:spacing w:lineRule="auto" w:line="264" w:before="0" w:after="0"/>
        <w:ind w:firstLine="200" w:end="0"/>
      </w:pPr>
      <w:r>
        <w:rPr/>
        <w:t xml:space="preserve">&lt;표 2&gt;는 구성별 정답과 6회 평균 측정값, 판별 결과이다. 이음부 단차는 1.84 ± 0.02 mm, 수직 변형은 1.98 ± 0.09 mm로 정답 2 mm에 대해 오차 0.16 mm 이내, 회차 간 표준편차 0.1 mm 이내였다. 이는 ISO 12488-1 1급 수직 직진도 공차 ±5 mm[1]에 비해 충분히 작다. 좌우 높이차는 좌 레일이 2.48 ± 0.27 mm로 계측된 반면, 평평한 우 레일에서도 −0.55 ± 0.18 mm의 반응이 6회 모두 나타나 Δ가 정답(2 mm)보다 큰 3.03 ± 0.28 mm로 추정되었다. 24회 중 23회가 올바르게 판별되었으며, 틀린 1회는 정상 구성에서 우 센서 값이 초반 약 11 s 동안 1.2 mm 높게 기록된 회차였다. 2.3절의 한계선을 6회 평균값에 적용하면 정상 구성은 정상, 이음부 단차(1.84 mm)와 수직 변형(1.98 mm)은 위험, 좌우 높이차(Δ 3.03 mm)는 주의로 판정되어 설계 의도와 일치하였다. 1회 주행 값으로는 정상 구성 6회 중 2회가 주의로 오판되어 3회 이상 평균 판정이 필요하였다.</w:t>
      </w:r>
    </w:p>
    <w:p>
      <w:pPr>
        <w:pStyle w:val="Style20"/>
        <w:keepNext/>
        <w:spacing w:before="120" w:after="60"/>
        <w:ind w:firstLine="0" w:start="0" w:end="0"/>
        <w:jc w:val="center"/>
      </w:pPr>
      <w:r>
        <w:rPr>
          <w:rFonts w:ascii="바탕체" w:hAnsi="바탕체" w:eastAsia="바탕체" w:cs="바탕체"/>
          <w:sz w:val="18"/>
          <w:szCs w:val="18"/>
        </w:rPr>
        <w:t xml:space="preserve">&lt;표 2&gt; 결함 재현 구성과 판별 결과 (6회 평균 ± 표준편차, 단위 mm)</w:t>
      </w:r>
    </w:p>
    <w:tbl>
      <w:tblPr>
        <w:tblW w:w="4900" w:type="dxa"/>
        <w:jc w:val="center"/>
        <w:tblLayout w:type="fixed"/>
        <w:tblCellMar>
          <w:start w:w="40" w:type="dxa"/>
          <w:end w:w="40" w:type="dxa"/>
        </w:tblCellMar>
      </w:tblPr>
      <w:tblGrid>
        <w:gridCol w:w="760"/>
        <w:gridCol w:w="1300"/>
        <w:gridCol w:w="1000"/>
        <w:gridCol w:w="1240"/>
        <w:gridCol w:w="600"/>
      </w:tblGrid>
      <w:tr>
        <w:tc>
          <w:tcPr>
            <w:tcW w:w="760" w:type="dxa"/>
            <w:tcBorders>
              <w:top w:val="single" w:sz="8" w:space="0" w:color="000000"/>
              <w:bottom w:val="single" w:sz="8" w:space="0" w:color="000000"/>
            </w:tcBorders>
            <w:shd w:val="clear" w:color="auto" w:fill="EFEFEF"/>
            <w:vAlign w:val="center"/>
          </w:tcPr>
          <w:p>
            <w:pPr>
              <w:pStyle w:val="Style20"/>
              <w:spacing w:before="20" w:after="20" w:line="240" w:lineRule="auto"/>
              <w:ind w:firstLine="0" w:start="0" w:end="0"/>
              <w:jc w:val="center"/>
            </w:pPr>
            <w:r>
              <w:rPr>
                <w:b/>
                <w:bCs/>
                <w:sz w:val="16"/>
                <w:szCs w:val="16"/>
              </w:rPr>
              <w:t xml:space="preserve">구성</w:t>
            </w:r>
          </w:p>
        </w:tc>
        <w:tc>
          <w:tcPr>
            <w:tcW w:w="1300" w:type="dxa"/>
            <w:tcBorders>
              <w:top w:val="single" w:sz="8" w:space="0" w:color="000000"/>
              <w:bottom w:val="single" w:sz="8" w:space="0" w:color="000000"/>
            </w:tcBorders>
            <w:shd w:val="clear" w:color="auto" w:fill="EFEFEF"/>
            <w:vAlign w:val="center"/>
          </w:tcPr>
          <w:p>
            <w:pPr>
              <w:pStyle w:val="Style20"/>
              <w:spacing w:before="20" w:after="20" w:line="240" w:lineRule="auto"/>
              <w:ind w:firstLine="0" w:start="0" w:end="0"/>
              <w:jc w:val="center"/>
            </w:pPr>
            <w:r>
              <w:rPr>
                <w:b/>
                <w:bCs/>
                <w:sz w:val="16"/>
                <w:szCs w:val="16"/>
              </w:rPr>
              <w:t xml:space="preserve">받침 배치 (0→1800 mm)</w:t>
            </w:r>
          </w:p>
        </w:tc>
        <w:tc>
          <w:tcPr>
            <w:tcW w:w="1000" w:type="dxa"/>
            <w:tcBorders>
              <w:top w:val="single" w:sz="8" w:space="0" w:color="000000"/>
              <w:bottom w:val="single" w:sz="8" w:space="0" w:color="000000"/>
            </w:tcBorders>
            <w:shd w:val="clear" w:color="auto" w:fill="EFEFEF"/>
            <w:vAlign w:val="center"/>
          </w:tcPr>
          <w:p>
            <w:pPr>
              <w:pStyle w:val="Style20"/>
              <w:spacing w:before="20" w:after="20" w:line="240" w:lineRule="auto"/>
              <w:ind w:firstLine="0" w:start="0" w:end="0"/>
              <w:jc w:val="center"/>
            </w:pPr>
            <w:r>
              <w:rPr>
                <w:b/>
                <w:bCs/>
                <w:sz w:val="16"/>
                <w:szCs w:val="16"/>
              </w:rPr>
              <w:t xml:space="preserve">정답</w:t>
            </w:r>
          </w:p>
        </w:tc>
        <w:tc>
          <w:tcPr>
            <w:tcW w:w="1240" w:type="dxa"/>
            <w:tcBorders>
              <w:top w:val="single" w:sz="8" w:space="0" w:color="000000"/>
              <w:bottom w:val="single" w:sz="8" w:space="0" w:color="000000"/>
            </w:tcBorders>
            <w:shd w:val="clear" w:color="auto" w:fill="EFEFEF"/>
            <w:vAlign w:val="center"/>
          </w:tcPr>
          <w:p>
            <w:pPr>
              <w:pStyle w:val="Style20"/>
              <w:spacing w:before="20" w:after="20" w:line="240" w:lineRule="auto"/>
              <w:ind w:firstLine="0" w:start="0" w:end="0"/>
              <w:jc w:val="center"/>
            </w:pPr>
            <w:r>
              <w:rPr>
                <w:b/>
                <w:bCs/>
                <w:sz w:val="16"/>
                <w:szCs w:val="16"/>
              </w:rPr>
              <w:t xml:space="preserve">측정 크기</w:t>
            </w:r>
          </w:p>
        </w:tc>
        <w:tc>
          <w:tcPr>
            <w:tcW w:w="600" w:type="dxa"/>
            <w:tcBorders>
              <w:top w:val="single" w:sz="8" w:space="0" w:color="000000"/>
              <w:bottom w:val="single" w:sz="8" w:space="0" w:color="000000"/>
            </w:tcBorders>
            <w:shd w:val="clear" w:color="auto" w:fill="EFEFEF"/>
            <w:vAlign w:val="center"/>
          </w:tcPr>
          <w:p>
            <w:pPr>
              <w:pStyle w:val="Style20"/>
              <w:spacing w:before="20" w:after="20" w:line="240" w:lineRule="auto"/>
              <w:ind w:firstLine="0" w:start="0" w:end="0"/>
              <w:jc w:val="center"/>
            </w:pPr>
            <w:r>
              <w:rPr>
                <w:b/>
                <w:bCs/>
                <w:sz w:val="16"/>
                <w:szCs w:val="16"/>
              </w:rPr>
              <w:t xml:space="preserve">판별 정답 수</w:t>
            </w:r>
          </w:p>
        </w:tc>
      </w:tr>
      <w:tr>
        <w:tc>
          <w:tcPr>
            <w:tcW w:w="760" w:type="dxa"/>
            <w:tcBorders/>
            <w:vAlign w:val="center"/>
          </w:tcPr>
          <w:p>
            <w:pPr>
              <w:pStyle w:val="Style20"/>
              <w:spacing w:before="20" w:after="20" w:line="240" w:lineRule="auto"/>
              <w:ind w:firstLine="0" w:start="0" w:end="0"/>
              <w:jc w:val="center"/>
            </w:pPr>
            <w:r>
              <w:rPr>
                <w:sz w:val="16"/>
                <w:szCs w:val="16"/>
              </w:rPr>
              <w:t xml:space="preserve">1 정상</w:t>
            </w:r>
          </w:p>
        </w:tc>
        <w:tc>
          <w:tcPr>
            <w:tcW w:w="1300" w:type="dxa"/>
            <w:tcBorders/>
            <w:vAlign w:val="center"/>
          </w:tcPr>
          <w:p>
            <w:pPr>
              <w:pStyle w:val="Style20"/>
              <w:spacing w:before="20" w:after="20" w:line="240" w:lineRule="auto"/>
              <w:ind w:firstLine="0" w:start="0" w:end="0"/>
              <w:jc w:val="center"/>
            </w:pPr>
            <w:r>
              <w:rPr>
                <w:sz w:val="16"/>
                <w:szCs w:val="16"/>
              </w:rPr>
              <w:t xml:space="preserve">←S D D S→ (양쪽)</w:t>
            </w:r>
          </w:p>
        </w:tc>
        <w:tc>
          <w:tcPr>
            <w:tcW w:w="1000" w:type="dxa"/>
            <w:tcBorders/>
            <w:vAlign w:val="center"/>
          </w:tcPr>
          <w:p>
            <w:pPr>
              <w:pStyle w:val="Style20"/>
              <w:spacing w:before="20" w:after="20" w:line="240" w:lineRule="auto"/>
              <w:ind w:firstLine="0" w:start="0" w:end="0"/>
              <w:jc w:val="center"/>
            </w:pPr>
            <w:r>
              <w:rPr>
                <w:sz w:val="16"/>
                <w:szCs w:val="16"/>
              </w:rPr>
              <w:t xml:space="preserve">결함 없음</w:t>
            </w:r>
          </w:p>
        </w:tc>
        <w:tc>
          <w:tcPr>
            <w:tcW w:w="1240" w:type="dxa"/>
            <w:tcBorders/>
            <w:vAlign w:val="center"/>
          </w:tcPr>
          <w:p>
            <w:pPr>
              <w:pStyle w:val="Style20"/>
              <w:spacing w:before="20" w:after="20" w:line="240" w:lineRule="auto"/>
              <w:ind w:firstLine="0" w:start="0" w:end="0"/>
              <w:jc w:val="center"/>
            </w:pPr>
            <w:r>
              <w:rPr>
                <w:sz w:val="16"/>
                <w:szCs w:val="16"/>
              </w:rPr>
              <w:t xml:space="preserve">HF 0.00, C 0.00, Δ 0.00</w:t>
            </w:r>
          </w:p>
        </w:tc>
        <w:tc>
          <w:tcPr>
            <w:tcW w:w="600" w:type="dxa"/>
            <w:tcBorders/>
            <w:vAlign w:val="center"/>
          </w:tcPr>
          <w:p>
            <w:pPr>
              <w:pStyle w:val="Style20"/>
              <w:spacing w:before="20" w:after="20" w:line="240" w:lineRule="auto"/>
              <w:ind w:firstLine="0" w:start="0" w:end="0"/>
              <w:jc w:val="center"/>
            </w:pPr>
            <w:r>
              <w:rPr>
                <w:sz w:val="16"/>
                <w:szCs w:val="16"/>
              </w:rPr>
              <w:t xml:space="preserve">5 / 6</w:t>
            </w:r>
          </w:p>
        </w:tc>
      </w:tr>
      <w:tr>
        <w:tc>
          <w:tcPr>
            <w:tcW w:w="760" w:type="dxa"/>
            <w:tcBorders/>
            <w:vAlign w:val="center"/>
          </w:tcPr>
          <w:p>
            <w:pPr>
              <w:pStyle w:val="Style20"/>
              <w:spacing w:before="20" w:after="20" w:line="240" w:lineRule="auto"/>
              <w:ind w:firstLine="0" w:start="0" w:end="0"/>
              <w:jc w:val="center"/>
            </w:pPr>
            <w:r>
              <w:rPr>
                <w:sz w:val="16"/>
                <w:szCs w:val="16"/>
              </w:rPr>
              <w:t xml:space="preserve">2 이음부 단차</w:t>
            </w:r>
          </w:p>
        </w:tc>
        <w:tc>
          <w:tcPr>
            <w:tcW w:w="1300" w:type="dxa"/>
            <w:tcBorders/>
            <w:vAlign w:val="center"/>
          </w:tcPr>
          <w:p>
            <w:pPr>
              <w:pStyle w:val="Style20"/>
              <w:spacing w:before="20" w:after="20" w:line="240" w:lineRule="auto"/>
              <w:ind w:firstLine="0" w:start="0" w:end="0"/>
              <w:jc w:val="center"/>
            </w:pPr>
            <w:r>
              <w:rPr>
                <w:sz w:val="16"/>
                <w:szCs w:val="16"/>
              </w:rPr>
              <w:t xml:space="preserve">D S→ ←S D (양쪽)</w:t>
            </w:r>
          </w:p>
        </w:tc>
        <w:tc>
          <w:tcPr>
            <w:tcW w:w="1000" w:type="dxa"/>
            <w:tcBorders/>
            <w:vAlign w:val="center"/>
          </w:tcPr>
          <w:p>
            <w:pPr>
              <w:pStyle w:val="Style20"/>
              <w:spacing w:before="20" w:after="20" w:line="240" w:lineRule="auto"/>
              <w:ind w:firstLine="0" w:start="0" w:end="0"/>
              <w:jc w:val="center"/>
            </w:pPr>
            <w:r>
              <w:rPr>
                <w:sz w:val="16"/>
                <w:szCs w:val="16"/>
              </w:rPr>
              <w:t xml:space="preserve">600–1200 조각 2 mm 솟음</w:t>
            </w:r>
          </w:p>
        </w:tc>
        <w:tc>
          <w:tcPr>
            <w:tcW w:w="1240" w:type="dxa"/>
            <w:tcBorders/>
            <w:vAlign w:val="center"/>
          </w:tcPr>
          <w:p>
            <w:pPr>
              <w:pStyle w:val="Style20"/>
              <w:spacing w:before="20" w:after="20" w:line="240" w:lineRule="auto"/>
              <w:ind w:firstLine="0" w:start="0" w:end="0"/>
              <w:jc w:val="center"/>
            </w:pPr>
            <w:r>
              <w:rPr>
                <w:sz w:val="16"/>
                <w:szCs w:val="16"/>
              </w:rPr>
              <w:t xml:space="preserve">1.84 ± 0.02</w:t>
            </w:r>
          </w:p>
        </w:tc>
        <w:tc>
          <w:tcPr>
            <w:tcW w:w="600" w:type="dxa"/>
            <w:tcBorders/>
            <w:vAlign w:val="center"/>
          </w:tcPr>
          <w:p>
            <w:pPr>
              <w:pStyle w:val="Style20"/>
              <w:spacing w:before="20" w:after="20" w:line="240" w:lineRule="auto"/>
              <w:ind w:firstLine="0" w:start="0" w:end="0"/>
              <w:jc w:val="center"/>
            </w:pPr>
            <w:r>
              <w:rPr>
                <w:sz w:val="16"/>
                <w:szCs w:val="16"/>
              </w:rPr>
              <w:t xml:space="preserve">6 / 6</w:t>
            </w:r>
          </w:p>
        </w:tc>
      </w:tr>
      <w:tr>
        <w:tc>
          <w:tcPr>
            <w:tcW w:w="760" w:type="dxa"/>
            <w:tcBorders/>
            <w:vAlign w:val="center"/>
          </w:tcPr>
          <w:p>
            <w:pPr>
              <w:pStyle w:val="Style20"/>
              <w:spacing w:before="20" w:after="20" w:line="240" w:lineRule="auto"/>
              <w:ind w:firstLine="0" w:start="0" w:end="0"/>
              <w:jc w:val="center"/>
            </w:pPr>
            <w:r>
              <w:rPr>
                <w:sz w:val="16"/>
                <w:szCs w:val="16"/>
              </w:rPr>
              <w:t xml:space="preserve">3 수직 변형</w:t>
            </w:r>
          </w:p>
        </w:tc>
        <w:tc>
          <w:tcPr>
            <w:tcW w:w="1300" w:type="dxa"/>
            <w:tcBorders/>
            <w:vAlign w:val="center"/>
          </w:tcPr>
          <w:p>
            <w:pPr>
              <w:pStyle w:val="Style20"/>
              <w:spacing w:before="20" w:after="20" w:line="240" w:lineRule="auto"/>
              <w:ind w:firstLine="0" w:start="0" w:end="0"/>
              <w:jc w:val="center"/>
            </w:pPr>
            <w:r>
              <w:rPr>
                <w:sz w:val="16"/>
                <w:szCs w:val="16"/>
              </w:rPr>
              <w:t xml:space="preserve">S→ D D ←S (양쪽)</w:t>
            </w:r>
          </w:p>
        </w:tc>
        <w:tc>
          <w:tcPr>
            <w:tcW w:w="1000" w:type="dxa"/>
            <w:tcBorders/>
            <w:vAlign w:val="center"/>
          </w:tcPr>
          <w:p>
            <w:pPr>
              <w:pStyle w:val="Style20"/>
              <w:spacing w:before="20" w:after="20" w:line="240" w:lineRule="auto"/>
              <w:ind w:firstLine="0" w:start="0" w:end="0"/>
              <w:jc w:val="center"/>
            </w:pPr>
            <w:r>
              <w:rPr>
                <w:sz w:val="16"/>
                <w:szCs w:val="16"/>
              </w:rPr>
              <w:t xml:space="preserve">600–1200 구간 2 mm 침하</w:t>
            </w:r>
          </w:p>
        </w:tc>
        <w:tc>
          <w:tcPr>
            <w:tcW w:w="1240" w:type="dxa"/>
            <w:tcBorders/>
            <w:vAlign w:val="center"/>
          </w:tcPr>
          <w:p>
            <w:pPr>
              <w:pStyle w:val="Style20"/>
              <w:spacing w:before="20" w:after="20" w:line="240" w:lineRule="auto"/>
              <w:ind w:firstLine="0" w:start="0" w:end="0"/>
              <w:jc w:val="center"/>
            </w:pPr>
            <w:r>
              <w:rPr>
                <w:sz w:val="16"/>
                <w:szCs w:val="16"/>
              </w:rPr>
              <w:t xml:space="preserve">1.98 ± 0.09</w:t>
            </w:r>
          </w:p>
        </w:tc>
        <w:tc>
          <w:tcPr>
            <w:tcW w:w="600" w:type="dxa"/>
            <w:tcBorders/>
            <w:vAlign w:val="center"/>
          </w:tcPr>
          <w:p>
            <w:pPr>
              <w:pStyle w:val="Style20"/>
              <w:spacing w:before="20" w:after="20" w:line="240" w:lineRule="auto"/>
              <w:ind w:firstLine="0" w:start="0" w:end="0"/>
              <w:jc w:val="center"/>
            </w:pPr>
            <w:r>
              <w:rPr>
                <w:sz w:val="16"/>
                <w:szCs w:val="16"/>
              </w:rPr>
              <w:t xml:space="preserve">6 / 6</w:t>
            </w:r>
          </w:p>
        </w:tc>
      </w:tr>
      <w:tr>
        <w:tc>
          <w:tcPr>
            <w:tcW w:w="760" w:type="dxa"/>
            <w:tcBorders>
              <w:bottom w:val="single" w:sz="8" w:space="0" w:color="000000"/>
            </w:tcBorders>
            <w:vAlign w:val="center"/>
          </w:tcPr>
          <w:p>
            <w:pPr>
              <w:pStyle w:val="Style20"/>
              <w:spacing w:before="20" w:after="20" w:line="240" w:lineRule="auto"/>
              <w:ind w:firstLine="0" w:start="0" w:end="0"/>
              <w:jc w:val="center"/>
            </w:pPr>
            <w:r>
              <w:rPr>
                <w:sz w:val="16"/>
                <w:szCs w:val="16"/>
              </w:rPr>
              <w:t xml:space="preserve">4 좌우 높이차</w:t>
            </w:r>
          </w:p>
        </w:tc>
        <w:tc>
          <w:tcPr>
            <w:tcW w:w="1300" w:type="dxa"/>
            <w:tcBorders>
              <w:bottom w:val="single" w:sz="8" w:space="0" w:color="000000"/>
            </w:tcBorders>
            <w:vAlign w:val="center"/>
          </w:tcPr>
          <w:p>
            <w:pPr>
              <w:pStyle w:val="Style20"/>
              <w:spacing w:before="20" w:after="20" w:line="240" w:lineRule="auto"/>
              <w:ind w:firstLine="0" w:start="0" w:end="0"/>
              <w:jc w:val="center"/>
            </w:pPr>
            <w:r>
              <w:rPr>
                <w:sz w:val="16"/>
                <w:szCs w:val="16"/>
              </w:rPr>
              <w:t xml:space="preserve">좌 S→ D D ←S / 우 S→ N N ←S</w:t>
            </w:r>
          </w:p>
        </w:tc>
        <w:tc>
          <w:tcPr>
            <w:tcW w:w="1000" w:type="dxa"/>
            <w:tcBorders>
              <w:bottom w:val="single" w:sz="8" w:space="0" w:color="000000"/>
            </w:tcBorders>
            <w:vAlign w:val="center"/>
          </w:tcPr>
          <w:p>
            <w:pPr>
              <w:pStyle w:val="Style20"/>
              <w:spacing w:before="20" w:after="20" w:line="240" w:lineRule="auto"/>
              <w:ind w:firstLine="0" w:start="0" w:end="0"/>
              <w:jc w:val="center"/>
            </w:pPr>
            <w:r>
              <w:rPr>
                <w:sz w:val="16"/>
                <w:szCs w:val="16"/>
              </w:rPr>
              <w:t xml:space="preserve">좌만 2 mm 침하</w:t>
            </w:r>
          </w:p>
        </w:tc>
        <w:tc>
          <w:tcPr>
            <w:tcW w:w="1240" w:type="dxa"/>
            <w:tcBorders>
              <w:bottom w:val="single" w:sz="8" w:space="0" w:color="000000"/>
            </w:tcBorders>
            <w:vAlign w:val="center"/>
          </w:tcPr>
          <w:p>
            <w:pPr>
              <w:pStyle w:val="Style20"/>
              <w:spacing w:before="20" w:after="20" w:line="240" w:lineRule="auto"/>
              <w:ind w:firstLine="0" w:start="0" w:end="0"/>
              <w:jc w:val="center"/>
            </w:pPr>
            <w:r>
              <w:rPr>
                <w:sz w:val="16"/>
                <w:szCs w:val="16"/>
              </w:rPr>
              <w:t xml:space="preserve">좌 2.48 ± 0.27, 우 −0.55 ± 0.18</w:t>
            </w:r>
          </w:p>
        </w:tc>
        <w:tc>
          <w:tcPr>
            <w:tcW w:w="600" w:type="dxa"/>
            <w:tcBorders>
              <w:bottom w:val="single" w:sz="8" w:space="0" w:color="000000"/>
            </w:tcBorders>
            <w:vAlign w:val="center"/>
          </w:tcPr>
          <w:p>
            <w:pPr>
              <w:pStyle w:val="Style20"/>
              <w:spacing w:before="20" w:after="20" w:line="240" w:lineRule="auto"/>
              <w:ind w:firstLine="0" w:start="0" w:end="0"/>
              <w:jc w:val="center"/>
            </w:pPr>
            <w:r>
              <w:rPr>
                <w:sz w:val="16"/>
                <w:szCs w:val="16"/>
              </w:rPr>
              <w:t xml:space="preserve">6 / 6</w:t>
            </w:r>
          </w:p>
        </w:tc>
      </w:tr>
    </w:tbl>
    <w:p>
      <w:pPr>
        <w:pStyle w:val="Style20"/>
        <w:spacing w:lineRule="auto" w:line="264" w:before="0" w:after="0"/>
        <w:ind w:firstLine="200" w:end="0"/>
      </w:pPr>
      <w:r>
        <w:rPr/>
        <w:t xml:space="preserve">그림 3은 구성 2~4의 6회 평균 신호와 이론 파형이다. 이음부 단차(a)는 계단형 파형이 이론과 거의 겹치고, 수직 변형(b)은 600·1200 mm의 꺾임에서 이론값 0.41 mm에 가까운 봉우리가 나타나며, 침하 구간 가운데(900 mm)에서는 앞뒤 바퀴가 함께 내려가 신호가 0에 가까워진다. 좌우 높이차(c)는 1200 mm 이후 Δ가 이론값보다 크며, 평평한 우 레일의 간격이 같은 구간에서 줄어든 데 따른 것이다.</w:t>
      </w:r>
    </w:p>
    <w:p>
      <w:pPr>
        <w:pStyle w:val="Style20"/>
        <w:keepNext/>
        <w:spacing w:before="80" w:after="0"/>
        <w:ind w:firstLine="0" w:start="0" w:end="0"/>
        <w:jc w:val="center"/>
      </w:pPr>
      <w:r>
        <w:rPr/>
        <w:drawing>
          <wp:inline distT="0" distB="0" distL="0" distR="0">
            <wp:extent cx="1980000" cy="2305074"/>
            <wp:effectExtent l="0" t="0" r="0" b="0"/>
            <wp:docPr id="1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3.png"/>
                    <pic:cNvPicPr/>
                  </pic:nvPicPr>
                  <pic:blipFill>
                    <a:blip r:embed="rIdFig3"/>
                    <a:stretch>
                      <a:fillRect/>
                    </a:stretch>
                  </pic:blipFill>
                  <pic:spPr>
                    <a:xfrm>
                      <a:off x="0" y="0"/>
                      <a:ext cx="1980000" cy="2305074"/>
                    </a:xfrm>
                    <a:prstGeom prst="rect">
                      <a:avLst/>
                    </a:prstGeom>
                  </pic:spPr>
                </pic:pic>
              </a:graphicData>
            </a:graphic>
          </wp:inline>
        </w:drawing>
      </w:r>
    </w:p>
    <w:p>
      <w:pPr>
        <w:pStyle w:val="Style21"/>
        <w:spacing w:before="40" w:after="160"/>
        <w:ind w:firstLine="0" w:start="0" w:end="0"/>
        <w:jc w:val="center"/>
      </w:pPr>
      <w:r>
        <w:rPr>
          <w:rFonts w:ascii="바탕체" w:hAnsi="바탕체" w:eastAsia="바탕체" w:cs="바탕체"/>
          <w:sz w:val="18"/>
          <w:szCs w:val="18"/>
        </w:rPr>
        <w:t xml:space="preserve">(그림 3) 구성별 6회 평균 신호(실선, 띠는 ± 표준편차)와 이론 파형(점선).</w:t>
      </w:r>
    </w:p>
    <w:p>
      <w:pPr>
        <w:pStyle w:val="Style20"/>
        <w:keepNext/>
        <w:spacing w:lineRule="auto" w:line="264" w:before="70" w:after="20"/>
        <w:ind w:firstLine="0" w:start="0" w:end="0"/>
      </w:pPr>
      <w:r>
        <w:rPr>
          <w:b/>
          <w:bCs/>
        </w:rPr>
        <w:t xml:space="preserve">3.3 시스템 연동 검증</w:t>
      </w:r>
    </w:p>
    <w:p>
      <w:pPr>
        <w:pStyle w:val="Style20"/>
        <w:spacing w:lineRule="auto" w:line="264" w:before="0" w:after="0"/>
        <w:ind w:firstLine="200" w:end="0"/>
      </w:pPr>
      <w:r>
        <w:rPr/>
        <w:t xml:space="preserve">2.2절의 방법을 서버 판정 엔진에 주행 단위 분석으로 통합하고, 24회 데이터를 순서대로 재생해 웹에 표시될 결과를 확인하였다. 정상 구성 6회를 기준선으로 등록한 뒤 나머지 18회를 재생한 결과, 18회 모두 정답과 같이 판별되었고 3회째 주행부터 이음부 단차 위험, 수직 변형 위험, 좌우 높이차 주의(좌)로 판정되어 3.2절의 사후 분석과 일치하였다. 통합 전 코드는 좌·우 위치 차가 80 mm를 넘는 샘플을 버려 350 mm 이후 결함이 표시되지 않았으며, 위치 기준을 좌 엔코더로 통일해 해결하였다.</w:t>
      </w:r>
    </w:p>
    <w:p>
      <w:pPr>
        <w:pStyle w:val="Style22"/>
        <w:keepNext/>
        <w:numPr>
          <w:ilvl w:val="0"/>
          <w:numId w:val="1"/>
        </w:numPr>
        <w:spacing w:lineRule="auto" w:line="264" w:before="110" w:after="40"/>
        <w:ind w:hanging="227" w:start="227" w:end="0"/>
      </w:pPr>
      <w:r>
        <w:rPr/>
        <w:t xml:space="preserve">결론</w:t>
      </w:r>
    </w:p>
    <w:p>
      <w:pPr>
        <w:pStyle w:val="Style20"/>
        <w:spacing w:lineRule="auto" w:line="264" w:before="0" w:after="0"/>
        <w:ind w:firstLine="200" w:end="0"/>
      </w:pPr>
      <w:r>
        <w:rPr/>
        <w:t xml:space="preserve">본 연구는 갠트리 크레인 레일 점검을 자동화하기 위해, 대차에 부착해 주행 중 레일 결함을 진단하는 센서 모듈과 디지털 트윈 시스템을 제작하였다. 현측정 이론 파형을 좌·우 간격 신호에 맞춰 결함을 ISO 12488-1 기반 4가지로 판별하고, 3단계로 판정해 웹 대처 지침과 Unity 디지털 트윈에 표시하였다. 2 mm 결함을 재현한 시험 레일 24회 주행에서 크기 오차는 0.16 mm 이내였고 24회 중 23회를 올바르게 판별하였으며, 6회 평균 판정 단계는 네 구성 모두 설계 의도와 일치하였다. 다만 이 결과는 결함 크기 2 mm 한 가지와 약 52 mm/s의 저속 주행 조건에서 얻은 것이며, 좌우 높이차 구성에서 평평한 쪽 레일에도 반응이 나타난 원인은 확인하지 못하였다. 서버 통합 재생에서는 18회 모두 정답과 같이 판별·판정되었다. 최소 검출 크기 확인과 실물 크레인 속도에서의 검증이 향후 과제이다.</w:t>
      </w:r>
    </w:p>
    <w:p>
      <w:pPr>
        <w:pStyle w:val="Style20"/>
        <w:spacing w:lineRule="auto" w:line="264" w:before="100" w:after="0"/>
        <w:ind w:firstLine="200" w:end="0"/>
      </w:pPr>
      <w:r>
        <w:rPr>
          <w:sz w:val="18"/>
          <w:szCs w:val="18"/>
        </w:rPr>
        <w:t xml:space="preserve">본 논문은 해양수산부 스마트 해운물류 융합인재 및 기업지원(스마트해운물류×ICT멘토링)을 통해 수행한 ICT멘토링 프로젝트 결과물입니다.</w:t>
      </w:r>
    </w:p>
    <w:p>
      <w:pPr>
        <w:pStyle w:val="Style23"/>
        <w:keepNext/>
        <w:spacing w:lineRule="auto" w:line="276" w:before="100" w:after="30"/>
        <w:jc w:val="center"/>
      </w:pPr>
      <w:r>
        <w:rPr>
          <w:b/>
          <w:bCs/>
        </w:rPr>
        <w:t xml:space="preserve">참고문헌</w:t>
      </w:r>
    </w:p>
    <w:p>
      <w:pPr>
        <w:pStyle w:val="Style23"/>
        <w:spacing w:lineRule="auto" w:line="228" w:before="0" w:after="10"/>
        <w:ind w:hanging="340" w:start="340" w:end="0"/>
      </w:pPr>
      <w:r>
        <w:rPr>
          <w:sz w:val="16"/>
          <w:szCs w:val="16"/>
        </w:rPr>
        <w:t xml:space="preserve">[1] ISO 12488-1:2012, "Cranes — Tolerances for wheels and travel and traversing tracks — Part 1: General," International Organization for Standardization, 2012.</w:t>
      </w:r>
    </w:p>
    <w:p>
      <w:pPr>
        <w:pStyle w:val="Style23"/>
        <w:spacing w:lineRule="auto" w:line="228" w:before="0" w:after="10"/>
        <w:ind w:hanging="340" w:start="340" w:end="0"/>
      </w:pPr>
      <w:r>
        <w:rPr>
          <w:sz w:val="16"/>
          <w:szCs w:val="16"/>
        </w:rPr>
        <w:t xml:space="preserve">[2] N. Bosso, G. De Pasquale, A. Somà, N. Zampieri, "Design and Control of a Sensorized Trolley for the Measurement of Industrial Craneways," Measurement and Control, Vol.49, No.10, pp.307-316, 2016.</w:t>
      </w:r>
    </w:p>
    <w:p>
      <w:pPr>
        <w:pStyle w:val="Style23"/>
        <w:spacing w:lineRule="auto" w:line="228" w:before="0" w:after="10"/>
        <w:ind w:hanging="340" w:start="340" w:end="0"/>
      </w:pPr>
      <w:r>
        <w:rPr>
          <w:sz w:val="16"/>
          <w:szCs w:val="16"/>
        </w:rPr>
        <w:t xml:space="preserve">[3] D. Dennig, J. Bureick, J. Link, D. Diener, C. Hesse, I. Neumann, "Comprehensive and Highly Accurate Measurements of Crane Runways, Profiles and Fastenings," Sensors, Vol.17, No.5, 1118, 2017.</w:t>
      </w:r>
    </w:p>
    <w:p>
      <w:pPr>
        <w:pStyle w:val="Style23"/>
        <w:spacing w:lineRule="auto" w:line="228" w:before="0" w:after="10"/>
        <w:ind w:hanging="340" w:start="340" w:end="0"/>
      </w:pPr>
      <w:r>
        <w:rPr>
          <w:sz w:val="16"/>
          <w:szCs w:val="16"/>
        </w:rPr>
        <w:t xml:space="preserve">[4] J.-O. Eom, J.-H. Yoon, J.-H. Yeon, S.-W. Kim, "Port Digital Twin Development for Decarbonization: A Case Study Using the Pusan Newport International Terminal," Journal of Marine Science and Engineering, Vol.11, No.9, 1777, 2023.</w:t>
      </w:r>
    </w:p>
    <w:p>
      <w:pPr>
        <w:pStyle w:val="Style23"/>
        <w:spacing w:lineRule="auto" w:line="228" w:before="0" w:after="10"/>
        <w:ind w:hanging="340" w:start="340" w:end="0"/>
      </w:pPr>
      <w:r>
        <w:rPr>
          <w:sz w:val="16"/>
          <w:szCs w:val="16"/>
        </w:rPr>
        <w:t xml:space="preserve">[5] ISO 17359:2018, "Condition monitoring and diagnostics of machines — General guidelines," International Organization for Standardization, 2018.</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Wingdings">
    <w:charset w:val="02"/>
    <w:family w:val="auto"/>
    <w:pitch w:val="variable"/>
  </w:font>
  <w:font w:name="Liberation Sans">
    <w:altName w:val="Arial"/>
    <w:charset w:val="00" w:characterSet="iso-8859-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
              <wp:simplePos x="0" y="0"/>
              <wp:positionH relativeFrom="margin">
                <wp:align>right</wp:align>
              </wp:positionH>
              <wp:positionV relativeFrom="paragraph">
                <wp:posOffset>635</wp:posOffset>
              </wp:positionV>
              <wp:extent cx="1460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509.05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바탕체" w:cs="Times New Roman"/>
      <w:color w:val="auto"/>
      <w:kern w:val="2"/>
      <w:sz w:val="20"/>
      <w:szCs w:val="20"/>
      <w:lang w:val="en-US" w:eastAsia="ko-KR" w:bidi="ar-SA"/>
    </w:rPr>
  </w:style>
  <w:style w:type="character" w:styleId="WW8Num1z0">
    <w:name w:val="WW8Num1z0"/>
    <w:qFormat/>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5">
    <w:name w:val="국문 제목"/>
    <w:basedOn w:val="Normal"/>
    <w:qFormat/>
    <w:pPr>
      <w:spacing w:lineRule="auto" w:line="264" w:before="120" w:after="0"/>
      <w:ind w:hanging="0" w:start="851" w:end="851"/>
      <w:jc w:val="center"/>
    </w:pPr>
    <w:rPr>
      <w:b/>
      <w:sz w:val="40"/>
    </w:rPr>
  </w:style>
  <w:style w:type="paragraph" w:styleId="Style16">
    <w:name w:val="국문 저자명"/>
    <w:basedOn w:val="Normal"/>
    <w:qFormat/>
    <w:pPr>
      <w:ind w:hanging="0" w:start="851" w:end="851"/>
      <w:jc w:val="center"/>
    </w:pPr>
    <w:rPr>
      <w:sz w:val="24"/>
    </w:rPr>
  </w:style>
  <w:style w:type="paragraph" w:styleId="Style17">
    <w:name w:val="영문 제목"/>
    <w:basedOn w:val="Normal"/>
    <w:qFormat/>
    <w:pPr>
      <w:spacing w:lineRule="auto" w:line="264" w:before="120" w:after="0"/>
      <w:ind w:hanging="0" w:start="851" w:end="851"/>
      <w:jc w:val="center"/>
    </w:pPr>
    <w:rPr>
      <w:b/>
      <w:sz w:val="36"/>
    </w:rPr>
  </w:style>
  <w:style w:type="paragraph" w:styleId="Style18">
    <w:name w:val="영문 저자명"/>
    <w:basedOn w:val="Normal"/>
    <w:qFormat/>
    <w:pPr>
      <w:ind w:hanging="0" w:start="851" w:end="851"/>
      <w:jc w:val="center"/>
    </w:pPr>
    <w:rPr>
      <w:sz w:val="24"/>
    </w:rPr>
  </w:style>
  <w:style w:type="paragraph" w:styleId="Style19">
    <w:name w:val="요약"/>
    <w:basedOn w:val="Normal"/>
    <w:qFormat/>
    <w:pPr>
      <w:spacing w:lineRule="auto" w:line="264"/>
      <w:ind w:hanging="0" w:start="851" w:end="851"/>
    </w:pPr>
    <w:rPr>
      <w:sz w:val="18"/>
    </w:rPr>
  </w:style>
  <w:style w:type="paragraph" w:styleId="Style20">
    <w:name w:val="논문 내용"/>
    <w:basedOn w:val="Normal"/>
    <w:qFormat/>
    <w:pPr>
      <w:ind w:firstLine="227" w:start="0" w:end="0"/>
    </w:pPr>
    <w:rPr/>
  </w:style>
  <w:style w:type="paragraph" w:styleId="Style21">
    <w:name w:val="캡션"/>
    <w:basedOn w:val="Normal"/>
    <w:next w:val="Normal"/>
    <w:qFormat/>
    <w:pPr>
      <w:spacing w:before="120" w:after="240"/>
    </w:pPr>
    <w:rPr>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돋움체"/>
      <w:b/>
    </w:rPr>
  </w:style>
  <w:style w:type="paragraph" w:styleId="Style23">
    <w:name w:val="참고문헌"/>
    <w:basedOn w:val="Style20"/>
    <w:qFormat/>
    <w:pPr>
      <w:ind w:hanging="0" w:start="0" w:end="0"/>
    </w:pPr>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류성호</dc:creator>
  <dc:description/>
  <cp:keywords/>
  <dc:language>en-US</dc:language>
  <cp:lastModifiedBy>YSNotebook</cp:lastModifiedBy>
  <cp:lastPrinted>1999-08-15T23:43:00Z</cp:lastPrinted>
  <dcterms:modified xsi:type="dcterms:W3CDTF">2026-07-21T11:13:00Z</dcterms:modified>
  <cp:revision>5</cp:revision>
  <dc:subject/>
  <dc:title>국문제목</dc:title>
</cp:coreProperties>
</file>